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9"/>
          <w:szCs w:val="29"/>
          <w:b w:val="1"/>
          <w:bCs w:val="1"/>
          <w:color w:val="auto"/>
        </w:rPr>
        <w:t>UNITED STATES</w:t>
      </w:r>
    </w:p>
    <w:p>
      <w:pPr>
        <w:spacing w:after="0" w:line="15"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69"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-215265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-95885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3820" w:right="1620" w:hanging="3799"/>
        <w:spacing w:after="0" w:line="238" w:lineRule="auto"/>
        <w:tabs>
          <w:tab w:leader="none" w:pos="48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2022</w:t>
      </w:r>
    </w:p>
    <w:p>
      <w:pPr>
        <w:jc w:val="center"/>
        <w:spacing w:after="0" w:line="212" w:lineRule="auto"/>
        <w:rPr>
          <w:sz w:val="20"/>
          <w:szCs w:val="20"/>
          <w:color w:val="auto"/>
        </w:rPr>
      </w:pPr>
      <w:r>
        <w:rPr>
          <w:rFonts w:ascii="Arial" w:cs="Arial" w:eastAsia="Arial" w:hAnsi="Arial"/>
          <w:sz w:val="18"/>
          <w:szCs w:val="18"/>
          <w:b w:val="1"/>
          <w:bCs w:val="1"/>
          <w:color w:val="auto"/>
        </w:rPr>
        <w:t>OR</w:t>
      </w:r>
    </w:p>
    <w:p>
      <w:pPr>
        <w:ind w:left="480" w:hanging="459"/>
        <w:spacing w:after="0" w:line="211" w:lineRule="auto"/>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w:t>
      </w:r>
    </w:p>
    <w:p>
      <w:pPr>
        <w:ind w:left="480"/>
        <w:spacing w:after="0" w:line="235" w:lineRule="auto"/>
        <w:tabs>
          <w:tab w:leader="none" w:pos="39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001-40632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CYTEK BIOSCIENCES, INC.</w:t>
      </w:r>
    </w:p>
    <w:p>
      <w:pPr>
        <w:spacing w:after="0" w:line="3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3"/>
          </w:tcPr>
          <w:p>
            <w:pPr>
              <w:jc w:val="center"/>
              <w:ind w:left="1066"/>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500" w:type="dxa"/>
            <w:vAlign w:val="bottom"/>
          </w:tcPr>
          <w:p>
            <w:pPr>
              <w:jc w:val="right"/>
              <w:ind w:right="2306"/>
              <w:spacing w:after="0"/>
              <w:rPr>
                <w:sz w:val="20"/>
                <w:szCs w:val="20"/>
                <w:color w:val="auto"/>
              </w:rPr>
            </w:pPr>
            <w:r>
              <w:rPr>
                <w:rFonts w:ascii="Arial" w:cs="Arial" w:eastAsia="Arial" w:hAnsi="Arial"/>
                <w:sz w:val="18"/>
                <w:szCs w:val="18"/>
                <w:b w:val="1"/>
                <w:bCs w:val="1"/>
                <w:color w:val="auto"/>
              </w:rPr>
              <w:t>47-2547526</w:t>
            </w:r>
          </w:p>
        </w:tc>
        <w:tc>
          <w:tcPr>
            <w:tcW w:w="0" w:type="dxa"/>
            <w:vAlign w:val="bottom"/>
          </w:tcPr>
          <w:p>
            <w:pPr>
              <w:spacing w:after="0"/>
              <w:rPr>
                <w:sz w:val="1"/>
                <w:szCs w:val="1"/>
                <w:color w:val="auto"/>
              </w:rPr>
            </w:pPr>
          </w:p>
        </w:tc>
      </w:tr>
      <w:tr>
        <w:trPr>
          <w:trHeight w:val="122"/>
        </w:trPr>
        <w:tc>
          <w:tcPr>
            <w:tcW w:w="4500" w:type="dxa"/>
            <w:vAlign w:val="bottom"/>
            <w:gridSpan w:val="3"/>
          </w:tcPr>
          <w:p>
            <w:pPr>
              <w:jc w:val="center"/>
              <w:ind w:left="1046"/>
              <w:spacing w:after="0" w:line="123" w:lineRule="exact"/>
              <w:rPr>
                <w:sz w:val="20"/>
                <w:szCs w:val="20"/>
                <w:color w:val="auto"/>
              </w:rPr>
            </w:pPr>
            <w:r>
              <w:rPr>
                <w:rFonts w:ascii="Arial" w:cs="Arial" w:eastAsia="Arial" w:hAnsi="Arial"/>
                <w:sz w:val="13"/>
                <w:szCs w:val="13"/>
                <w:color w:val="auto"/>
                <w:w w:val="89"/>
              </w:rPr>
              <w:t>(State or other jurisdiction of</w:t>
            </w: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500" w:type="dxa"/>
            <w:vAlign w:val="bottom"/>
          </w:tcPr>
          <w:p>
            <w:pPr>
              <w:jc w:val="center"/>
              <w:ind w:right="1046"/>
              <w:spacing w:after="0" w:line="123" w:lineRule="exact"/>
              <w:rPr>
                <w:sz w:val="20"/>
                <w:szCs w:val="20"/>
                <w:color w:val="auto"/>
              </w:rPr>
            </w:pPr>
            <w:r>
              <w:rPr>
                <w:rFonts w:ascii="Arial" w:cs="Arial" w:eastAsia="Arial" w:hAnsi="Arial"/>
                <w:sz w:val="13"/>
                <w:szCs w:val="13"/>
                <w:color w:val="auto"/>
                <w:w w:val="90"/>
              </w:rPr>
              <w:t>(I.R.S. Employer</w:t>
            </w:r>
          </w:p>
        </w:tc>
        <w:tc>
          <w:tcPr>
            <w:tcW w:w="0" w:type="dxa"/>
            <w:vAlign w:val="bottom"/>
          </w:tcPr>
          <w:p>
            <w:pPr>
              <w:spacing w:after="0"/>
              <w:rPr>
                <w:sz w:val="1"/>
                <w:szCs w:val="1"/>
                <w:color w:val="auto"/>
              </w:rPr>
            </w:pPr>
          </w:p>
        </w:tc>
      </w:tr>
      <w:tr>
        <w:trPr>
          <w:trHeight w:val="130"/>
        </w:trPr>
        <w:tc>
          <w:tcPr>
            <w:tcW w:w="4500" w:type="dxa"/>
            <w:vAlign w:val="bottom"/>
            <w:gridSpan w:val="3"/>
          </w:tcPr>
          <w:p>
            <w:pPr>
              <w:jc w:val="center"/>
              <w:ind w:left="1066"/>
              <w:spacing w:after="0" w:line="130" w:lineRule="exact"/>
              <w:rPr>
                <w:sz w:val="20"/>
                <w:szCs w:val="20"/>
                <w:color w:val="auto"/>
              </w:rPr>
            </w:pPr>
            <w:r>
              <w:rPr>
                <w:rFonts w:ascii="Arial" w:cs="Arial" w:eastAsia="Arial" w:hAnsi="Arial"/>
                <w:sz w:val="13"/>
                <w:szCs w:val="13"/>
                <w:color w:val="auto"/>
                <w:w w:val="89"/>
              </w:rPr>
              <w:t>incorporation or organization)</w:t>
            </w: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500" w:type="dxa"/>
            <w:vAlign w:val="bottom"/>
          </w:tcPr>
          <w:p>
            <w:pPr>
              <w:jc w:val="center"/>
              <w:ind w:right="1046"/>
              <w:spacing w:after="0" w:line="130" w:lineRule="exact"/>
              <w:rPr>
                <w:sz w:val="20"/>
                <w:szCs w:val="20"/>
                <w:color w:val="auto"/>
              </w:rPr>
            </w:pPr>
            <w:r>
              <w:rPr>
                <w:rFonts w:ascii="Arial" w:cs="Arial" w:eastAsia="Arial" w:hAnsi="Arial"/>
                <w:sz w:val="13"/>
                <w:szCs w:val="13"/>
                <w:color w:val="auto"/>
                <w:w w:val="92"/>
              </w:rPr>
              <w:t>Identification No.)</w:t>
            </w:r>
          </w:p>
        </w:tc>
        <w:tc>
          <w:tcPr>
            <w:tcW w:w="0" w:type="dxa"/>
            <w:vAlign w:val="bottom"/>
          </w:tcPr>
          <w:p>
            <w:pPr>
              <w:spacing w:after="0"/>
              <w:rPr>
                <w:sz w:val="1"/>
                <w:szCs w:val="1"/>
                <w:color w:val="auto"/>
              </w:rPr>
            </w:pPr>
          </w:p>
        </w:tc>
      </w:tr>
      <w:tr>
        <w:trPr>
          <w:trHeight w:val="193"/>
        </w:trPr>
        <w:tc>
          <w:tcPr>
            <w:tcW w:w="4500" w:type="dxa"/>
            <w:vAlign w:val="bottom"/>
            <w:gridSpan w:val="3"/>
          </w:tcPr>
          <w:p>
            <w:pPr>
              <w:jc w:val="center"/>
              <w:ind w:left="1066"/>
              <w:spacing w:after="0" w:line="193" w:lineRule="exact"/>
              <w:rPr>
                <w:sz w:val="20"/>
                <w:szCs w:val="20"/>
                <w:color w:val="auto"/>
              </w:rPr>
            </w:pPr>
            <w:r>
              <w:rPr>
                <w:rFonts w:ascii="Arial" w:cs="Arial" w:eastAsia="Arial" w:hAnsi="Arial"/>
                <w:sz w:val="18"/>
                <w:szCs w:val="18"/>
                <w:b w:val="1"/>
                <w:bCs w:val="1"/>
                <w:color w:val="auto"/>
                <w:w w:val="92"/>
              </w:rPr>
              <w:t>47215 Lakeview Blvd. Fremont, California</w:t>
            </w: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500" w:type="dxa"/>
            <w:vAlign w:val="bottom"/>
          </w:tcPr>
          <w:p>
            <w:pPr>
              <w:jc w:val="right"/>
              <w:ind w:right="2506"/>
              <w:spacing w:after="0" w:line="193" w:lineRule="exact"/>
              <w:rPr>
                <w:sz w:val="20"/>
                <w:szCs w:val="20"/>
                <w:color w:val="auto"/>
              </w:rPr>
            </w:pPr>
            <w:r>
              <w:rPr>
                <w:rFonts w:ascii="Arial" w:cs="Arial" w:eastAsia="Arial" w:hAnsi="Arial"/>
                <w:sz w:val="18"/>
                <w:szCs w:val="18"/>
                <w:b w:val="1"/>
                <w:bCs w:val="1"/>
                <w:color w:val="auto"/>
              </w:rPr>
              <w:t>94538</w:t>
            </w:r>
          </w:p>
        </w:tc>
        <w:tc>
          <w:tcPr>
            <w:tcW w:w="0" w:type="dxa"/>
            <w:vAlign w:val="bottom"/>
          </w:tcPr>
          <w:p>
            <w:pPr>
              <w:spacing w:after="0"/>
              <w:rPr>
                <w:sz w:val="1"/>
                <w:szCs w:val="1"/>
                <w:color w:val="auto"/>
              </w:rPr>
            </w:pPr>
          </w:p>
        </w:tc>
      </w:tr>
      <w:tr>
        <w:trPr>
          <w:trHeight w:val="144"/>
        </w:trPr>
        <w:tc>
          <w:tcPr>
            <w:tcW w:w="4500" w:type="dxa"/>
            <w:vAlign w:val="bottom"/>
            <w:gridSpan w:val="3"/>
          </w:tcPr>
          <w:p>
            <w:pPr>
              <w:jc w:val="center"/>
              <w:ind w:left="1066"/>
              <w:spacing w:after="0" w:line="144" w:lineRule="exact"/>
              <w:rPr>
                <w:sz w:val="20"/>
                <w:szCs w:val="20"/>
                <w:color w:val="auto"/>
              </w:rPr>
            </w:pPr>
            <w:r>
              <w:rPr>
                <w:rFonts w:ascii="Arial" w:cs="Arial" w:eastAsia="Arial" w:hAnsi="Arial"/>
                <w:sz w:val="13"/>
                <w:szCs w:val="13"/>
                <w:color w:val="auto"/>
                <w:w w:val="89"/>
              </w:rPr>
              <w:t>(Address of principal executive offices)</w:t>
            </w: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500" w:type="dxa"/>
            <w:vAlign w:val="bottom"/>
          </w:tcPr>
          <w:p>
            <w:pPr>
              <w:jc w:val="center"/>
              <w:ind w:right="1026"/>
              <w:spacing w:after="0" w:line="144" w:lineRule="exact"/>
              <w:rPr>
                <w:sz w:val="20"/>
                <w:szCs w:val="20"/>
                <w:color w:val="auto"/>
              </w:rPr>
            </w:pPr>
            <w:r>
              <w:rPr>
                <w:rFonts w:ascii="Arial" w:cs="Arial" w:eastAsia="Arial" w:hAnsi="Arial"/>
                <w:sz w:val="13"/>
                <w:szCs w:val="13"/>
                <w:color w:val="auto"/>
                <w:w w:val="91"/>
              </w:rPr>
              <w:t>(Zip Code)</w:t>
            </w:r>
          </w:p>
        </w:tc>
        <w:tc>
          <w:tcPr>
            <w:tcW w:w="0" w:type="dxa"/>
            <w:vAlign w:val="bottom"/>
          </w:tcPr>
          <w:p>
            <w:pPr>
              <w:spacing w:after="0"/>
              <w:rPr>
                <w:sz w:val="1"/>
                <w:szCs w:val="1"/>
                <w:color w:val="auto"/>
              </w:rPr>
            </w:pPr>
          </w:p>
        </w:tc>
      </w:tr>
      <w:tr>
        <w:trPr>
          <w:trHeight w:val="234"/>
        </w:trPr>
        <w:tc>
          <w:tcPr>
            <w:tcW w:w="11240" w:type="dxa"/>
            <w:vAlign w:val="bottom"/>
            <w:gridSpan w:val="7"/>
          </w:tcPr>
          <w:p>
            <w:pPr>
              <w:ind w:left="354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7"/>
                <w:szCs w:val="17"/>
                <w:b w:val="1"/>
                <w:bCs w:val="1"/>
                <w:color w:val="auto"/>
              </w:rPr>
              <w:t>(877) 922-9835</w:t>
            </w:r>
          </w:p>
        </w:tc>
        <w:tc>
          <w:tcPr>
            <w:tcW w:w="0" w:type="dxa"/>
            <w:vAlign w:val="bottom"/>
          </w:tcPr>
          <w:p>
            <w:pPr>
              <w:spacing w:after="0"/>
              <w:rPr>
                <w:sz w:val="1"/>
                <w:szCs w:val="1"/>
                <w:color w:val="auto"/>
              </w:rPr>
            </w:pPr>
          </w:p>
        </w:tc>
      </w:tr>
      <w:tr>
        <w:trPr>
          <w:trHeight w:val="189"/>
        </w:trPr>
        <w:tc>
          <w:tcPr>
            <w:tcW w:w="4500" w:type="dxa"/>
            <w:vAlign w:val="bottom"/>
            <w:gridSpan w:val="3"/>
            <w:vMerge w:val="restart"/>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500" w:type="dxa"/>
            <w:vAlign w:val="bottom"/>
            <w:gridSpan w:val="3"/>
            <w:vMerge w:val="continue"/>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9"/>
        </w:trPr>
        <w:tc>
          <w:tcPr>
            <w:tcW w:w="4500" w:type="dxa"/>
            <w:vAlign w:val="bottom"/>
            <w:gridSpan w:val="3"/>
          </w:tcPr>
          <w:p>
            <w:pPr>
              <w:ind w:left="1620"/>
              <w:spacing w:after="0"/>
              <w:rPr>
                <w:sz w:val="20"/>
                <w:szCs w:val="20"/>
                <w:color w:val="auto"/>
              </w:rPr>
            </w:pPr>
            <w:r>
              <w:rPr>
                <w:rFonts w:ascii="Arial" w:cs="Arial" w:eastAsia="Arial" w:hAnsi="Arial"/>
                <w:sz w:val="14"/>
                <w:szCs w:val="14"/>
                <w:color w:val="auto"/>
              </w:rPr>
              <w:t>Title of each class</w:t>
            </w:r>
          </w:p>
        </w:tc>
        <w:tc>
          <w:tcPr>
            <w:tcW w:w="2240" w:type="dxa"/>
            <w:vAlign w:val="bottom"/>
            <w:gridSpan w:val="3"/>
          </w:tcPr>
          <w:p>
            <w:pPr>
              <w:jc w:val="center"/>
              <w:ind w:right="760"/>
              <w:spacing w:after="0"/>
              <w:rPr>
                <w:sz w:val="20"/>
                <w:szCs w:val="20"/>
                <w:color w:val="auto"/>
              </w:rPr>
            </w:pPr>
            <w:r>
              <w:rPr>
                <w:rFonts w:ascii="Arial" w:cs="Arial" w:eastAsia="Arial" w:hAnsi="Arial"/>
                <w:sz w:val="14"/>
                <w:szCs w:val="14"/>
                <w:color w:val="auto"/>
                <w:w w:val="94"/>
              </w:rPr>
              <w:t>Trading Symbol(s)</w:t>
            </w:r>
          </w:p>
        </w:tc>
        <w:tc>
          <w:tcPr>
            <w:tcW w:w="4500" w:type="dxa"/>
            <w:vAlign w:val="bottom"/>
          </w:tcPr>
          <w:p>
            <w:pPr>
              <w:jc w:val="center"/>
              <w:ind w:right="466"/>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r>
        <w:trPr>
          <w:trHeight w:val="192"/>
        </w:trPr>
        <w:tc>
          <w:tcPr>
            <w:tcW w:w="4280" w:type="dxa"/>
            <w:vAlign w:val="bottom"/>
            <w:tcBorders>
              <w:top w:val="single" w:sz="8" w:color="auto"/>
            </w:tcBorders>
          </w:tcPr>
          <w:p>
            <w:pPr>
              <w:ind w:left="60"/>
              <w:spacing w:after="0"/>
              <w:rPr>
                <w:sz w:val="20"/>
                <w:szCs w:val="20"/>
                <w:color w:val="auto"/>
              </w:rPr>
            </w:pPr>
            <w:r>
              <w:rPr>
                <w:rFonts w:ascii="Arial" w:cs="Arial" w:eastAsia="Arial" w:hAnsi="Arial"/>
                <w:sz w:val="15"/>
                <w:szCs w:val="15"/>
                <w:b w:val="1"/>
                <w:bCs w:val="1"/>
                <w:color w:val="auto"/>
              </w:rPr>
              <w:t>Common Stock, par value $0.001 per share</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rPr>
              <w:t>CTKB</w:t>
            </w:r>
          </w:p>
        </w:tc>
        <w:tc>
          <w:tcPr>
            <w:tcW w:w="1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500" w:type="dxa"/>
            <w:vAlign w:val="bottom"/>
            <w:tcBorders>
              <w:top w:val="single" w:sz="8" w:color="auto"/>
            </w:tcBorders>
          </w:tcPr>
          <w:p>
            <w:pPr>
              <w:jc w:val="center"/>
              <w:ind w:right="526"/>
              <w:spacing w:after="0"/>
              <w:rPr>
                <w:sz w:val="20"/>
                <w:szCs w:val="20"/>
                <w:color w:val="auto"/>
              </w:rPr>
            </w:pPr>
            <w:r>
              <w:rPr>
                <w:rFonts w:ascii="Arial" w:cs="Arial" w:eastAsia="Arial" w:hAnsi="Arial"/>
                <w:sz w:val="15"/>
                <w:szCs w:val="15"/>
                <w:b w:val="1"/>
                <w:bCs w:val="1"/>
                <w:color w:val="auto"/>
                <w:w w:val="93"/>
              </w:rPr>
              <w:t>The Nasdaq Global Select Market</w:t>
            </w:r>
          </w:p>
        </w:tc>
        <w:tc>
          <w:tcPr>
            <w:tcW w:w="0" w:type="dxa"/>
            <w:vAlign w:val="bottom"/>
          </w:tcPr>
          <w:p>
            <w:pPr>
              <w:spacing w:after="0"/>
              <w:rPr>
                <w:sz w:val="1"/>
                <w:szCs w:val="1"/>
                <w:color w:val="auto"/>
              </w:rPr>
            </w:pPr>
          </w:p>
        </w:tc>
      </w:tr>
    </w:tbl>
    <w:p>
      <w:pPr>
        <w:spacing w:after="0" w:line="107" w:lineRule="exact"/>
        <w:rPr>
          <w:sz w:val="24"/>
          <w:szCs w:val="24"/>
          <w:color w:val="auto"/>
        </w:rPr>
      </w:pPr>
    </w:p>
    <w:p>
      <w:pPr>
        <w:ind w:right="120"/>
        <w:spacing w:after="0" w:line="17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80"/>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198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60" w:type="dxa"/>
            <w:vAlign w:val="bottom"/>
          </w:tcPr>
          <w:p>
            <w:pPr>
              <w:ind w:left="300"/>
              <w:spacing w:after="0" w:line="151" w:lineRule="exact"/>
              <w:rPr>
                <w:sz w:val="20"/>
                <w:szCs w:val="20"/>
                <w:color w:val="auto"/>
              </w:rPr>
            </w:pPr>
            <w:r>
              <w:rPr>
                <w:rFonts w:ascii="MS PGothic" w:cs="MS PGothic" w:eastAsia="MS PGothic" w:hAnsi="MS PGothic"/>
                <w:sz w:val="15"/>
                <w:szCs w:val="15"/>
                <w:color w:val="auto"/>
              </w:rPr>
              <w:t>☐</w:t>
            </w:r>
          </w:p>
        </w:tc>
        <w:tc>
          <w:tcPr>
            <w:tcW w:w="5120" w:type="dxa"/>
            <w:vAlign w:val="bottom"/>
          </w:tcPr>
          <w:p>
            <w:pPr>
              <w:ind w:left="3100"/>
              <w:spacing w:after="0"/>
              <w:rPr>
                <w:sz w:val="20"/>
                <w:szCs w:val="20"/>
                <w:color w:val="auto"/>
              </w:rPr>
            </w:pPr>
            <w:r>
              <w:rPr>
                <w:rFonts w:ascii="Arial" w:cs="Arial" w:eastAsia="Arial" w:hAnsi="Arial"/>
                <w:sz w:val="15"/>
                <w:szCs w:val="15"/>
                <w:color w:val="auto"/>
              </w:rPr>
              <w:t>Accelerated filer</w:t>
            </w:r>
          </w:p>
        </w:tc>
        <w:tc>
          <w:tcPr>
            <w:tcW w:w="5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347"/>
        </w:trPr>
        <w:tc>
          <w:tcPr>
            <w:tcW w:w="1980" w:type="dxa"/>
            <w:vAlign w:val="bottom"/>
          </w:tcPr>
          <w:p>
            <w:pPr>
              <w:spacing w:after="0"/>
              <w:rPr>
                <w:sz w:val="20"/>
                <w:szCs w:val="20"/>
                <w:color w:val="auto"/>
              </w:rPr>
            </w:pPr>
            <w:r>
              <w:rPr>
                <w:rFonts w:ascii="Arial" w:cs="Arial" w:eastAsia="Arial" w:hAnsi="Arial"/>
                <w:sz w:val="15"/>
                <w:szCs w:val="15"/>
                <w:color w:val="auto"/>
              </w:rPr>
              <w:t>Non-accelerated filer</w:t>
            </w:r>
          </w:p>
        </w:tc>
        <w:tc>
          <w:tcPr>
            <w:tcW w:w="3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100"/>
              <w:spacing w:after="0"/>
              <w:rPr>
                <w:sz w:val="20"/>
                <w:szCs w:val="20"/>
                <w:color w:val="auto"/>
              </w:rPr>
            </w:pPr>
            <w:r>
              <w:rPr>
                <w:rFonts w:ascii="Arial" w:cs="Arial" w:eastAsia="Arial" w:hAnsi="Arial"/>
                <w:sz w:val="15"/>
                <w:szCs w:val="15"/>
                <w:color w:val="auto"/>
              </w:rPr>
              <w:t>Smaller reporting company</w:t>
            </w:r>
          </w:p>
        </w:tc>
        <w:tc>
          <w:tcPr>
            <w:tcW w:w="50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51"/>
        </w:trPr>
        <w:tc>
          <w:tcPr>
            <w:tcW w:w="198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66" w:lineRule="exact"/>
        <w:rPr>
          <w:sz w:val="24"/>
          <w:szCs w:val="24"/>
          <w:color w:val="auto"/>
        </w:rPr>
      </w:pPr>
    </w:p>
    <w:p>
      <w:pPr>
        <w:ind w:right="520"/>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6" w:lineRule="exact"/>
        <w:rPr>
          <w:sz w:val="24"/>
          <w:szCs w:val="24"/>
          <w:color w:val="auto"/>
        </w:rPr>
      </w:pPr>
    </w:p>
    <w:p>
      <w:pPr>
        <w:spacing w:after="0"/>
        <w:rPr>
          <w:sz w:val="20"/>
          <w:szCs w:val="20"/>
          <w:color w:val="auto"/>
        </w:rPr>
      </w:pPr>
      <w:r>
        <w:rPr>
          <w:rFonts w:ascii="Arial" w:cs="Arial" w:eastAsia="Arial" w:hAnsi="Arial"/>
          <w:sz w:val="14"/>
          <w:szCs w:val="14"/>
          <w:color w:val="auto"/>
        </w:rPr>
        <w:t>As of May 5, 2022, there were 134,313,135 outstanding shares of the Registrant’s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1</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9320" w:type="dxa"/>
            <w:vAlign w:val="bottom"/>
            <w:gridSpan w:val="21"/>
            <w:vMerge w:val="restart"/>
          </w:tcPr>
          <w:p>
            <w:pPr>
              <w:ind w:left="60"/>
              <w:spacing w:after="0"/>
              <w:rPr>
                <w:sz w:val="20"/>
                <w:szCs w:val="20"/>
                <w:color w:val="auto"/>
              </w:rPr>
            </w:pPr>
            <w:r>
              <w:rPr>
                <w:rFonts w:ascii="Arial" w:cs="Arial" w:eastAsia="Arial" w:hAnsi="Arial"/>
                <w:sz w:val="18"/>
                <w:szCs w:val="18"/>
                <w:color w:val="auto"/>
              </w:rPr>
              <w:t>FINANCIAL INFORMATION</w:t>
            </w: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60" w:type="dxa"/>
            <w:vAlign w:val="bottom"/>
            <w:gridSpan w:val="3"/>
            <w:vMerge w:val="continue"/>
          </w:tcPr>
          <w:p>
            <w:pPr>
              <w:spacing w:after="0"/>
              <w:rPr>
                <w:sz w:val="13"/>
                <w:szCs w:val="13"/>
                <w:color w:val="auto"/>
              </w:rPr>
            </w:pPr>
          </w:p>
        </w:tc>
        <w:tc>
          <w:tcPr>
            <w:tcW w:w="9320" w:type="dxa"/>
            <w:vAlign w:val="bottom"/>
            <w:gridSpan w:val="21"/>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6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Item 1.</w:t>
            </w:r>
          </w:p>
        </w:tc>
        <w:tc>
          <w:tcPr>
            <w:tcW w:w="9320" w:type="dxa"/>
            <w:vAlign w:val="bottom"/>
            <w:gridSpan w:val="21"/>
          </w:tcPr>
          <w:p>
            <w:pPr>
              <w:spacing w:after="0" w:line="190" w:lineRule="exact"/>
              <w:rPr>
                <w:rFonts w:ascii="Arial" w:cs="Arial" w:eastAsia="Arial" w:hAnsi="Arial"/>
                <w:sz w:val="18"/>
                <w:szCs w:val="18"/>
                <w:color w:val="0000FF"/>
              </w:rPr>
            </w:pPr>
            <w:hyperlink w:anchor="page3">
              <w:r>
                <w:rPr>
                  <w:rFonts w:ascii="Arial" w:cs="Arial" w:eastAsia="Arial" w:hAnsi="Arial"/>
                  <w:sz w:val="18"/>
                  <w:szCs w:val="18"/>
                  <w:color w:val="0000FF"/>
                </w:rPr>
                <w:t>Consolidated Financial Statements (Unaudited)</w:t>
              </w:r>
            </w:hyperlink>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00" w:type="dxa"/>
            <w:vAlign w:val="bottom"/>
            <w:tcBorders>
              <w:top w:val="single" w:sz="8" w:color="0000FF"/>
              <w:bottom w:val="single" w:sz="8" w:color="0000FF"/>
            </w:tcBorders>
            <w:gridSpan w:val="8"/>
          </w:tcPr>
          <w:p>
            <w:pPr>
              <w:spacing w:after="0" w:line="169" w:lineRule="exact"/>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Balance Sheets</w:t>
              </w:r>
            </w:hyperlink>
          </w:p>
        </w:tc>
        <w:tc>
          <w:tcPr>
            <w:tcW w:w="20" w:type="dxa"/>
            <w:vAlign w:val="bottom"/>
            <w:tcBorders>
              <w:top w:val="single" w:sz="8" w:color="0000FF"/>
              <w:bottom w:val="single" w:sz="8" w:color="0000EE"/>
            </w:tcBorders>
          </w:tcPr>
          <w:p>
            <w:pPr>
              <w:spacing w:after="0"/>
              <w:rPr>
                <w:sz w:val="14"/>
                <w:szCs w:val="14"/>
                <w:color w:val="auto"/>
              </w:rPr>
            </w:pPr>
          </w:p>
        </w:tc>
        <w:tc>
          <w:tcPr>
            <w:tcW w:w="1300" w:type="dxa"/>
            <w:vAlign w:val="bottom"/>
            <w:tcBorders>
              <w:top w:val="single" w:sz="8" w:color="0000FF"/>
            </w:tcBorders>
            <w:gridSpan w:val="6"/>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9"/>
          </w:tcPr>
          <w:p>
            <w:pPr>
              <w:spacing w:after="0" w:line="169" w:lineRule="exact"/>
              <w:rPr>
                <w:rFonts w:ascii="Arial" w:cs="Arial" w:eastAsia="Arial" w:hAnsi="Arial"/>
                <w:sz w:val="18"/>
                <w:szCs w:val="18"/>
                <w:color w:val="0000FF"/>
                <w:w w:val="94"/>
              </w:rPr>
            </w:pPr>
            <w:hyperlink w:anchor="page4">
              <w:r>
                <w:rPr>
                  <w:rFonts w:ascii="Arial" w:cs="Arial" w:eastAsia="Arial" w:hAnsi="Arial"/>
                  <w:sz w:val="18"/>
                  <w:szCs w:val="18"/>
                  <w:color w:val="0000FF"/>
                  <w:w w:val="94"/>
                </w:rPr>
                <w:t>Consolidated Statements of</w:t>
              </w:r>
            </w:hyperlink>
          </w:p>
        </w:tc>
        <w:tc>
          <w:tcPr>
            <w:tcW w:w="7200" w:type="dxa"/>
            <w:vAlign w:val="bottom"/>
            <w:gridSpan w:val="12"/>
          </w:tcPr>
          <w:p>
            <w:pPr>
              <w:spacing w:after="0" w:line="169" w:lineRule="exact"/>
              <w:rPr>
                <w:rFonts w:ascii="Arial" w:cs="Arial" w:eastAsia="Arial" w:hAnsi="Arial"/>
                <w:sz w:val="18"/>
                <w:szCs w:val="18"/>
                <w:color w:val="0000FF"/>
              </w:rPr>
            </w:pPr>
            <w:hyperlink w:anchor="page4">
              <w:r>
                <w:rPr>
                  <w:rFonts w:ascii="Arial" w:cs="Arial" w:eastAsia="Arial" w:hAnsi="Arial"/>
                  <w:sz w:val="18"/>
                  <w:szCs w:val="18"/>
                  <w:color w:val="0000FF"/>
                </w:rPr>
                <w:t>Operations and Comprehensive Income (Loss)</w:t>
              </w:r>
            </w:hyperlink>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0" w:type="dxa"/>
            <w:vAlign w:val="bottom"/>
            <w:tcBorders>
              <w:top w:val="single" w:sz="8" w:color="0000FF"/>
            </w:tcBorders>
            <w:gridSpan w:val="18"/>
          </w:tcPr>
          <w:p>
            <w:pPr>
              <w:spacing w:after="0" w:line="169" w:lineRule="exact"/>
              <w:rPr>
                <w:rFonts w:ascii="Arial" w:cs="Arial" w:eastAsia="Arial" w:hAnsi="Arial"/>
                <w:sz w:val="18"/>
                <w:szCs w:val="18"/>
                <w:color w:val="0000FF"/>
                <w:w w:val="91"/>
              </w:rPr>
            </w:pPr>
            <w:hyperlink w:anchor="page5">
              <w:r>
                <w:rPr>
                  <w:rFonts w:ascii="Arial" w:cs="Arial" w:eastAsia="Arial" w:hAnsi="Arial"/>
                  <w:sz w:val="18"/>
                  <w:szCs w:val="18"/>
                  <w:color w:val="0000FF"/>
                  <w:w w:val="91"/>
                </w:rPr>
                <w:t>Consolidated Statements of Redeemable Convertible Preferred Stock and</w:t>
              </w:r>
            </w:hyperlink>
          </w:p>
        </w:tc>
        <w:tc>
          <w:tcPr>
            <w:tcW w:w="3920" w:type="dxa"/>
            <w:vAlign w:val="bottom"/>
            <w:gridSpan w:val="3"/>
          </w:tcPr>
          <w:p>
            <w:pPr>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Stockholders' Equity</w:t>
              </w:r>
            </w:hyperlink>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8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Consolidated Statements of Cash Flows</w:t>
              </w:r>
            </w:hyperlink>
          </w:p>
        </w:tc>
        <w:tc>
          <w:tcPr>
            <w:tcW w:w="20" w:type="dxa"/>
            <w:vAlign w:val="bottom"/>
            <w:tcBorders>
              <w:top w:val="single" w:sz="8" w:color="0000FF"/>
              <w:bottom w:val="single" w:sz="8" w:color="0000EE"/>
            </w:tcBorders>
          </w:tcPr>
          <w:p>
            <w:pPr>
              <w:spacing w:after="0"/>
              <w:rPr>
                <w:sz w:val="14"/>
                <w:szCs w:val="14"/>
                <w:color w:val="auto"/>
              </w:rPr>
            </w:pPr>
          </w:p>
        </w:tc>
        <w:tc>
          <w:tcPr>
            <w:tcW w:w="3940" w:type="dxa"/>
            <w:vAlign w:val="bottom"/>
            <w:tcBorders>
              <w:top w:val="single" w:sz="8" w:color="0000FF"/>
            </w:tcBorders>
            <w:gridSpan w:val="8"/>
          </w:tcPr>
          <w:p>
            <w:pPr>
              <w:spacing w:after="0"/>
              <w:rPr>
                <w:sz w:val="14"/>
                <w:szCs w:val="14"/>
                <w:color w:val="auto"/>
              </w:rPr>
            </w:pPr>
          </w:p>
        </w:tc>
        <w:tc>
          <w:tcPr>
            <w:tcW w:w="24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60" w:type="dxa"/>
            <w:vAlign w:val="bottom"/>
            <w:tcBorders>
              <w:bottom w:val="single" w:sz="8" w:color="0000FF"/>
            </w:tcBorders>
            <w:gridSpan w:val="13"/>
          </w:tcPr>
          <w:p>
            <w:pPr>
              <w:spacing w:after="0" w:line="169" w:lineRule="exact"/>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Consolidated Financial Statements</w:t>
              </w:r>
            </w:hyperlink>
          </w:p>
        </w:tc>
        <w:tc>
          <w:tcPr>
            <w:tcW w:w="20" w:type="dxa"/>
            <w:vAlign w:val="bottom"/>
            <w:tcBorders>
              <w:bottom w:val="single" w:sz="8" w:color="0000EE"/>
            </w:tcBorders>
          </w:tcPr>
          <w:p>
            <w:pPr>
              <w:spacing w:after="0"/>
              <w:rPr>
                <w:sz w:val="14"/>
                <w:szCs w:val="14"/>
                <w:color w:val="auto"/>
              </w:rPr>
            </w:pPr>
          </w:p>
        </w:tc>
        <w:tc>
          <w:tcPr>
            <w:tcW w:w="6140" w:type="dxa"/>
            <w:vAlign w:val="bottom"/>
            <w:gridSpan w:val="7"/>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69"/>
        </w:trPr>
        <w:tc>
          <w:tcPr>
            <w:tcW w:w="116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2.</w:t>
            </w:r>
          </w:p>
        </w:tc>
        <w:tc>
          <w:tcPr>
            <w:tcW w:w="3180" w:type="dxa"/>
            <w:vAlign w:val="bottom"/>
            <w:gridSpan w:val="14"/>
          </w:tcPr>
          <w:p>
            <w:pPr>
              <w:spacing w:after="0" w:line="169" w:lineRule="exact"/>
              <w:rPr>
                <w:rFonts w:ascii="Arial" w:cs="Arial" w:eastAsia="Arial" w:hAnsi="Arial"/>
                <w:sz w:val="18"/>
                <w:szCs w:val="18"/>
                <w:color w:val="0000FF"/>
                <w:w w:val="93"/>
              </w:rPr>
            </w:pPr>
            <w:hyperlink w:anchor="page28">
              <w:r>
                <w:rPr>
                  <w:rFonts w:ascii="Arial" w:cs="Arial" w:eastAsia="Arial" w:hAnsi="Arial"/>
                  <w:sz w:val="18"/>
                  <w:szCs w:val="18"/>
                  <w:color w:val="0000FF"/>
                  <w:w w:val="93"/>
                </w:rPr>
                <w:t>Management’s Discussion and Analysis of</w:t>
              </w:r>
            </w:hyperlink>
          </w:p>
        </w:tc>
        <w:tc>
          <w:tcPr>
            <w:tcW w:w="6140" w:type="dxa"/>
            <w:vAlign w:val="bottom"/>
            <w:gridSpan w:val="7"/>
          </w:tcPr>
          <w:p>
            <w:pPr>
              <w:spacing w:after="0" w:line="169" w:lineRule="exact"/>
              <w:rPr>
                <w:rFonts w:ascii="Arial" w:cs="Arial" w:eastAsia="Arial" w:hAnsi="Arial"/>
                <w:sz w:val="18"/>
                <w:szCs w:val="18"/>
                <w:color w:val="0000FF"/>
              </w:rPr>
            </w:pPr>
            <w:hyperlink w:anchor="page28">
              <w:r>
                <w:rPr>
                  <w:rFonts w:ascii="Arial" w:cs="Arial" w:eastAsia="Arial" w:hAnsi="Arial"/>
                  <w:sz w:val="18"/>
                  <w:szCs w:val="18"/>
                  <w:color w:val="0000FF"/>
                </w:rPr>
                <w:t>Financial Condition and Results of Operations</w:t>
              </w:r>
            </w:hyperlink>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69"/>
        </w:trPr>
        <w:tc>
          <w:tcPr>
            <w:tcW w:w="116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3.</w:t>
            </w:r>
          </w:p>
        </w:tc>
        <w:tc>
          <w:tcPr>
            <w:tcW w:w="646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w:anchor="page39">
              <w:r>
                <w:rPr>
                  <w:rFonts w:ascii="Arial" w:cs="Arial" w:eastAsia="Arial" w:hAnsi="Arial"/>
                  <w:sz w:val="18"/>
                  <w:szCs w:val="18"/>
                  <w:color w:val="0000FF"/>
                </w:rPr>
                <w:t>Quantitative and Qualitative Disclosures About Market Risk</w:t>
              </w:r>
            </w:hyperlink>
          </w:p>
        </w:tc>
        <w:tc>
          <w:tcPr>
            <w:tcW w:w="2860" w:type="dxa"/>
            <w:vAlign w:val="bottom"/>
            <w:gridSpan w:val="2"/>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88"/>
              </w:rPr>
            </w:pPr>
            <w:hyperlink w:anchor="page39">
              <w:r>
                <w:rPr>
                  <w:rFonts w:ascii="Arial" w:cs="Arial" w:eastAsia="Arial" w:hAnsi="Arial"/>
                  <w:sz w:val="18"/>
                  <w:szCs w:val="18"/>
                  <w:color w:val="0000FF"/>
                  <w:w w:val="88"/>
                </w:rPr>
                <w:t>Controls and Procedures</w:t>
              </w:r>
            </w:hyperlink>
          </w:p>
        </w:tc>
        <w:tc>
          <w:tcPr>
            <w:tcW w:w="20" w:type="dxa"/>
            <w:vAlign w:val="bottom"/>
            <w:tcBorders>
              <w:top w:val="single" w:sz="8" w:color="0000FF"/>
              <w:bottom w:val="single" w:sz="8" w:color="0000EE"/>
            </w:tcBorders>
          </w:tcPr>
          <w:p>
            <w:pPr>
              <w:spacing w:after="0"/>
              <w:rPr>
                <w:sz w:val="14"/>
                <w:szCs w:val="14"/>
                <w:color w:val="auto"/>
              </w:rPr>
            </w:pPr>
          </w:p>
        </w:tc>
        <w:tc>
          <w:tcPr>
            <w:tcW w:w="2580" w:type="dxa"/>
            <w:vAlign w:val="bottom"/>
            <w:tcBorders>
              <w:top w:val="single" w:sz="8" w:color="0000FF"/>
            </w:tcBorders>
            <w:gridSpan w:val="10"/>
          </w:tcPr>
          <w:p>
            <w:pPr>
              <w:spacing w:after="0"/>
              <w:rPr>
                <w:sz w:val="14"/>
                <w:szCs w:val="14"/>
                <w:color w:val="auto"/>
              </w:rPr>
            </w:pPr>
          </w:p>
        </w:tc>
        <w:tc>
          <w:tcPr>
            <w:tcW w:w="4940" w:type="dxa"/>
            <w:vAlign w:val="bottom"/>
            <w:gridSpan w:val="4"/>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16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II</w:t>
            </w:r>
          </w:p>
        </w:tc>
        <w:tc>
          <w:tcPr>
            <w:tcW w:w="9320" w:type="dxa"/>
            <w:vAlign w:val="bottom"/>
            <w:gridSpan w:val="21"/>
          </w:tcPr>
          <w:p>
            <w:pPr>
              <w:spacing w:after="0"/>
              <w:rPr>
                <w:sz w:val="20"/>
                <w:szCs w:val="20"/>
                <w:color w:val="auto"/>
              </w:rPr>
            </w:pPr>
            <w:r>
              <w:rPr>
                <w:rFonts w:ascii="Arial" w:cs="Arial" w:eastAsia="Arial" w:hAnsi="Arial"/>
                <w:sz w:val="18"/>
                <w:szCs w:val="18"/>
                <w:color w:val="auto"/>
              </w:rPr>
              <w:t>OTHER INFORMATION</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60" w:type="dxa"/>
            <w:vAlign w:val="bottom"/>
            <w:gridSpan w:val="3"/>
          </w:tcPr>
          <w:p>
            <w:pPr>
              <w:ind w:left="140"/>
              <w:spacing w:after="0" w:line="190" w:lineRule="exact"/>
              <w:rPr>
                <w:sz w:val="20"/>
                <w:szCs w:val="20"/>
                <w:color w:val="auto"/>
              </w:rPr>
            </w:pPr>
            <w:r>
              <w:rPr>
                <w:rFonts w:ascii="Arial" w:cs="Arial" w:eastAsia="Arial" w:hAnsi="Arial"/>
                <w:sz w:val="18"/>
                <w:szCs w:val="18"/>
                <w:color w:val="auto"/>
              </w:rPr>
              <w:t>Item 1.</w:t>
            </w:r>
          </w:p>
        </w:tc>
        <w:tc>
          <w:tcPr>
            <w:tcW w:w="9320" w:type="dxa"/>
            <w:vAlign w:val="bottom"/>
            <w:gridSpan w:val="21"/>
          </w:tcPr>
          <w:p>
            <w:pPr>
              <w:spacing w:after="0" w:line="190" w:lineRule="exact"/>
              <w:rPr>
                <w:rFonts w:ascii="Arial" w:cs="Arial" w:eastAsia="Arial" w:hAnsi="Arial"/>
                <w:sz w:val="18"/>
                <w:szCs w:val="18"/>
                <w:color w:val="0000FF"/>
              </w:rPr>
            </w:pPr>
            <w:hyperlink w:anchor="page40">
              <w:r>
                <w:rPr>
                  <w:rFonts w:ascii="Arial" w:cs="Arial" w:eastAsia="Arial" w:hAnsi="Arial"/>
                  <w:sz w:val="18"/>
                  <w:szCs w:val="18"/>
                  <w:color w:val="0000FF"/>
                </w:rPr>
                <w:t>Legal Proceedings</w:t>
              </w:r>
            </w:hyperlink>
          </w:p>
        </w:tc>
        <w:tc>
          <w:tcPr>
            <w:tcW w:w="760" w:type="dxa"/>
            <w:vAlign w:val="bottom"/>
          </w:tcPr>
          <w:p>
            <w:pPr>
              <w:jc w:val="right"/>
              <w:spacing w:after="0" w:line="190"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69"/>
        </w:trPr>
        <w:tc>
          <w:tcPr>
            <w:tcW w:w="116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9"/>
              </w:rPr>
            </w:pPr>
            <w:hyperlink w:anchor="page41">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14"/>
                <w:szCs w:val="14"/>
                <w:color w:val="auto"/>
              </w:rPr>
            </w:pPr>
          </w:p>
        </w:tc>
        <w:tc>
          <w:tcPr>
            <w:tcW w:w="400" w:type="dxa"/>
            <w:vAlign w:val="bottom"/>
            <w:tcBorders>
              <w:top w:val="single" w:sz="8" w:color="0000FF"/>
            </w:tcBorders>
            <w:gridSpan w:val="2"/>
          </w:tcPr>
          <w:p>
            <w:pPr>
              <w:spacing w:after="0"/>
              <w:rPr>
                <w:sz w:val="14"/>
                <w:szCs w:val="14"/>
                <w:color w:val="auto"/>
              </w:rPr>
            </w:pPr>
          </w:p>
        </w:tc>
        <w:tc>
          <w:tcPr>
            <w:tcW w:w="1000" w:type="dxa"/>
            <w:vAlign w:val="bottom"/>
            <w:gridSpan w:val="5"/>
          </w:tcPr>
          <w:p>
            <w:pPr>
              <w:spacing w:after="0"/>
              <w:rPr>
                <w:sz w:val="14"/>
                <w:szCs w:val="14"/>
                <w:color w:val="auto"/>
              </w:rPr>
            </w:pPr>
          </w:p>
        </w:tc>
        <w:tc>
          <w:tcPr>
            <w:tcW w:w="2020" w:type="dxa"/>
            <w:vAlign w:val="bottom"/>
            <w:gridSpan w:val="6"/>
          </w:tcPr>
          <w:p>
            <w:pPr>
              <w:spacing w:after="0"/>
              <w:rPr>
                <w:sz w:val="14"/>
                <w:szCs w:val="14"/>
                <w:color w:val="auto"/>
              </w:rPr>
            </w:pPr>
          </w:p>
        </w:tc>
        <w:tc>
          <w:tcPr>
            <w:tcW w:w="4960" w:type="dxa"/>
            <w:vAlign w:val="bottom"/>
            <w:gridSpan w:val="5"/>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69"/>
        </w:trPr>
        <w:tc>
          <w:tcPr>
            <w:tcW w:w="116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2.</w:t>
            </w:r>
          </w:p>
        </w:tc>
        <w:tc>
          <w:tcPr>
            <w:tcW w:w="940" w:type="dxa"/>
            <w:vAlign w:val="bottom"/>
            <w:gridSpan w:val="3"/>
          </w:tcPr>
          <w:p>
            <w:pPr>
              <w:spacing w:after="0" w:line="169" w:lineRule="exact"/>
              <w:rPr>
                <w:rFonts w:ascii="Arial" w:cs="Arial" w:eastAsia="Arial" w:hAnsi="Arial"/>
                <w:sz w:val="18"/>
                <w:szCs w:val="18"/>
                <w:color w:val="0000FF"/>
                <w:w w:val="89"/>
              </w:rPr>
            </w:pPr>
            <w:hyperlink w:anchor="page80">
              <w:r>
                <w:rPr>
                  <w:rFonts w:ascii="Arial" w:cs="Arial" w:eastAsia="Arial" w:hAnsi="Arial"/>
                  <w:sz w:val="18"/>
                  <w:szCs w:val="18"/>
                  <w:color w:val="0000FF"/>
                  <w:w w:val="89"/>
                </w:rPr>
                <w:t>Unregistered</w:t>
              </w:r>
            </w:hyperlink>
          </w:p>
        </w:tc>
        <w:tc>
          <w:tcPr>
            <w:tcW w:w="8380" w:type="dxa"/>
            <w:vAlign w:val="bottom"/>
            <w:gridSpan w:val="18"/>
          </w:tcPr>
          <w:p>
            <w:pPr>
              <w:ind w:left="40"/>
              <w:spacing w:after="0" w:line="169" w:lineRule="exact"/>
              <w:rPr>
                <w:rFonts w:ascii="Arial" w:cs="Arial" w:eastAsia="Arial" w:hAnsi="Arial"/>
                <w:sz w:val="18"/>
                <w:szCs w:val="18"/>
                <w:color w:val="0000FF"/>
              </w:rPr>
            </w:pPr>
            <w:hyperlink w:anchor="page80">
              <w:r>
                <w:rPr>
                  <w:rFonts w:ascii="Arial" w:cs="Arial" w:eastAsia="Arial" w:hAnsi="Arial"/>
                  <w:sz w:val="18"/>
                  <w:szCs w:val="18"/>
                  <w:color w:val="0000FF"/>
                </w:rPr>
                <w:t>Sales of Equity Securities and Use of Proceeds</w:t>
              </w:r>
            </w:hyperlink>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69"/>
        </w:trPr>
        <w:tc>
          <w:tcPr>
            <w:tcW w:w="116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3.</w:t>
            </w:r>
          </w:p>
        </w:tc>
        <w:tc>
          <w:tcPr>
            <w:tcW w:w="4360" w:type="dxa"/>
            <w:vAlign w:val="bottom"/>
            <w:tcBorders>
              <w:top w:val="single" w:sz="8" w:color="0000FF"/>
            </w:tcBorders>
            <w:gridSpan w:val="16"/>
          </w:tcPr>
          <w:p>
            <w:pPr>
              <w:spacing w:after="0" w:line="169" w:lineRule="exact"/>
              <w:rPr>
                <w:rFonts w:ascii="Arial" w:cs="Arial" w:eastAsia="Arial" w:hAnsi="Arial"/>
                <w:sz w:val="18"/>
                <w:szCs w:val="18"/>
                <w:color w:val="0000FF"/>
              </w:rPr>
            </w:pPr>
            <w:hyperlink w:anchor="page81">
              <w:r>
                <w:rPr>
                  <w:rFonts w:ascii="Arial" w:cs="Arial" w:eastAsia="Arial" w:hAnsi="Arial"/>
                  <w:sz w:val="18"/>
                  <w:szCs w:val="18"/>
                  <w:color w:val="0000FF"/>
                </w:rPr>
                <w:t>Defaults Upon Senior Securities</w:t>
              </w:r>
            </w:hyperlink>
          </w:p>
        </w:tc>
        <w:tc>
          <w:tcPr>
            <w:tcW w:w="4960" w:type="dxa"/>
            <w:vAlign w:val="bottom"/>
            <w:gridSpan w:val="5"/>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69"/>
        </w:trPr>
        <w:tc>
          <w:tcPr>
            <w:tcW w:w="116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4.</w:t>
            </w:r>
          </w:p>
        </w:tc>
        <w:tc>
          <w:tcPr>
            <w:tcW w:w="234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w:anchor="page81">
              <w:r>
                <w:rPr>
                  <w:rFonts w:ascii="Arial" w:cs="Arial" w:eastAsia="Arial" w:hAnsi="Arial"/>
                  <w:sz w:val="18"/>
                  <w:szCs w:val="18"/>
                  <w:color w:val="0000FF"/>
                </w:rPr>
                <w:t>Mine Safety Disclosures</w:t>
              </w:r>
            </w:hyperlink>
          </w:p>
        </w:tc>
        <w:tc>
          <w:tcPr>
            <w:tcW w:w="6980" w:type="dxa"/>
            <w:vAlign w:val="bottom"/>
            <w:gridSpan w:val="11"/>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69"/>
        </w:trPr>
        <w:tc>
          <w:tcPr>
            <w:tcW w:w="116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5.</w:t>
            </w:r>
          </w:p>
        </w:tc>
        <w:tc>
          <w:tcPr>
            <w:tcW w:w="1780" w:type="dxa"/>
            <w:vAlign w:val="bottom"/>
            <w:tcBorders>
              <w:top w:val="single" w:sz="8" w:color="0000FF"/>
            </w:tcBorders>
            <w:gridSpan w:val="6"/>
          </w:tcPr>
          <w:p>
            <w:pPr>
              <w:spacing w:after="0" w:line="169" w:lineRule="exact"/>
              <w:rPr>
                <w:rFonts w:ascii="Arial" w:cs="Arial" w:eastAsia="Arial" w:hAnsi="Arial"/>
                <w:sz w:val="18"/>
                <w:szCs w:val="18"/>
                <w:color w:val="0000FF"/>
              </w:rPr>
            </w:pPr>
            <w:hyperlink w:anchor="page81">
              <w:r>
                <w:rPr>
                  <w:rFonts w:ascii="Arial" w:cs="Arial" w:eastAsia="Arial" w:hAnsi="Arial"/>
                  <w:sz w:val="18"/>
                  <w:szCs w:val="18"/>
                  <w:color w:val="0000FF"/>
                </w:rPr>
                <w:t>Other Information</w:t>
              </w:r>
            </w:hyperlink>
          </w:p>
        </w:tc>
        <w:tc>
          <w:tcPr>
            <w:tcW w:w="7540" w:type="dxa"/>
            <w:vAlign w:val="bottom"/>
            <w:gridSpan w:val="15"/>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69"/>
        </w:trPr>
        <w:tc>
          <w:tcPr>
            <w:tcW w:w="1160" w:type="dxa"/>
            <w:vAlign w:val="bottom"/>
            <w:gridSpan w:val="3"/>
          </w:tcPr>
          <w:p>
            <w:pPr>
              <w:ind w:left="140"/>
              <w:spacing w:after="0" w:line="169" w:lineRule="exact"/>
              <w:rPr>
                <w:sz w:val="20"/>
                <w:szCs w:val="20"/>
                <w:color w:val="auto"/>
              </w:rPr>
            </w:pPr>
            <w:r>
              <w:rPr>
                <w:rFonts w:ascii="Arial" w:cs="Arial" w:eastAsia="Arial" w:hAnsi="Arial"/>
                <w:sz w:val="18"/>
                <w:szCs w:val="18"/>
                <w:color w:val="auto"/>
              </w:rPr>
              <w:t>Item 15.</w:t>
            </w:r>
          </w:p>
        </w:tc>
        <w:tc>
          <w:tcPr>
            <w:tcW w:w="1320" w:type="dxa"/>
            <w:vAlign w:val="bottom"/>
            <w:tcBorders>
              <w:top w:val="single" w:sz="8" w:color="0000FF"/>
            </w:tcBorders>
            <w:gridSpan w:val="4"/>
          </w:tcPr>
          <w:p>
            <w:pPr>
              <w:spacing w:after="0" w:line="169" w:lineRule="exact"/>
              <w:rPr>
                <w:rFonts w:ascii="Arial" w:cs="Arial" w:eastAsia="Arial" w:hAnsi="Arial"/>
                <w:sz w:val="18"/>
                <w:szCs w:val="18"/>
                <w:color w:val="0000FF"/>
              </w:rPr>
            </w:pPr>
            <w:hyperlink w:anchor="page82">
              <w:r>
                <w:rPr>
                  <w:rFonts w:ascii="Arial" w:cs="Arial" w:eastAsia="Arial" w:hAnsi="Arial"/>
                  <w:sz w:val="18"/>
                  <w:szCs w:val="18"/>
                  <w:color w:val="0000FF"/>
                </w:rPr>
                <w:t>Exhibits</w:t>
              </w:r>
            </w:hyperlink>
          </w:p>
        </w:tc>
        <w:tc>
          <w:tcPr>
            <w:tcW w:w="8000" w:type="dxa"/>
            <w:vAlign w:val="bottom"/>
            <w:gridSpan w:val="17"/>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58"/>
        </w:trPr>
        <w:tc>
          <w:tcPr>
            <w:tcW w:w="1160" w:type="dxa"/>
            <w:vAlign w:val="bottom"/>
            <w:gridSpan w:val="3"/>
          </w:tcPr>
          <w:p>
            <w:pPr>
              <w:ind w:left="140"/>
              <w:spacing w:after="0"/>
              <w:rPr>
                <w:rFonts w:ascii="Arial" w:cs="Arial" w:eastAsia="Arial" w:hAnsi="Arial"/>
                <w:sz w:val="18"/>
                <w:szCs w:val="18"/>
                <w:color w:val="0000FF"/>
              </w:rPr>
            </w:pPr>
            <w:hyperlink w:anchor="page83">
              <w:r>
                <w:rPr>
                  <w:rFonts w:ascii="Arial" w:cs="Arial" w:eastAsia="Arial" w:hAnsi="Arial"/>
                  <w:sz w:val="18"/>
                  <w:szCs w:val="18"/>
                  <w:color w:val="0000FF"/>
                </w:rPr>
                <w:t>Signatures</w:t>
              </w:r>
            </w:hyperlink>
          </w:p>
        </w:tc>
        <w:tc>
          <w:tcPr>
            <w:tcW w:w="6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574"/>
        </w:trPr>
        <w:tc>
          <w:tcPr>
            <w:tcW w:w="14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5400" w:type="dxa"/>
            <w:vAlign w:val="bottom"/>
            <w:gridSpan w:val="18"/>
          </w:tcPr>
          <w:p>
            <w:pPr>
              <w:ind w:left="4420"/>
              <w:spacing w:after="0"/>
              <w:rPr>
                <w:sz w:val="20"/>
                <w:szCs w:val="20"/>
                <w:color w:val="auto"/>
              </w:rPr>
            </w:pPr>
            <w:r>
              <w:rPr>
                <w:rFonts w:ascii="Arial" w:cs="Arial" w:eastAsia="Arial" w:hAnsi="Arial"/>
                <w:sz w:val="18"/>
                <w:szCs w:val="18"/>
                <w:color w:val="auto"/>
              </w:rPr>
              <w:t>1</w:t>
            </w: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4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2</w:t>
      </w:r>
    </w:p>
    <w:p>
      <w:pPr>
        <w:spacing w:after="0" w:line="10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Cytek Biosciences, Inc.</w:t>
      </w:r>
    </w:p>
    <w:p>
      <w:pPr>
        <w:spacing w:after="0" w:line="1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Consolidated Balance Sheets</w:t>
      </w:r>
    </w:p>
    <w:p>
      <w:pPr>
        <w:spacing w:after="0" w:line="13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0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right="272"/>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ind w:right="23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70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69"/>
        </w:trPr>
        <w:tc>
          <w:tcPr>
            <w:tcW w:w="7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right="252"/>
              <w:spacing w:after="0"/>
              <w:rPr>
                <w:sz w:val="20"/>
                <w:szCs w:val="20"/>
                <w:color w:val="auto"/>
              </w:rPr>
            </w:pPr>
            <w:r>
              <w:rPr>
                <w:rFonts w:ascii="Arial" w:cs="Arial" w:eastAsia="Arial" w:hAnsi="Arial"/>
                <w:sz w:val="14"/>
                <w:szCs w:val="14"/>
                <w:b w:val="1"/>
                <w:bCs w:val="1"/>
                <w:i w:val="1"/>
                <w:iCs w:val="1"/>
                <w:color w:val="auto"/>
                <w:w w:val="91"/>
              </w:rPr>
              <w:t>(unaudited)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center"/>
              <w:ind w:right="212"/>
              <w:spacing w:after="0"/>
              <w:rPr>
                <w:sz w:val="20"/>
                <w:szCs w:val="20"/>
                <w:color w:val="auto"/>
              </w:rPr>
            </w:pPr>
            <w:r>
              <w:rPr>
                <w:rFonts w:ascii="Arial" w:cs="Arial" w:eastAsia="Arial" w:hAnsi="Arial"/>
                <w:sz w:val="14"/>
                <w:szCs w:val="14"/>
                <w:b w:val="1"/>
                <w:bCs w:val="1"/>
                <w:i w:val="1"/>
                <w:iCs w:val="1"/>
                <w:color w:val="auto"/>
                <w:w w:val="91"/>
              </w:rPr>
              <w:t>(audited)</w:t>
            </w:r>
          </w:p>
        </w:tc>
        <w:tc>
          <w:tcPr>
            <w:tcW w:w="0" w:type="dxa"/>
            <w:vAlign w:val="bottom"/>
          </w:tcPr>
          <w:p>
            <w:pPr>
              <w:spacing w:after="0"/>
              <w:rPr>
                <w:sz w:val="1"/>
                <w:szCs w:val="1"/>
                <w:color w:val="auto"/>
              </w:rPr>
            </w:pPr>
          </w:p>
        </w:tc>
      </w:tr>
      <w:tr>
        <w:trPr>
          <w:trHeight w:val="203"/>
        </w:trPr>
        <w:tc>
          <w:tcPr>
            <w:tcW w:w="702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362,506</w:t>
            </w:r>
          </w:p>
        </w:tc>
        <w:tc>
          <w:tcPr>
            <w:tcW w:w="40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364,618</w:t>
            </w:r>
          </w:p>
        </w:tc>
        <w:tc>
          <w:tcPr>
            <w:tcW w:w="0" w:type="dxa"/>
            <w:vAlign w:val="bottom"/>
          </w:tcPr>
          <w:p>
            <w:pPr>
              <w:spacing w:after="0"/>
              <w:rPr>
                <w:sz w:val="1"/>
                <w:szCs w:val="1"/>
                <w:color w:val="auto"/>
              </w:rPr>
            </w:pPr>
          </w:p>
        </w:tc>
      </w:tr>
      <w:tr>
        <w:trPr>
          <w:trHeight w:val="203"/>
        </w:trPr>
        <w:tc>
          <w:tcPr>
            <w:tcW w:w="7020" w:type="dxa"/>
            <w:vAlign w:val="bottom"/>
          </w:tcPr>
          <w:p>
            <w:pPr>
              <w:ind w:left="180"/>
              <w:spacing w:after="0" w:line="202" w:lineRule="exact"/>
              <w:rPr>
                <w:sz w:val="20"/>
                <w:szCs w:val="20"/>
                <w:color w:val="auto"/>
              </w:rPr>
            </w:pPr>
            <w:r>
              <w:rPr>
                <w:rFonts w:ascii="Arial" w:cs="Arial" w:eastAsia="Arial" w:hAnsi="Arial"/>
                <w:sz w:val="18"/>
                <w:szCs w:val="18"/>
                <w:color w:val="auto"/>
              </w:rPr>
              <w:t>Trade accounts receivable, net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30,406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29,760</w:t>
            </w:r>
          </w:p>
        </w:tc>
        <w:tc>
          <w:tcPr>
            <w:tcW w:w="0" w:type="dxa"/>
            <w:vAlign w:val="bottom"/>
          </w:tcPr>
          <w:p>
            <w:pPr>
              <w:spacing w:after="0"/>
              <w:rPr>
                <w:sz w:val="1"/>
                <w:szCs w:val="1"/>
                <w:color w:val="auto"/>
              </w:rPr>
            </w:pPr>
          </w:p>
        </w:tc>
      </w:tr>
      <w:tr>
        <w:trPr>
          <w:trHeight w:val="203"/>
        </w:trPr>
        <w:tc>
          <w:tcPr>
            <w:tcW w:w="70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Inventories</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37,982</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32,171</w:t>
            </w:r>
          </w:p>
        </w:tc>
        <w:tc>
          <w:tcPr>
            <w:tcW w:w="0" w:type="dxa"/>
            <w:vAlign w:val="bottom"/>
          </w:tcPr>
          <w:p>
            <w:pPr>
              <w:spacing w:after="0"/>
              <w:rPr>
                <w:sz w:val="1"/>
                <w:szCs w:val="1"/>
                <w:color w:val="auto"/>
              </w:rPr>
            </w:pPr>
          </w:p>
        </w:tc>
      </w:tr>
      <w:tr>
        <w:trPr>
          <w:trHeight w:val="203"/>
        </w:trPr>
        <w:tc>
          <w:tcPr>
            <w:tcW w:w="7020" w:type="dxa"/>
            <w:vAlign w:val="bottom"/>
          </w:tcPr>
          <w:p>
            <w:pPr>
              <w:ind w:left="18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8,218</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196"/>
        </w:trPr>
        <w:tc>
          <w:tcPr>
            <w:tcW w:w="7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439,112</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431,733</w:t>
            </w:r>
          </w:p>
        </w:tc>
        <w:tc>
          <w:tcPr>
            <w:tcW w:w="0" w:type="dxa"/>
            <w:vAlign w:val="bottom"/>
          </w:tcPr>
          <w:p>
            <w:pPr>
              <w:spacing w:after="0"/>
              <w:rPr>
                <w:sz w:val="1"/>
                <w:szCs w:val="1"/>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Deferred income tax assets, noncurrent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10,688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9,173</w:t>
            </w:r>
          </w:p>
        </w:tc>
        <w:tc>
          <w:tcPr>
            <w:tcW w:w="0" w:type="dxa"/>
            <w:vAlign w:val="bottom"/>
          </w:tcPr>
          <w:p>
            <w:pPr>
              <w:spacing w:after="0"/>
              <w:rPr>
                <w:sz w:val="1"/>
                <w:szCs w:val="1"/>
                <w:color w:val="auto"/>
              </w:rPr>
            </w:pPr>
          </w:p>
        </w:tc>
      </w:tr>
      <w:tr>
        <w:trPr>
          <w:trHeight w:val="203"/>
        </w:trPr>
        <w:tc>
          <w:tcPr>
            <w:tcW w:w="7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6,504</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13,839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10,144</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10,144</w:t>
            </w:r>
          </w:p>
        </w:tc>
        <w:tc>
          <w:tcPr>
            <w:tcW w:w="0" w:type="dxa"/>
            <w:vAlign w:val="bottom"/>
          </w:tcPr>
          <w:p>
            <w:pPr>
              <w:spacing w:after="0"/>
              <w:rPr>
                <w:sz w:val="1"/>
                <w:szCs w:val="1"/>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4,328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4,739</w:t>
            </w:r>
          </w:p>
        </w:tc>
        <w:tc>
          <w:tcPr>
            <w:tcW w:w="0" w:type="dxa"/>
            <w:vAlign w:val="bottom"/>
          </w:tcPr>
          <w:p>
            <w:pPr>
              <w:spacing w:after="0"/>
              <w:rPr>
                <w:sz w:val="1"/>
                <w:szCs w:val="1"/>
                <w:color w:val="auto"/>
              </w:rPr>
            </w:pPr>
          </w:p>
        </w:tc>
      </w:tr>
      <w:tr>
        <w:trPr>
          <w:trHeight w:val="203"/>
        </w:trPr>
        <w:tc>
          <w:tcPr>
            <w:tcW w:w="70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1,264</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1,665</w:t>
            </w:r>
          </w:p>
        </w:tc>
        <w:tc>
          <w:tcPr>
            <w:tcW w:w="0" w:type="dxa"/>
            <w:vAlign w:val="bottom"/>
          </w:tcPr>
          <w:p>
            <w:pPr>
              <w:spacing w:after="0"/>
              <w:rPr>
                <w:sz w:val="1"/>
                <w:szCs w:val="1"/>
                <w:color w:val="auto"/>
              </w:rPr>
            </w:pPr>
          </w:p>
        </w:tc>
      </w:tr>
      <w:tr>
        <w:trPr>
          <w:trHeight w:val="196"/>
        </w:trPr>
        <w:tc>
          <w:tcPr>
            <w:tcW w:w="7020" w:type="dxa"/>
            <w:vAlign w:val="bottom"/>
          </w:tcPr>
          <w:p>
            <w:pPr>
              <w:ind w:left="360"/>
              <w:spacing w:after="0" w:line="196" w:lineRule="exact"/>
              <w:rPr>
                <w:sz w:val="20"/>
                <w:szCs w:val="20"/>
                <w:color w:val="auto"/>
              </w:rPr>
            </w:pPr>
            <w:r>
              <w:rPr>
                <w:rFonts w:ascii="Arial" w:cs="Arial" w:eastAsia="Arial" w:hAnsi="Arial"/>
                <w:sz w:val="18"/>
                <w:szCs w:val="18"/>
                <w:color w:val="auto"/>
              </w:rPr>
              <w:t>Total assets</w:t>
            </w:r>
          </w:p>
        </w:tc>
        <w:tc>
          <w:tcPr>
            <w:tcW w:w="4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485,879</w:t>
            </w:r>
          </w:p>
        </w:tc>
        <w:tc>
          <w:tcPr>
            <w:tcW w:w="40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463,305</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2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20" w:type="dxa"/>
            <w:vAlign w:val="bottom"/>
          </w:tcPr>
          <w:p>
            <w:pPr>
              <w:ind w:left="180"/>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Trade accounts payable</w:t>
            </w:r>
          </w:p>
        </w:tc>
        <w:tc>
          <w:tcPr>
            <w:tcW w:w="4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5,971</w:t>
            </w:r>
          </w:p>
        </w:tc>
        <w:tc>
          <w:tcPr>
            <w:tcW w:w="40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03"/>
        </w:trPr>
        <w:tc>
          <w:tcPr>
            <w:tcW w:w="7020" w:type="dxa"/>
            <w:vAlign w:val="bottom"/>
          </w:tcPr>
          <w:p>
            <w:pPr>
              <w:ind w:left="180"/>
              <w:spacing w:after="0" w:line="202" w:lineRule="exact"/>
              <w:rPr>
                <w:sz w:val="20"/>
                <w:szCs w:val="20"/>
                <w:color w:val="auto"/>
              </w:rPr>
            </w:pPr>
            <w:r>
              <w:rPr>
                <w:rFonts w:ascii="Arial" w:cs="Arial" w:eastAsia="Arial" w:hAnsi="Arial"/>
                <w:sz w:val="18"/>
                <w:szCs w:val="18"/>
                <w:color w:val="auto"/>
              </w:rPr>
              <w:t>Legal settlement liability, current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1,554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03"/>
        </w:trPr>
        <w:tc>
          <w:tcPr>
            <w:tcW w:w="70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Accrued expenses</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14,640</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15,251</w:t>
            </w:r>
          </w:p>
        </w:tc>
        <w:tc>
          <w:tcPr>
            <w:tcW w:w="0" w:type="dxa"/>
            <w:vAlign w:val="bottom"/>
          </w:tcPr>
          <w:p>
            <w:pPr>
              <w:spacing w:after="0"/>
              <w:rPr>
                <w:sz w:val="1"/>
                <w:szCs w:val="1"/>
                <w:color w:val="auto"/>
              </w:rPr>
            </w:pPr>
          </w:p>
        </w:tc>
      </w:tr>
      <w:tr>
        <w:trPr>
          <w:trHeight w:val="203"/>
        </w:trPr>
        <w:tc>
          <w:tcPr>
            <w:tcW w:w="7020" w:type="dxa"/>
            <w:vAlign w:val="bottom"/>
          </w:tcPr>
          <w:p>
            <w:pPr>
              <w:ind w:left="180"/>
              <w:spacing w:after="0" w:line="202" w:lineRule="exact"/>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8,386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6,352</w:t>
            </w:r>
          </w:p>
        </w:tc>
        <w:tc>
          <w:tcPr>
            <w:tcW w:w="0" w:type="dxa"/>
            <w:vAlign w:val="bottom"/>
          </w:tcPr>
          <w:p>
            <w:pPr>
              <w:spacing w:after="0"/>
              <w:rPr>
                <w:sz w:val="1"/>
                <w:szCs w:val="1"/>
                <w:color w:val="auto"/>
              </w:rPr>
            </w:pPr>
          </w:p>
        </w:tc>
      </w:tr>
      <w:tr>
        <w:trPr>
          <w:trHeight w:val="203"/>
        </w:trPr>
        <w:tc>
          <w:tcPr>
            <w:tcW w:w="70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Deferred revenue, current</w:t>
            </w: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12,252</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7,081</w:t>
            </w:r>
          </w:p>
        </w:tc>
        <w:tc>
          <w:tcPr>
            <w:tcW w:w="0" w:type="dxa"/>
            <w:vAlign w:val="bottom"/>
          </w:tcPr>
          <w:p>
            <w:pPr>
              <w:spacing w:after="0"/>
              <w:rPr>
                <w:sz w:val="1"/>
                <w:szCs w:val="1"/>
                <w:color w:val="auto"/>
              </w:rPr>
            </w:pPr>
          </w:p>
        </w:tc>
      </w:tr>
      <w:tr>
        <w:trPr>
          <w:trHeight w:val="196"/>
        </w:trPr>
        <w:tc>
          <w:tcPr>
            <w:tcW w:w="7020" w:type="dxa"/>
            <w:vAlign w:val="bottom"/>
          </w:tcPr>
          <w:p>
            <w:pPr>
              <w:spacing w:after="0" w:line="196" w:lineRule="exact"/>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42,803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33,181</w:t>
            </w:r>
          </w:p>
        </w:tc>
        <w:tc>
          <w:tcPr>
            <w:tcW w:w="0" w:type="dxa"/>
            <w:vAlign w:val="bottom"/>
          </w:tcPr>
          <w:p>
            <w:pPr>
              <w:spacing w:after="0"/>
              <w:rPr>
                <w:sz w:val="1"/>
                <w:szCs w:val="1"/>
                <w:color w:val="auto"/>
              </w:rPr>
            </w:pPr>
          </w:p>
        </w:tc>
      </w:tr>
      <w:tr>
        <w:trPr>
          <w:trHeight w:val="203"/>
        </w:trPr>
        <w:tc>
          <w:tcPr>
            <w:tcW w:w="7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Legal settlement liability, noncurrent</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14,635</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13,745</w:t>
            </w:r>
          </w:p>
        </w:tc>
        <w:tc>
          <w:tcPr>
            <w:tcW w:w="0" w:type="dxa"/>
            <w:vAlign w:val="bottom"/>
          </w:tcPr>
          <w:p>
            <w:pPr>
              <w:spacing w:after="0"/>
              <w:rPr>
                <w:sz w:val="1"/>
                <w:szCs w:val="1"/>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Deferred revenue, noncurrent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7,199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9,790</w:t>
            </w:r>
          </w:p>
        </w:tc>
        <w:tc>
          <w:tcPr>
            <w:tcW w:w="0" w:type="dxa"/>
            <w:vAlign w:val="bottom"/>
          </w:tcPr>
          <w:p>
            <w:pPr>
              <w:spacing w:after="0"/>
              <w:rPr>
                <w:sz w:val="1"/>
                <w:szCs w:val="1"/>
                <w:color w:val="auto"/>
              </w:rPr>
            </w:pPr>
          </w:p>
        </w:tc>
      </w:tr>
      <w:tr>
        <w:trPr>
          <w:trHeight w:val="203"/>
        </w:trPr>
        <w:tc>
          <w:tcPr>
            <w:tcW w:w="7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Operating lease liability, non-current</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12,684</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1,116</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196"/>
        </w:trPr>
        <w:tc>
          <w:tcPr>
            <w:tcW w:w="702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78,437</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57,920</w:t>
            </w:r>
          </w:p>
        </w:tc>
        <w:tc>
          <w:tcPr>
            <w:tcW w:w="0" w:type="dxa"/>
            <w:vAlign w:val="bottom"/>
          </w:tcPr>
          <w:p>
            <w:pPr>
              <w:spacing w:after="0"/>
              <w:rPr>
                <w:sz w:val="1"/>
                <w:szCs w:val="1"/>
                <w:color w:val="auto"/>
              </w:rPr>
            </w:pPr>
          </w:p>
        </w:tc>
      </w:tr>
      <w:tr>
        <w:trPr>
          <w:trHeight w:val="196"/>
        </w:trPr>
        <w:tc>
          <w:tcPr>
            <w:tcW w:w="7020" w:type="dxa"/>
            <w:vAlign w:val="bottom"/>
          </w:tcPr>
          <w:p>
            <w:pPr>
              <w:spacing w:after="0" w:line="196" w:lineRule="exact"/>
              <w:rPr>
                <w:sz w:val="20"/>
                <w:szCs w:val="20"/>
                <w:color w:val="auto"/>
              </w:rPr>
            </w:pPr>
            <w:r>
              <w:rPr>
                <w:rFonts w:ascii="Arial" w:cs="Arial" w:eastAsia="Arial" w:hAnsi="Arial"/>
                <w:sz w:val="18"/>
                <w:szCs w:val="18"/>
                <w:color w:val="auto"/>
              </w:rPr>
              <w:t>Commitments and contingencies (Note 17)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02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w w:val="97"/>
              </w:rPr>
              <w:t>Redeemable convertible preferred stock, $0.001 par value; 10,000,000 shares authorized,</w:t>
            </w: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20" w:type="dxa"/>
            <w:vAlign w:val="bottom"/>
            <w:shd w:val="clear" w:color="auto" w:fill="CFF0FC"/>
          </w:tcPr>
          <w:p>
            <w:pPr>
              <w:spacing w:after="0" w:line="176" w:lineRule="exact"/>
              <w:rPr>
                <w:sz w:val="20"/>
                <w:szCs w:val="20"/>
                <w:color w:val="auto"/>
              </w:rPr>
            </w:pPr>
            <w:r>
              <w:rPr>
                <w:rFonts w:ascii="Arial" w:cs="Arial" w:eastAsia="Arial" w:hAnsi="Arial"/>
                <w:sz w:val="18"/>
                <w:szCs w:val="18"/>
                <w:color w:val="auto"/>
                <w:w w:val="90"/>
              </w:rPr>
              <w:t>zero issued and outstanding as of March 31, 2022 and December 31, 2021; aggregate liquidation</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vMerge w:val="restart"/>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vMerge w:val="restart"/>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preference of zero as of March 31, 2022 and December 31, 2021.</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02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w w:val="93"/>
              </w:rPr>
              <w:t>Common stock, $0.001 par value; 1,000,000,000 authorized shares as of March 31, 2022 and</w:t>
            </w: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020" w:type="dxa"/>
            <w:vAlign w:val="bottom"/>
            <w:shd w:val="clear" w:color="auto" w:fill="CFF0FC"/>
          </w:tcPr>
          <w:p>
            <w:pPr>
              <w:spacing w:after="0" w:line="176" w:lineRule="exact"/>
              <w:rPr>
                <w:sz w:val="20"/>
                <w:szCs w:val="20"/>
                <w:color w:val="auto"/>
              </w:rPr>
            </w:pPr>
            <w:r>
              <w:rPr>
                <w:rFonts w:ascii="Arial" w:cs="Arial" w:eastAsia="Arial" w:hAnsi="Arial"/>
                <w:sz w:val="18"/>
                <w:szCs w:val="18"/>
                <w:color w:val="auto"/>
                <w:w w:val="89"/>
              </w:rPr>
              <w:t>December 31, 2021, respectively; 134,242,930 and 133,749,663 issued and outstanding shares as</w:t>
            </w: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vMerge w:val="restart"/>
            <w:shd w:val="clear" w:color="auto" w:fill="CFF0FC"/>
          </w:tcPr>
          <w:p>
            <w:pPr>
              <w:jc w:val="right"/>
              <w:ind w:right="12"/>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vMerge w:val="restart"/>
            <w:shd w:val="clear" w:color="auto" w:fill="CFF0FC"/>
          </w:tcPr>
          <w:p>
            <w:pPr>
              <w:jc w:val="right"/>
              <w:ind w:right="12"/>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of March 31, 2022 and December 31, 2021, respectively.</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427,818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423,625</w:t>
            </w:r>
          </w:p>
        </w:tc>
        <w:tc>
          <w:tcPr>
            <w:tcW w:w="0" w:type="dxa"/>
            <w:vAlign w:val="bottom"/>
          </w:tcPr>
          <w:p>
            <w:pPr>
              <w:spacing w:after="0"/>
              <w:rPr>
                <w:sz w:val="1"/>
                <w:szCs w:val="1"/>
                <w:color w:val="auto"/>
              </w:rPr>
            </w:pPr>
          </w:p>
        </w:tc>
      </w:tr>
      <w:tr>
        <w:trPr>
          <w:trHeight w:val="203"/>
        </w:trPr>
        <w:tc>
          <w:tcPr>
            <w:tcW w:w="70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(21,627 )</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(19,606 )</w:t>
            </w:r>
          </w:p>
        </w:tc>
        <w:tc>
          <w:tcPr>
            <w:tcW w:w="0" w:type="dxa"/>
            <w:vAlign w:val="bottom"/>
          </w:tcPr>
          <w:p>
            <w:pPr>
              <w:spacing w:after="0"/>
              <w:rPr>
                <w:sz w:val="1"/>
                <w:szCs w:val="1"/>
                <w:color w:val="auto"/>
              </w:rPr>
            </w:pP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911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03"/>
        </w:trPr>
        <w:tc>
          <w:tcPr>
            <w:tcW w:w="70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Noncontrolling interest in consolidated subsidiary</w:t>
            </w: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206</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196"/>
        </w:trPr>
        <w:tc>
          <w:tcPr>
            <w:tcW w:w="7020" w:type="dxa"/>
            <w:vAlign w:val="bottom"/>
          </w:tcPr>
          <w:p>
            <w:pPr>
              <w:ind w:left="180"/>
              <w:spacing w:after="0" w:line="196" w:lineRule="exact"/>
              <w:rPr>
                <w:sz w:val="20"/>
                <w:szCs w:val="20"/>
                <w:color w:val="auto"/>
              </w:rPr>
            </w:pPr>
            <w:r>
              <w:rPr>
                <w:rFonts w:ascii="Arial" w:cs="Arial" w:eastAsia="Arial" w:hAnsi="Arial"/>
                <w:sz w:val="18"/>
                <w:szCs w:val="18"/>
                <w:color w:val="auto"/>
              </w:rPr>
              <w:t>Total stockholders’ equity</w:t>
            </w:r>
          </w:p>
        </w:tc>
        <w:tc>
          <w:tcPr>
            <w:tcW w:w="44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407,442</w:t>
            </w:r>
          </w:p>
        </w:tc>
        <w:tc>
          <w:tcPr>
            <w:tcW w:w="40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2"/>
              <w:spacing w:after="0" w:line="196" w:lineRule="exact"/>
              <w:rPr>
                <w:sz w:val="20"/>
                <w:szCs w:val="20"/>
                <w:color w:val="auto"/>
              </w:rPr>
            </w:pPr>
            <w:r>
              <w:rPr>
                <w:rFonts w:ascii="Arial" w:cs="Arial" w:eastAsia="Arial" w:hAnsi="Arial"/>
                <w:sz w:val="18"/>
                <w:szCs w:val="18"/>
                <w:color w:val="auto"/>
              </w:rPr>
              <w:t>405,385</w:t>
            </w:r>
          </w:p>
        </w:tc>
        <w:tc>
          <w:tcPr>
            <w:tcW w:w="0" w:type="dxa"/>
            <w:vAlign w:val="bottom"/>
          </w:tcPr>
          <w:p>
            <w:pPr>
              <w:spacing w:after="0"/>
              <w:rPr>
                <w:sz w:val="1"/>
                <w:szCs w:val="1"/>
                <w:color w:val="auto"/>
              </w:rPr>
            </w:pPr>
          </w:p>
        </w:tc>
      </w:tr>
      <w:tr>
        <w:trPr>
          <w:trHeight w:val="236"/>
        </w:trPr>
        <w:tc>
          <w:tcPr>
            <w:tcW w:w="702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liabilities, redeemable convertible preferred stock and stockholders’ equity</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485,879</w:t>
            </w: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463,305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-3630930</wp:posOffset>
            </wp:positionV>
            <wp:extent cx="11112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-2567940</wp:posOffset>
            </wp:positionV>
            <wp:extent cx="111125"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-1779270</wp:posOffset>
            </wp:positionV>
            <wp:extent cx="11112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-296545</wp:posOffset>
            </wp:positionV>
            <wp:extent cx="11112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111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The accompanying notes are an integral part of these unaudited interim consolidated financial statements</w:t>
      </w:r>
    </w:p>
    <w:p>
      <w:pPr>
        <w:spacing w:after="0" w:line="13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3</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Cytek Biosciences, Inc.</w:t>
      </w:r>
    </w:p>
    <w:p>
      <w:pPr>
        <w:jc w:val="center"/>
        <w:spacing w:after="0" w:line="234" w:lineRule="auto"/>
        <w:rPr>
          <w:sz w:val="20"/>
          <w:szCs w:val="20"/>
          <w:color w:val="auto"/>
        </w:rPr>
      </w:pPr>
      <w:r>
        <w:rPr>
          <w:rFonts w:ascii="Arial" w:cs="Arial" w:eastAsia="Arial" w:hAnsi="Arial"/>
          <w:sz w:val="18"/>
          <w:szCs w:val="18"/>
          <w:b w:val="1"/>
          <w:bCs w:val="1"/>
          <w:color w:val="auto"/>
        </w:rPr>
        <w:t>Consolidated Statements of Operations and Comprehensive (Loss) Income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16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Three months ended March 31,</w:t>
            </w:r>
          </w:p>
        </w:tc>
      </w:tr>
      <w:tr>
        <w:trPr>
          <w:trHeight w:val="185"/>
        </w:trPr>
        <w:tc>
          <w:tcPr>
            <w:tcW w:w="7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r>
      <w:tr>
        <w:trPr>
          <w:trHeight w:val="196"/>
        </w:trPr>
        <w:tc>
          <w:tcPr>
            <w:tcW w:w="7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 net:</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Product</w:t>
            </w:r>
          </w:p>
        </w:tc>
        <w:tc>
          <w:tcPr>
            <w:tcW w:w="60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31,481</w:t>
            </w:r>
          </w:p>
        </w:tc>
        <w:tc>
          <w:tcPr>
            <w:tcW w:w="56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22,700</w:t>
            </w:r>
          </w:p>
        </w:tc>
      </w:tr>
      <w:tr>
        <w:trPr>
          <w:trHeight w:val="203"/>
        </w:trPr>
        <w:tc>
          <w:tcPr>
            <w:tcW w:w="74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Service</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3,583</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1,572</w:t>
            </w:r>
          </w:p>
        </w:tc>
      </w:tr>
      <w:tr>
        <w:trPr>
          <w:trHeight w:val="196"/>
        </w:trPr>
        <w:tc>
          <w:tcPr>
            <w:tcW w:w="7480" w:type="dxa"/>
            <w:vAlign w:val="bottom"/>
          </w:tcPr>
          <w:p>
            <w:pPr>
              <w:ind w:left="200"/>
              <w:spacing w:after="0" w:line="196" w:lineRule="exact"/>
              <w:rPr>
                <w:sz w:val="20"/>
                <w:szCs w:val="20"/>
                <w:color w:val="auto"/>
              </w:rPr>
            </w:pPr>
            <w:r>
              <w:rPr>
                <w:rFonts w:ascii="Arial" w:cs="Arial" w:eastAsia="Arial" w:hAnsi="Arial"/>
                <w:sz w:val="18"/>
                <w:szCs w:val="18"/>
                <w:color w:val="auto"/>
              </w:rPr>
              <w:t>Total revenue, net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35,064</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24,272</w:t>
            </w:r>
          </w:p>
        </w:tc>
      </w:tr>
      <w:tr>
        <w:trPr>
          <w:trHeight w:val="203"/>
        </w:trPr>
        <w:tc>
          <w:tcPr>
            <w:tcW w:w="7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sales: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Product</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11,767</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7,308</w:t>
            </w:r>
          </w:p>
        </w:tc>
      </w:tr>
      <w:tr>
        <w:trPr>
          <w:trHeight w:val="203"/>
        </w:trPr>
        <w:tc>
          <w:tcPr>
            <w:tcW w:w="74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Service</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3,120</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2,478</w:t>
            </w:r>
          </w:p>
        </w:tc>
      </w:tr>
      <w:tr>
        <w:trPr>
          <w:trHeight w:val="196"/>
        </w:trPr>
        <w:tc>
          <w:tcPr>
            <w:tcW w:w="7480" w:type="dxa"/>
            <w:vAlign w:val="bottom"/>
          </w:tcPr>
          <w:p>
            <w:pPr>
              <w:ind w:left="200"/>
              <w:spacing w:after="0" w:line="196" w:lineRule="exact"/>
              <w:rPr>
                <w:sz w:val="20"/>
                <w:szCs w:val="20"/>
                <w:color w:val="auto"/>
              </w:rPr>
            </w:pPr>
            <w:r>
              <w:rPr>
                <w:rFonts w:ascii="Arial" w:cs="Arial" w:eastAsia="Arial" w:hAnsi="Arial"/>
                <w:sz w:val="18"/>
                <w:szCs w:val="18"/>
                <w:color w:val="auto"/>
              </w:rPr>
              <w:t>Total cost of sales</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14,887</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9,786</w:t>
            </w:r>
          </w:p>
        </w:tc>
      </w:tr>
      <w:tr>
        <w:trPr>
          <w:trHeight w:val="196"/>
        </w:trPr>
        <w:tc>
          <w:tcPr>
            <w:tcW w:w="74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20,177</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14,486</w:t>
            </w: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8,025</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5,094</w:t>
            </w: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6,960</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4,277</w:t>
            </w:r>
          </w:p>
        </w:tc>
      </w:tr>
      <w:tr>
        <w:trPr>
          <w:trHeight w:val="203"/>
        </w:trPr>
        <w:tc>
          <w:tcPr>
            <w:tcW w:w="74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7,549</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3,983</w:t>
            </w:r>
          </w:p>
        </w:tc>
      </w:tr>
      <w:tr>
        <w:trPr>
          <w:trHeight w:val="196"/>
        </w:trPr>
        <w:tc>
          <w:tcPr>
            <w:tcW w:w="7480" w:type="dxa"/>
            <w:vAlign w:val="bottom"/>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22,534</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13,354</w:t>
            </w:r>
          </w:p>
        </w:tc>
      </w:tr>
      <w:tr>
        <w:trPr>
          <w:trHeight w:val="196"/>
        </w:trPr>
        <w:tc>
          <w:tcPr>
            <w:tcW w:w="74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(Loss) income from operations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(2,357 )</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1,132</w:t>
            </w: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(590 )</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(375 )</w:t>
            </w: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18</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w:t>
            </w:r>
          </w:p>
        </w:tc>
      </w:tr>
      <w:tr>
        <w:trPr>
          <w:trHeight w:val="203"/>
        </w:trPr>
        <w:tc>
          <w:tcPr>
            <w:tcW w:w="74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expense, net</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(374 )</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(615 )</w:t>
            </w:r>
          </w:p>
        </w:tc>
      </w:tr>
      <w:tr>
        <w:trPr>
          <w:trHeight w:val="196"/>
        </w:trPr>
        <w:tc>
          <w:tcPr>
            <w:tcW w:w="7480" w:type="dxa"/>
            <w:vAlign w:val="bottom"/>
          </w:tcPr>
          <w:p>
            <w:pPr>
              <w:ind w:left="20"/>
              <w:spacing w:after="0" w:line="196" w:lineRule="exact"/>
              <w:rPr>
                <w:sz w:val="20"/>
                <w:szCs w:val="20"/>
                <w:color w:val="auto"/>
              </w:rPr>
            </w:pPr>
            <w:r>
              <w:rPr>
                <w:rFonts w:ascii="Arial" w:cs="Arial" w:eastAsia="Arial" w:hAnsi="Arial"/>
                <w:sz w:val="18"/>
                <w:szCs w:val="18"/>
                <w:color w:val="auto"/>
              </w:rPr>
              <w:t>Total other expense, net</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(946 )</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(980 )</w:t>
            </w:r>
          </w:p>
        </w:tc>
      </w:tr>
      <w:tr>
        <w:trPr>
          <w:trHeight w:val="196"/>
        </w:trPr>
        <w:tc>
          <w:tcPr>
            <w:tcW w:w="7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income before income taxes</w:t>
            </w:r>
          </w:p>
        </w:tc>
        <w:tc>
          <w:tcPr>
            <w:tcW w:w="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(3,303 )</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152</w:t>
            </w: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(Benefit from) provision for income taxes</w:t>
            </w:r>
          </w:p>
        </w:tc>
        <w:tc>
          <w:tcPr>
            <w:tcW w:w="2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(1,145 )</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50</w:t>
            </w:r>
          </w:p>
        </w:tc>
      </w:tr>
      <w:tr>
        <w:trPr>
          <w:trHeight w:val="236"/>
        </w:trPr>
        <w:tc>
          <w:tcPr>
            <w:tcW w:w="74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Net (loss) income</w:t>
            </w:r>
          </w:p>
        </w:tc>
        <w:tc>
          <w:tcPr>
            <w:tcW w:w="2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(2,158 )</w:t>
            </w:r>
          </w:p>
        </w:tc>
        <w:tc>
          <w:tcPr>
            <w:tcW w:w="1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102</w:t>
            </w:r>
          </w:p>
        </w:tc>
      </w:tr>
      <w:tr>
        <w:trPr>
          <w:trHeight w:val="183"/>
        </w:trPr>
        <w:tc>
          <w:tcPr>
            <w:tcW w:w="7480" w:type="dxa"/>
            <w:vAlign w:val="bottom"/>
          </w:tcPr>
          <w:p>
            <w:pPr>
              <w:ind w:left="20"/>
              <w:spacing w:after="0" w:line="183" w:lineRule="exact"/>
              <w:rPr>
                <w:sz w:val="20"/>
                <w:szCs w:val="20"/>
                <w:color w:val="auto"/>
              </w:rPr>
            </w:pPr>
            <w:r>
              <w:rPr>
                <w:rFonts w:ascii="Arial" w:cs="Arial" w:eastAsia="Arial" w:hAnsi="Arial"/>
                <w:sz w:val="18"/>
                <w:szCs w:val="18"/>
                <w:color w:val="auto"/>
              </w:rPr>
              <w:t>Less: net loss allocated to noncontrolling interests</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ind w:right="11"/>
              <w:spacing w:after="0" w:line="183" w:lineRule="exact"/>
              <w:rPr>
                <w:sz w:val="20"/>
                <w:szCs w:val="20"/>
                <w:color w:val="auto"/>
              </w:rPr>
            </w:pPr>
            <w:r>
              <w:rPr>
                <w:rFonts w:ascii="Arial" w:cs="Arial" w:eastAsia="Arial" w:hAnsi="Arial"/>
                <w:sz w:val="18"/>
                <w:szCs w:val="18"/>
                <w:color w:val="auto"/>
              </w:rPr>
              <w:t>137</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11"/>
              <w:spacing w:after="0" w:line="183" w:lineRule="exact"/>
              <w:rPr>
                <w:sz w:val="20"/>
                <w:szCs w:val="20"/>
                <w:color w:val="auto"/>
              </w:rPr>
            </w:pPr>
            <w:r>
              <w:rPr>
                <w:rFonts w:ascii="Arial" w:cs="Arial" w:eastAsia="Arial" w:hAnsi="Arial"/>
                <w:sz w:val="18"/>
                <w:szCs w:val="18"/>
                <w:color w:val="auto"/>
              </w:rPr>
              <w:t>-</w:t>
            </w:r>
          </w:p>
        </w:tc>
      </w:tr>
      <w:tr>
        <w:trPr>
          <w:trHeight w:val="203"/>
        </w:trPr>
        <w:tc>
          <w:tcPr>
            <w:tcW w:w="74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Less: net income allocated to participating securities</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(102 )</w:t>
            </w:r>
          </w:p>
        </w:tc>
      </w:tr>
      <w:tr>
        <w:trPr>
          <w:trHeight w:val="196"/>
        </w:trPr>
        <w:tc>
          <w:tcPr>
            <w:tcW w:w="7480" w:type="dxa"/>
            <w:vAlign w:val="bottom"/>
          </w:tcPr>
          <w:p>
            <w:pPr>
              <w:ind w:left="20"/>
              <w:spacing w:after="0" w:line="196" w:lineRule="exact"/>
              <w:rPr>
                <w:sz w:val="20"/>
                <w:szCs w:val="20"/>
                <w:color w:val="auto"/>
              </w:rPr>
            </w:pPr>
            <w:r>
              <w:rPr>
                <w:rFonts w:ascii="Arial" w:cs="Arial" w:eastAsia="Arial" w:hAnsi="Arial"/>
                <w:sz w:val="18"/>
                <w:szCs w:val="18"/>
                <w:color w:val="auto"/>
              </w:rPr>
              <w:t>Net (loss) income attributable to common stockholders, basic and diluted</w:t>
            </w:r>
          </w:p>
        </w:tc>
        <w:tc>
          <w:tcPr>
            <w:tcW w:w="60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(2,021 )</w:t>
            </w:r>
          </w:p>
        </w:tc>
        <w:tc>
          <w:tcPr>
            <w:tcW w:w="56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w:t>
            </w:r>
          </w:p>
        </w:tc>
      </w:tr>
      <w:tr>
        <w:trPr>
          <w:trHeight w:val="20"/>
        </w:trPr>
        <w:tc>
          <w:tcPr>
            <w:tcW w:w="7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4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income attributable to common stockholders per share, basic</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(0.02 )</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11"/>
              <w:spacing w:after="0" w:line="183" w:lineRule="exact"/>
              <w:rPr>
                <w:sz w:val="20"/>
                <w:szCs w:val="20"/>
                <w:color w:val="auto"/>
              </w:rPr>
            </w:pPr>
            <w:r>
              <w:rPr>
                <w:rFonts w:ascii="Arial" w:cs="Arial" w:eastAsia="Arial" w:hAnsi="Arial"/>
                <w:sz w:val="18"/>
                <w:szCs w:val="18"/>
                <w:color w:val="auto"/>
              </w:rPr>
              <w:t>-</w:t>
            </w:r>
          </w:p>
        </w:tc>
      </w:tr>
      <w:tr>
        <w:trPr>
          <w:trHeight w:val="183"/>
        </w:trPr>
        <w:tc>
          <w:tcPr>
            <w:tcW w:w="7480" w:type="dxa"/>
            <w:vAlign w:val="bottom"/>
          </w:tcPr>
          <w:p>
            <w:pPr>
              <w:ind w:left="20"/>
              <w:spacing w:after="0" w:line="183" w:lineRule="exact"/>
              <w:rPr>
                <w:sz w:val="20"/>
                <w:szCs w:val="20"/>
                <w:color w:val="auto"/>
              </w:rPr>
            </w:pPr>
            <w:r>
              <w:rPr>
                <w:rFonts w:ascii="Arial" w:cs="Arial" w:eastAsia="Arial" w:hAnsi="Arial"/>
                <w:sz w:val="18"/>
                <w:szCs w:val="18"/>
                <w:color w:val="auto"/>
              </w:rPr>
              <w:t>Net (loss) income attributable to common stockholders per share, diluted</w:t>
            </w:r>
          </w:p>
        </w:tc>
        <w:tc>
          <w:tcPr>
            <w:tcW w:w="600" w:type="dxa"/>
            <w:vAlign w:val="bottom"/>
            <w:gridSpan w:val="2"/>
          </w:tcPr>
          <w:p>
            <w:pPr>
              <w:jc w:val="right"/>
              <w:ind w:right="190"/>
              <w:spacing w:after="0" w:line="183"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83" w:lineRule="exact"/>
              <w:rPr>
                <w:sz w:val="20"/>
                <w:szCs w:val="20"/>
                <w:color w:val="auto"/>
              </w:rPr>
            </w:pPr>
            <w:r>
              <w:rPr>
                <w:rFonts w:ascii="Arial" w:cs="Arial" w:eastAsia="Arial" w:hAnsi="Arial"/>
                <w:sz w:val="18"/>
                <w:szCs w:val="18"/>
                <w:color w:val="auto"/>
              </w:rPr>
              <w:t>(0.02 )</w:t>
            </w:r>
          </w:p>
        </w:tc>
        <w:tc>
          <w:tcPr>
            <w:tcW w:w="560" w:type="dxa"/>
            <w:vAlign w:val="bottom"/>
            <w:gridSpan w:val="2"/>
          </w:tcPr>
          <w:p>
            <w:pPr>
              <w:jc w:val="right"/>
              <w:ind w:right="190"/>
              <w:spacing w:after="0" w:line="183"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183" w:lineRule="exact"/>
              <w:rPr>
                <w:sz w:val="20"/>
                <w:szCs w:val="20"/>
                <w:color w:val="auto"/>
              </w:rPr>
            </w:pPr>
            <w:r>
              <w:rPr>
                <w:rFonts w:ascii="Arial" w:cs="Arial" w:eastAsia="Arial" w:hAnsi="Arial"/>
                <w:sz w:val="18"/>
                <w:szCs w:val="18"/>
                <w:color w:val="auto"/>
              </w:rPr>
              <w:t>-</w:t>
            </w:r>
          </w:p>
        </w:tc>
      </w:tr>
      <w:tr>
        <w:trPr>
          <w:trHeight w:val="20"/>
        </w:trPr>
        <w:tc>
          <w:tcPr>
            <w:tcW w:w="7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4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Weighted-average shares used in calculating net (loss) income per share, basic</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11"/>
              <w:spacing w:after="0" w:line="183" w:lineRule="exact"/>
              <w:rPr>
                <w:sz w:val="20"/>
                <w:szCs w:val="20"/>
                <w:color w:val="auto"/>
              </w:rPr>
            </w:pPr>
            <w:r>
              <w:rPr>
                <w:rFonts w:ascii="Arial" w:cs="Arial" w:eastAsia="Arial" w:hAnsi="Arial"/>
                <w:sz w:val="18"/>
                <w:szCs w:val="18"/>
                <w:color w:val="auto"/>
              </w:rPr>
              <w:t>133,902,523</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11"/>
              <w:spacing w:after="0" w:line="183" w:lineRule="exact"/>
              <w:rPr>
                <w:sz w:val="20"/>
                <w:szCs w:val="20"/>
                <w:color w:val="auto"/>
              </w:rPr>
            </w:pPr>
            <w:r>
              <w:rPr>
                <w:rFonts w:ascii="Arial" w:cs="Arial" w:eastAsia="Arial" w:hAnsi="Arial"/>
                <w:sz w:val="18"/>
                <w:szCs w:val="18"/>
                <w:color w:val="auto"/>
              </w:rPr>
              <w:t>31,557,473</w:t>
            </w:r>
          </w:p>
        </w:tc>
      </w:tr>
      <w:tr>
        <w:trPr>
          <w:trHeight w:val="183"/>
        </w:trPr>
        <w:tc>
          <w:tcPr>
            <w:tcW w:w="7480" w:type="dxa"/>
            <w:vAlign w:val="bottom"/>
          </w:tcPr>
          <w:p>
            <w:pPr>
              <w:ind w:left="20"/>
              <w:spacing w:after="0" w:line="183" w:lineRule="exact"/>
              <w:rPr>
                <w:sz w:val="20"/>
                <w:szCs w:val="20"/>
                <w:color w:val="auto"/>
              </w:rPr>
            </w:pPr>
            <w:r>
              <w:rPr>
                <w:rFonts w:ascii="Arial" w:cs="Arial" w:eastAsia="Arial" w:hAnsi="Arial"/>
                <w:sz w:val="18"/>
                <w:szCs w:val="18"/>
                <w:color w:val="auto"/>
              </w:rPr>
              <w:t>Weighted-average shares used in calculating net (loss) income per share, diluted</w:t>
            </w:r>
          </w:p>
        </w:tc>
        <w:tc>
          <w:tcPr>
            <w:tcW w:w="2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1"/>
              <w:spacing w:after="0" w:line="183" w:lineRule="exact"/>
              <w:rPr>
                <w:sz w:val="20"/>
                <w:szCs w:val="20"/>
                <w:color w:val="auto"/>
              </w:rPr>
            </w:pPr>
            <w:r>
              <w:rPr>
                <w:rFonts w:ascii="Arial" w:cs="Arial" w:eastAsia="Arial" w:hAnsi="Arial"/>
                <w:sz w:val="18"/>
                <w:szCs w:val="18"/>
                <w:color w:val="auto"/>
              </w:rPr>
              <w:t>133,902,523</w:t>
            </w:r>
          </w:p>
        </w:tc>
        <w:tc>
          <w:tcPr>
            <w:tcW w:w="1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1"/>
              <w:spacing w:after="0" w:line="183" w:lineRule="exact"/>
              <w:rPr>
                <w:sz w:val="20"/>
                <w:szCs w:val="20"/>
                <w:color w:val="auto"/>
              </w:rPr>
            </w:pPr>
            <w:r>
              <w:rPr>
                <w:rFonts w:ascii="Arial" w:cs="Arial" w:eastAsia="Arial" w:hAnsi="Arial"/>
                <w:sz w:val="18"/>
                <w:szCs w:val="18"/>
                <w:color w:val="auto"/>
              </w:rPr>
              <w:t>35,757,157</w:t>
            </w:r>
          </w:p>
        </w:tc>
      </w:tr>
      <w:tr>
        <w:trPr>
          <w:trHeight w:val="20"/>
        </w:trPr>
        <w:tc>
          <w:tcPr>
            <w:tcW w:w="7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74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Comprehensive (loss) income:</w:t>
            </w:r>
          </w:p>
        </w:tc>
        <w:tc>
          <w:tcPr>
            <w:tcW w:w="2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Net (loss) income</w:t>
            </w:r>
          </w:p>
        </w:tc>
        <w:tc>
          <w:tcPr>
            <w:tcW w:w="60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(2,158 )</w:t>
            </w:r>
          </w:p>
        </w:tc>
        <w:tc>
          <w:tcPr>
            <w:tcW w:w="56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102</w:t>
            </w:r>
          </w:p>
        </w:tc>
      </w:tr>
      <w:tr>
        <w:trPr>
          <w:trHeight w:val="203"/>
        </w:trPr>
        <w:tc>
          <w:tcPr>
            <w:tcW w:w="74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2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14</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202</w:t>
            </w:r>
          </w:p>
        </w:tc>
      </w:tr>
      <w:tr>
        <w:trPr>
          <w:trHeight w:val="196"/>
        </w:trPr>
        <w:tc>
          <w:tcPr>
            <w:tcW w:w="7480" w:type="dxa"/>
            <w:vAlign w:val="bottom"/>
          </w:tcPr>
          <w:p>
            <w:pPr>
              <w:ind w:left="200"/>
              <w:spacing w:after="0" w:line="196" w:lineRule="exact"/>
              <w:rPr>
                <w:sz w:val="20"/>
                <w:szCs w:val="20"/>
                <w:color w:val="auto"/>
              </w:rPr>
            </w:pPr>
            <w:r>
              <w:rPr>
                <w:rFonts w:ascii="Arial" w:cs="Arial" w:eastAsia="Arial" w:hAnsi="Arial"/>
                <w:sz w:val="18"/>
                <w:szCs w:val="18"/>
                <w:color w:val="auto"/>
              </w:rPr>
              <w:t>Net comprehensive (loss) income</w:t>
            </w:r>
          </w:p>
        </w:tc>
        <w:tc>
          <w:tcPr>
            <w:tcW w:w="60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(2,144 )</w:t>
            </w:r>
          </w:p>
        </w:tc>
        <w:tc>
          <w:tcPr>
            <w:tcW w:w="560" w:type="dxa"/>
            <w:vAlign w:val="bottom"/>
            <w:gridSpan w:val="2"/>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304</w:t>
            </w:r>
          </w:p>
        </w:tc>
      </w:tr>
      <w:tr>
        <w:trPr>
          <w:trHeight w:val="20"/>
        </w:trPr>
        <w:tc>
          <w:tcPr>
            <w:tcW w:w="7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-4248150</wp:posOffset>
            </wp:positionV>
            <wp:extent cx="12001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-3725545</wp:posOffset>
            </wp:positionV>
            <wp:extent cx="12001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-2936875</wp:posOffset>
            </wp:positionV>
            <wp:extent cx="12001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-2148205</wp:posOffset>
            </wp:positionV>
            <wp:extent cx="12001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-1610995</wp:posOffset>
            </wp:positionV>
            <wp:extent cx="120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-1593850</wp:posOffset>
            </wp:positionV>
            <wp:extent cx="120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-1325245</wp:posOffset>
            </wp:positionV>
            <wp:extent cx="12001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-1036320</wp:posOffset>
            </wp:positionV>
            <wp:extent cx="120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-1019175</wp:posOffset>
            </wp:positionV>
            <wp:extent cx="120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-728345</wp:posOffset>
            </wp:positionV>
            <wp:extent cx="1200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-710565</wp:posOffset>
            </wp:positionV>
            <wp:extent cx="1200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-159385</wp:posOffset>
            </wp:positionV>
            <wp:extent cx="12001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12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interim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4</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Cytek Biosciences,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Redeemable Convertible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Preferred Stock and Stockholders’ Equity (Deficit)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600" w:type="dxa"/>
            <w:vAlign w:val="bottom"/>
          </w:tcPr>
          <w:p>
            <w:pPr>
              <w:spacing w:after="0"/>
              <w:rPr>
                <w:sz w:val="14"/>
                <w:szCs w:val="14"/>
                <w:color w:val="auto"/>
              </w:rPr>
            </w:pPr>
          </w:p>
        </w:tc>
        <w:tc>
          <w:tcPr>
            <w:tcW w:w="1700" w:type="dxa"/>
            <w:vAlign w:val="bottom"/>
            <w:tcBorders>
              <w:right w:val="single" w:sz="8" w:color="auto"/>
            </w:tcBorders>
            <w:gridSpan w:val="3"/>
          </w:tcPr>
          <w:p>
            <w:pPr>
              <w:jc w:val="center"/>
              <w:ind w:right="57"/>
              <w:spacing w:after="0"/>
              <w:rPr>
                <w:sz w:val="20"/>
                <w:szCs w:val="20"/>
                <w:color w:val="auto"/>
              </w:rPr>
            </w:pPr>
            <w:r>
              <w:rPr>
                <w:rFonts w:ascii="Arial" w:cs="Arial" w:eastAsia="Arial" w:hAnsi="Arial"/>
                <w:sz w:val="13"/>
                <w:szCs w:val="13"/>
                <w:b w:val="1"/>
                <w:bCs w:val="1"/>
                <w:color w:val="auto"/>
                <w:w w:val="86"/>
              </w:rPr>
              <w:t>Redeemable convertible</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center"/>
              <w:ind w:right="57"/>
              <w:spacing w:after="0"/>
              <w:rPr>
                <w:sz w:val="20"/>
                <w:szCs w:val="20"/>
                <w:color w:val="auto"/>
              </w:rPr>
            </w:pPr>
            <w:r>
              <w:rPr>
                <w:rFonts w:ascii="Arial" w:cs="Arial" w:eastAsia="Arial" w:hAnsi="Arial"/>
                <w:sz w:val="13"/>
                <w:szCs w:val="13"/>
                <w:b w:val="1"/>
                <w:bCs w:val="1"/>
                <w:color w:val="auto"/>
                <w:w w:val="91"/>
              </w:rPr>
              <w:t>Additional</w:t>
            </w: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w w:val="86"/>
              </w:rPr>
              <w:t>Accumulated other</w:t>
            </w:r>
          </w:p>
        </w:tc>
        <w:tc>
          <w:tcPr>
            <w:tcW w:w="380" w:type="dxa"/>
            <w:vAlign w:val="bottom"/>
          </w:tcPr>
          <w:p>
            <w:pPr>
              <w:spacing w:after="0"/>
              <w:rPr>
                <w:sz w:val="14"/>
                <w:szCs w:val="14"/>
                <w:color w:val="auto"/>
              </w:rPr>
            </w:pPr>
          </w:p>
        </w:tc>
        <w:tc>
          <w:tcPr>
            <w:tcW w:w="1260" w:type="dxa"/>
            <w:vAlign w:val="bottom"/>
          </w:tcPr>
          <w:p>
            <w:pPr>
              <w:jc w:val="center"/>
              <w:ind w:right="197"/>
              <w:spacing w:after="0"/>
              <w:rPr>
                <w:sz w:val="20"/>
                <w:szCs w:val="20"/>
                <w:color w:val="auto"/>
              </w:rPr>
            </w:pPr>
            <w:r>
              <w:rPr>
                <w:rFonts w:ascii="Arial" w:cs="Arial" w:eastAsia="Arial" w:hAnsi="Arial"/>
                <w:sz w:val="13"/>
                <w:szCs w:val="13"/>
                <w:b w:val="1"/>
                <w:bCs w:val="1"/>
                <w:color w:val="auto"/>
                <w:w w:val="86"/>
              </w:rPr>
              <w:t>Noncontrolling</w:t>
            </w:r>
          </w:p>
        </w:tc>
        <w:tc>
          <w:tcPr>
            <w:tcW w:w="26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8"/>
        </w:trPr>
        <w:tc>
          <w:tcPr>
            <w:tcW w:w="16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4"/>
              </w:rPr>
              <w:t>(In thousands, except share</w:t>
            </w:r>
          </w:p>
        </w:tc>
        <w:tc>
          <w:tcPr>
            <w:tcW w:w="1700" w:type="dxa"/>
            <w:vAlign w:val="bottom"/>
            <w:tcBorders>
              <w:bottom w:val="single" w:sz="8" w:color="auto"/>
            </w:tcBorders>
            <w:gridSpan w:val="3"/>
          </w:tcPr>
          <w:p>
            <w:pPr>
              <w:jc w:val="center"/>
              <w:ind w:right="57"/>
              <w:spacing w:after="0"/>
              <w:rPr>
                <w:sz w:val="20"/>
                <w:szCs w:val="20"/>
                <w:color w:val="auto"/>
              </w:rPr>
            </w:pPr>
            <w:r>
              <w:rPr>
                <w:rFonts w:ascii="Arial" w:cs="Arial" w:eastAsia="Arial" w:hAnsi="Arial"/>
                <w:sz w:val="13"/>
                <w:szCs w:val="13"/>
                <w:b w:val="1"/>
                <w:bCs w:val="1"/>
                <w:color w:val="auto"/>
                <w:w w:val="86"/>
              </w:rPr>
              <w:t>preferred stock</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center"/>
              <w:ind w:right="57"/>
              <w:spacing w:after="0"/>
              <w:rPr>
                <w:sz w:val="20"/>
                <w:szCs w:val="20"/>
                <w:color w:val="auto"/>
              </w:rPr>
            </w:pPr>
            <w:r>
              <w:rPr>
                <w:rFonts w:ascii="Arial" w:cs="Arial" w:eastAsia="Arial" w:hAnsi="Arial"/>
                <w:sz w:val="13"/>
                <w:szCs w:val="13"/>
                <w:b w:val="1"/>
                <w:bCs w:val="1"/>
                <w:color w:val="auto"/>
                <w:w w:val="89"/>
              </w:rPr>
              <w:t>paid-in</w:t>
            </w:r>
          </w:p>
        </w:tc>
        <w:tc>
          <w:tcPr>
            <w:tcW w:w="340" w:type="dxa"/>
            <w:vAlign w:val="bottom"/>
          </w:tcPr>
          <w:p>
            <w:pPr>
              <w:spacing w:after="0"/>
              <w:rPr>
                <w:sz w:val="12"/>
                <w:szCs w:val="12"/>
                <w:color w:val="auto"/>
              </w:rPr>
            </w:pPr>
          </w:p>
        </w:tc>
        <w:tc>
          <w:tcPr>
            <w:tcW w:w="1060" w:type="dxa"/>
            <w:vAlign w:val="bottom"/>
          </w:tcPr>
          <w:p>
            <w:pPr>
              <w:jc w:val="center"/>
              <w:ind w:right="237"/>
              <w:spacing w:after="0"/>
              <w:rPr>
                <w:sz w:val="20"/>
                <w:szCs w:val="20"/>
                <w:color w:val="auto"/>
              </w:rPr>
            </w:pPr>
            <w:r>
              <w:rPr>
                <w:rFonts w:ascii="Arial" w:cs="Arial" w:eastAsia="Arial" w:hAnsi="Arial"/>
                <w:sz w:val="13"/>
                <w:szCs w:val="13"/>
                <w:b w:val="1"/>
                <w:bCs w:val="1"/>
                <w:color w:val="auto"/>
                <w:w w:val="88"/>
              </w:rPr>
              <w:t>Accumulated</w:t>
            </w:r>
          </w:p>
        </w:tc>
        <w:tc>
          <w:tcPr>
            <w:tcW w:w="220" w:type="dxa"/>
            <w:vAlign w:val="bottom"/>
          </w:tcPr>
          <w:p>
            <w:pPr>
              <w:spacing w:after="0"/>
              <w:rPr>
                <w:sz w:val="12"/>
                <w:szCs w:val="12"/>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b w:val="1"/>
                <w:bCs w:val="1"/>
                <w:color w:val="auto"/>
                <w:w w:val="83"/>
              </w:rPr>
              <w:t>comprehensive</w:t>
            </w:r>
          </w:p>
        </w:tc>
        <w:tc>
          <w:tcPr>
            <w:tcW w:w="1640" w:type="dxa"/>
            <w:vAlign w:val="bottom"/>
            <w:gridSpan w:val="2"/>
          </w:tcPr>
          <w:p>
            <w:pPr>
              <w:jc w:val="center"/>
              <w:ind w:left="57"/>
              <w:spacing w:after="0"/>
              <w:rPr>
                <w:sz w:val="20"/>
                <w:szCs w:val="20"/>
                <w:color w:val="auto"/>
              </w:rPr>
            </w:pPr>
            <w:r>
              <w:rPr>
                <w:rFonts w:ascii="Arial" w:cs="Arial" w:eastAsia="Arial" w:hAnsi="Arial"/>
                <w:sz w:val="13"/>
                <w:szCs w:val="13"/>
                <w:b w:val="1"/>
                <w:bCs w:val="1"/>
                <w:color w:val="auto"/>
                <w:w w:val="84"/>
              </w:rPr>
              <w:t>interest in consolidated</w:t>
            </w:r>
          </w:p>
        </w:tc>
        <w:tc>
          <w:tcPr>
            <w:tcW w:w="26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02"/>
        </w:trPr>
        <w:tc>
          <w:tcPr>
            <w:tcW w:w="1600" w:type="dxa"/>
            <w:vAlign w:val="bottom"/>
            <w:vMerge w:val="continue"/>
          </w:tcPr>
          <w:p>
            <w:pPr>
              <w:spacing w:after="0"/>
              <w:rPr>
                <w:sz w:val="8"/>
                <w:szCs w:val="8"/>
                <w:color w:val="auto"/>
              </w:rPr>
            </w:pPr>
          </w:p>
        </w:tc>
        <w:tc>
          <w:tcPr>
            <w:tcW w:w="88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8"/>
                <w:szCs w:val="8"/>
                <w:color w:val="auto"/>
              </w:rPr>
            </w:pPr>
          </w:p>
        </w:tc>
        <w:tc>
          <w:tcPr>
            <w:tcW w:w="700" w:type="dxa"/>
            <w:vAlign w:val="bottom"/>
            <w:tcBorders>
              <w:right w:val="single" w:sz="8" w:color="auto"/>
            </w:tcBorders>
            <w:vMerge w:val="restart"/>
          </w:tcPr>
          <w:p>
            <w:pPr>
              <w:jc w:val="right"/>
              <w:ind w:right="177"/>
              <w:spacing w:after="0"/>
              <w:rPr>
                <w:sz w:val="20"/>
                <w:szCs w:val="20"/>
                <w:color w:val="auto"/>
              </w:rPr>
            </w:pPr>
            <w:r>
              <w:rPr>
                <w:rFonts w:ascii="Arial" w:cs="Arial" w:eastAsia="Arial" w:hAnsi="Arial"/>
                <w:sz w:val="13"/>
                <w:szCs w:val="13"/>
                <w:b w:val="1"/>
                <w:bCs w:val="1"/>
                <w:color w:val="auto"/>
                <w:w w:val="89"/>
              </w:rPr>
              <w:t>Amount</w:t>
            </w:r>
          </w:p>
        </w:tc>
        <w:tc>
          <w:tcPr>
            <w:tcW w:w="92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2"/>
            <w:vMerge w:val="restart"/>
          </w:tcPr>
          <w:p>
            <w:pPr>
              <w:jc w:val="right"/>
              <w:ind w:right="37"/>
              <w:spacing w:after="0"/>
              <w:rPr>
                <w:sz w:val="20"/>
                <w:szCs w:val="20"/>
                <w:color w:val="auto"/>
              </w:rPr>
            </w:pPr>
            <w:r>
              <w:rPr>
                <w:rFonts w:ascii="Arial" w:cs="Arial" w:eastAsia="Arial" w:hAnsi="Arial"/>
                <w:sz w:val="13"/>
                <w:szCs w:val="13"/>
                <w:b w:val="1"/>
                <w:bCs w:val="1"/>
                <w:color w:val="auto"/>
                <w:w w:val="97"/>
              </w:rPr>
              <w:t>Amount</w:t>
            </w:r>
          </w:p>
        </w:tc>
        <w:tc>
          <w:tcPr>
            <w:tcW w:w="300" w:type="dxa"/>
            <w:vAlign w:val="bottom"/>
          </w:tcPr>
          <w:p>
            <w:pPr>
              <w:spacing w:after="0"/>
              <w:rPr>
                <w:sz w:val="8"/>
                <w:szCs w:val="8"/>
                <w:color w:val="auto"/>
              </w:rPr>
            </w:pPr>
          </w:p>
        </w:tc>
        <w:tc>
          <w:tcPr>
            <w:tcW w:w="70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87"/>
              </w:rPr>
              <w:t>capital</w:t>
            </w:r>
          </w:p>
        </w:tc>
        <w:tc>
          <w:tcPr>
            <w:tcW w:w="340" w:type="dxa"/>
            <w:vAlign w:val="bottom"/>
          </w:tcPr>
          <w:p>
            <w:pPr>
              <w:spacing w:after="0"/>
              <w:rPr>
                <w:sz w:val="8"/>
                <w:szCs w:val="8"/>
                <w:color w:val="auto"/>
              </w:rPr>
            </w:pPr>
          </w:p>
        </w:tc>
        <w:tc>
          <w:tcPr>
            <w:tcW w:w="1060" w:type="dxa"/>
            <w:vAlign w:val="bottom"/>
            <w:vMerge w:val="restart"/>
          </w:tcPr>
          <w:p>
            <w:pPr>
              <w:jc w:val="center"/>
              <w:ind w:right="237"/>
              <w:spacing w:after="0"/>
              <w:rPr>
                <w:sz w:val="20"/>
                <w:szCs w:val="20"/>
                <w:color w:val="auto"/>
              </w:rPr>
            </w:pPr>
            <w:r>
              <w:rPr>
                <w:rFonts w:ascii="Arial" w:cs="Arial" w:eastAsia="Arial" w:hAnsi="Arial"/>
                <w:sz w:val="13"/>
                <w:szCs w:val="13"/>
                <w:b w:val="1"/>
                <w:bCs w:val="1"/>
                <w:color w:val="auto"/>
                <w:w w:val="83"/>
              </w:rPr>
              <w:t>deficit</w:t>
            </w:r>
          </w:p>
        </w:tc>
        <w:tc>
          <w:tcPr>
            <w:tcW w:w="220" w:type="dxa"/>
            <w:vAlign w:val="bottom"/>
          </w:tcPr>
          <w:p>
            <w:pPr>
              <w:spacing w:after="0"/>
              <w:rPr>
                <w:sz w:val="8"/>
                <w:szCs w:val="8"/>
                <w:color w:val="auto"/>
              </w:rPr>
            </w:pPr>
          </w:p>
        </w:tc>
        <w:tc>
          <w:tcPr>
            <w:tcW w:w="100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auto"/>
                <w:w w:val="83"/>
              </w:rPr>
              <w:t>income</w:t>
            </w:r>
          </w:p>
        </w:tc>
        <w:tc>
          <w:tcPr>
            <w:tcW w:w="380" w:type="dxa"/>
            <w:vAlign w:val="bottom"/>
          </w:tcPr>
          <w:p>
            <w:pPr>
              <w:spacing w:after="0"/>
              <w:rPr>
                <w:sz w:val="8"/>
                <w:szCs w:val="8"/>
                <w:color w:val="auto"/>
              </w:rPr>
            </w:pPr>
          </w:p>
        </w:tc>
        <w:tc>
          <w:tcPr>
            <w:tcW w:w="1260" w:type="dxa"/>
            <w:vAlign w:val="bottom"/>
            <w:vMerge w:val="restart"/>
          </w:tcPr>
          <w:p>
            <w:pPr>
              <w:jc w:val="center"/>
              <w:ind w:right="197"/>
              <w:spacing w:after="0"/>
              <w:rPr>
                <w:sz w:val="20"/>
                <w:szCs w:val="20"/>
                <w:color w:val="auto"/>
              </w:rPr>
            </w:pPr>
            <w:r>
              <w:rPr>
                <w:rFonts w:ascii="Arial" w:cs="Arial" w:eastAsia="Arial" w:hAnsi="Arial"/>
                <w:sz w:val="13"/>
                <w:szCs w:val="13"/>
                <w:b w:val="1"/>
                <w:bCs w:val="1"/>
                <w:color w:val="auto"/>
                <w:w w:val="86"/>
              </w:rPr>
              <w:t>subsidiary</w:t>
            </w:r>
          </w:p>
        </w:tc>
        <w:tc>
          <w:tcPr>
            <w:tcW w:w="260" w:type="dxa"/>
            <w:vAlign w:val="bottom"/>
          </w:tcPr>
          <w:p>
            <w:pPr>
              <w:spacing w:after="0"/>
              <w:rPr>
                <w:sz w:val="8"/>
                <w:szCs w:val="8"/>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3"/>
              </w:rPr>
              <w:t>equity</w:t>
            </w:r>
          </w:p>
        </w:tc>
        <w:tc>
          <w:tcPr>
            <w:tcW w:w="0" w:type="dxa"/>
            <w:vAlign w:val="bottom"/>
          </w:tcPr>
          <w:p>
            <w:pPr>
              <w:spacing w:after="0"/>
              <w:rPr>
                <w:sz w:val="1"/>
                <w:szCs w:val="1"/>
                <w:color w:val="auto"/>
              </w:rPr>
            </w:pPr>
          </w:p>
        </w:tc>
      </w:tr>
      <w:tr>
        <w:trPr>
          <w:trHeight w:val="162"/>
        </w:trPr>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89"/>
              </w:rPr>
              <w:t>data)</w:t>
            </w: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600" w:type="dxa"/>
            <w:vAlign w:val="bottom"/>
            <w:tcBorders>
              <w:top w:val="single" w:sz="8" w:color="auto"/>
            </w:tcBorders>
            <w:shd w:val="clear" w:color="auto" w:fill="CFF0FC"/>
          </w:tcPr>
          <w:p>
            <w:pPr>
              <w:ind w:left="20"/>
              <w:spacing w:after="0" w:line="102" w:lineRule="exact"/>
              <w:rPr>
                <w:sz w:val="20"/>
                <w:szCs w:val="20"/>
                <w:color w:val="auto"/>
              </w:rPr>
            </w:pPr>
            <w:r>
              <w:rPr>
                <w:rFonts w:ascii="Arial" w:cs="Arial" w:eastAsia="Arial" w:hAnsi="Arial"/>
                <w:sz w:val="10"/>
                <w:szCs w:val="10"/>
                <w:color w:val="auto"/>
              </w:rPr>
              <w:t>Balances at December 31,</w:t>
            </w: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right w:val="single" w:sz="8" w:color="auto"/>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133,749,663</w:t>
            </w:r>
          </w:p>
        </w:tc>
        <w:tc>
          <w:tcPr>
            <w:tcW w:w="280" w:type="dxa"/>
            <w:vAlign w:val="bottom"/>
            <w:tcBorders>
              <w:top w:val="single" w:sz="8" w:color="auto"/>
            </w:tcBorders>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126</w:t>
            </w:r>
          </w:p>
        </w:tc>
        <w:tc>
          <w:tcPr>
            <w:tcW w:w="3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423,625</w:t>
            </w:r>
          </w:p>
        </w:tc>
        <w:tc>
          <w:tcPr>
            <w:tcW w:w="3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(19,606 )</w:t>
            </w:r>
          </w:p>
        </w:tc>
        <w:tc>
          <w:tcPr>
            <w:tcW w:w="2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897</w:t>
            </w:r>
          </w:p>
        </w:tc>
        <w:tc>
          <w:tcPr>
            <w:tcW w:w="380" w:type="dxa"/>
            <w:vAlign w:val="bottom"/>
            <w:tcBorders>
              <w:top w:val="single" w:sz="8" w:color="auto"/>
            </w:tcBorders>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343</w:t>
            </w:r>
          </w:p>
        </w:tc>
        <w:tc>
          <w:tcPr>
            <w:tcW w:w="2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405,385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2021</w:t>
            </w:r>
          </w:p>
        </w:tc>
        <w:tc>
          <w:tcPr>
            <w:tcW w:w="880" w:type="dxa"/>
            <w:vAlign w:val="bottom"/>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00" w:type="dxa"/>
            <w:vAlign w:val="bottom"/>
            <w:tcBorders>
              <w:right w:val="single" w:sz="8" w:color="auto"/>
            </w:tcBorders>
            <w:vMerge w:val="continue"/>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1260" w:type="dxa"/>
            <w:vAlign w:val="bottom"/>
            <w:vMerge w:val="continue"/>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493,267</w:t>
            </w:r>
          </w:p>
        </w:tc>
        <w:tc>
          <w:tcPr>
            <w:tcW w:w="2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8</w:t>
            </w: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356</w:t>
            </w: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FF0FC"/>
          </w:tcPr>
          <w:p>
            <w:pPr>
              <w:ind w:left="20"/>
              <w:spacing w:after="0"/>
              <w:rPr>
                <w:sz w:val="20"/>
                <w:szCs w:val="20"/>
                <w:color w:val="auto"/>
              </w:rPr>
            </w:pPr>
            <w:r>
              <w:rPr>
                <w:rFonts w:ascii="Arial" w:cs="Arial" w:eastAsia="Arial" w:hAnsi="Arial"/>
                <w:sz w:val="13"/>
                <w:szCs w:val="13"/>
                <w:color w:val="auto"/>
                <w:w w:val="99"/>
              </w:rPr>
              <w:t>Stock-based compensation</w:t>
            </w: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tcBorders>
              <w:right w:val="single" w:sz="8" w:color="auto"/>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3,837</w:t>
            </w:r>
          </w:p>
        </w:tc>
        <w:tc>
          <w:tcPr>
            <w:tcW w:w="3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00" w:type="dxa"/>
            <w:vAlign w:val="bottom"/>
          </w:tcPr>
          <w:p>
            <w:pPr>
              <w:ind w:left="20"/>
              <w:spacing w:after="0" w:line="108" w:lineRule="exact"/>
              <w:rPr>
                <w:sz w:val="20"/>
                <w:szCs w:val="20"/>
                <w:color w:val="auto"/>
              </w:rPr>
            </w:pPr>
            <w:r>
              <w:rPr>
                <w:rFonts w:ascii="Arial" w:cs="Arial" w:eastAsia="Arial" w:hAnsi="Arial"/>
                <w:sz w:val="12"/>
                <w:szCs w:val="12"/>
                <w:color w:val="auto"/>
              </w:rPr>
              <w:t>Foreign currency translation</w:t>
            </w: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600" w:type="dxa"/>
            <w:vAlign w:val="bottom"/>
          </w:tcPr>
          <w:p>
            <w:pPr>
              <w:ind w:left="20"/>
              <w:spacing w:after="0"/>
              <w:rPr>
                <w:sz w:val="20"/>
                <w:szCs w:val="20"/>
                <w:color w:val="auto"/>
              </w:rPr>
            </w:pPr>
            <w:r>
              <w:rPr>
                <w:rFonts w:ascii="Arial" w:cs="Arial" w:eastAsia="Arial" w:hAnsi="Arial"/>
                <w:sz w:val="13"/>
                <w:szCs w:val="13"/>
                <w:color w:val="auto"/>
              </w:rPr>
              <w:t>adjustment, net of tax</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8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tcBorders>
              <w:right w:val="single" w:sz="8" w:color="auto"/>
            </w:tcBorders>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(2,021 )</w:t>
            </w: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(2,021 )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00" w:type="dxa"/>
            <w:vAlign w:val="bottom"/>
          </w:tcPr>
          <w:p>
            <w:pPr>
              <w:ind w:left="20"/>
              <w:spacing w:after="0"/>
              <w:rPr>
                <w:sz w:val="20"/>
                <w:szCs w:val="20"/>
                <w:color w:val="auto"/>
              </w:rPr>
            </w:pPr>
            <w:r>
              <w:rPr>
                <w:rFonts w:ascii="Arial" w:cs="Arial" w:eastAsia="Arial" w:hAnsi="Arial"/>
                <w:sz w:val="13"/>
                <w:szCs w:val="13"/>
                <w:color w:val="auto"/>
              </w:rPr>
              <w:t>Noncontrolling interest</w:t>
            </w:r>
          </w:p>
        </w:tc>
        <w:tc>
          <w:tcPr>
            <w:tcW w:w="8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(137 )</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0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color w:val="auto"/>
                <w:w w:val="96"/>
              </w:rPr>
              <w:t>Balances at March 31, 2022</w:t>
            </w:r>
          </w:p>
        </w:tc>
        <w:tc>
          <w:tcPr>
            <w:tcW w:w="8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right w:val="single" w:sz="8" w:color="auto"/>
            </w:tcBorders>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134,242,930</w:t>
            </w:r>
          </w:p>
        </w:tc>
        <w:tc>
          <w:tcPr>
            <w:tcW w:w="280" w:type="dxa"/>
            <w:vAlign w:val="bottom"/>
            <w:tcBorders>
              <w:bottom w:val="single" w:sz="8" w:color="auto"/>
            </w:tcBorders>
            <w:shd w:val="clear" w:color="auto" w:fill="CFF0FC"/>
          </w:tcPr>
          <w:p>
            <w:pPr>
              <w:jc w:val="right"/>
              <w:ind w:right="117"/>
              <w:spacing w:after="0" w:line="142"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134</w:t>
            </w:r>
          </w:p>
        </w:tc>
        <w:tc>
          <w:tcPr>
            <w:tcW w:w="3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427,818</w:t>
            </w:r>
          </w:p>
        </w:tc>
        <w:tc>
          <w:tcPr>
            <w:tcW w:w="3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rPr>
              <w:t>(21,627 )</w:t>
            </w:r>
          </w:p>
        </w:tc>
        <w:tc>
          <w:tcPr>
            <w:tcW w:w="2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911</w:t>
            </w:r>
          </w:p>
        </w:tc>
        <w:tc>
          <w:tcPr>
            <w:tcW w:w="3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206</w:t>
            </w:r>
          </w:p>
        </w:tc>
        <w:tc>
          <w:tcPr>
            <w:tcW w:w="2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407,442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1600" w:type="dxa"/>
            <w:vAlign w:val="bottom"/>
          </w:tcPr>
          <w:p>
            <w:pPr>
              <w:spacing w:after="0"/>
              <w:rPr>
                <w:sz w:val="24"/>
                <w:szCs w:val="24"/>
                <w:color w:val="auto"/>
              </w:rPr>
            </w:pPr>
          </w:p>
        </w:tc>
        <w:tc>
          <w:tcPr>
            <w:tcW w:w="1700" w:type="dxa"/>
            <w:vAlign w:val="bottom"/>
            <w:tcBorders>
              <w:right w:val="single" w:sz="8" w:color="auto"/>
            </w:tcBorders>
            <w:gridSpan w:val="3"/>
          </w:tcPr>
          <w:p>
            <w:pPr>
              <w:jc w:val="center"/>
              <w:ind w:right="57"/>
              <w:spacing w:after="0"/>
              <w:rPr>
                <w:sz w:val="20"/>
                <w:szCs w:val="20"/>
                <w:color w:val="auto"/>
              </w:rPr>
            </w:pPr>
            <w:r>
              <w:rPr>
                <w:rFonts w:ascii="Arial" w:cs="Arial" w:eastAsia="Arial" w:hAnsi="Arial"/>
                <w:sz w:val="13"/>
                <w:szCs w:val="13"/>
                <w:b w:val="1"/>
                <w:bCs w:val="1"/>
                <w:color w:val="auto"/>
                <w:w w:val="86"/>
              </w:rPr>
              <w:t>Redeemable convertible</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center"/>
              <w:ind w:right="57"/>
              <w:spacing w:after="0"/>
              <w:rPr>
                <w:sz w:val="20"/>
                <w:szCs w:val="20"/>
                <w:color w:val="auto"/>
              </w:rPr>
            </w:pPr>
            <w:r>
              <w:rPr>
                <w:rFonts w:ascii="Arial" w:cs="Arial" w:eastAsia="Arial" w:hAnsi="Arial"/>
                <w:sz w:val="13"/>
                <w:szCs w:val="13"/>
                <w:b w:val="1"/>
                <w:bCs w:val="1"/>
                <w:color w:val="auto"/>
                <w:w w:val="91"/>
              </w:rPr>
              <w:t>Additional</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w w:val="86"/>
              </w:rPr>
              <w:t>Accumulated other</w:t>
            </w:r>
          </w:p>
        </w:tc>
        <w:tc>
          <w:tcPr>
            <w:tcW w:w="380" w:type="dxa"/>
            <w:vAlign w:val="bottom"/>
          </w:tcPr>
          <w:p>
            <w:pPr>
              <w:spacing w:after="0"/>
              <w:rPr>
                <w:sz w:val="24"/>
                <w:szCs w:val="24"/>
                <w:color w:val="auto"/>
              </w:rPr>
            </w:pPr>
          </w:p>
        </w:tc>
        <w:tc>
          <w:tcPr>
            <w:tcW w:w="1260" w:type="dxa"/>
            <w:vAlign w:val="bottom"/>
          </w:tcPr>
          <w:p>
            <w:pPr>
              <w:jc w:val="center"/>
              <w:ind w:right="197"/>
              <w:spacing w:after="0"/>
              <w:rPr>
                <w:sz w:val="20"/>
                <w:szCs w:val="20"/>
                <w:color w:val="auto"/>
              </w:rPr>
            </w:pPr>
            <w:r>
              <w:rPr>
                <w:rFonts w:ascii="Arial" w:cs="Arial" w:eastAsia="Arial" w:hAnsi="Arial"/>
                <w:sz w:val="13"/>
                <w:szCs w:val="13"/>
                <w:b w:val="1"/>
                <w:bCs w:val="1"/>
                <w:color w:val="auto"/>
                <w:w w:val="86"/>
              </w:rPr>
              <w:t>Noncontrolling</w:t>
            </w:r>
          </w:p>
        </w:tc>
        <w:tc>
          <w:tcPr>
            <w:tcW w:w="260" w:type="dxa"/>
            <w:vAlign w:val="bottom"/>
          </w:tcPr>
          <w:p>
            <w:pPr>
              <w:spacing w:after="0"/>
              <w:rPr>
                <w:sz w:val="24"/>
                <w:szCs w:val="2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9"/>
        </w:trPr>
        <w:tc>
          <w:tcPr>
            <w:tcW w:w="16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4"/>
              </w:rPr>
              <w:t>(In thousands, except share</w:t>
            </w:r>
          </w:p>
        </w:tc>
        <w:tc>
          <w:tcPr>
            <w:tcW w:w="1700" w:type="dxa"/>
            <w:vAlign w:val="bottom"/>
            <w:tcBorders>
              <w:bottom w:val="single" w:sz="8" w:color="auto"/>
            </w:tcBorders>
            <w:gridSpan w:val="3"/>
          </w:tcPr>
          <w:p>
            <w:pPr>
              <w:jc w:val="center"/>
              <w:ind w:right="57"/>
              <w:spacing w:after="0"/>
              <w:rPr>
                <w:sz w:val="20"/>
                <w:szCs w:val="20"/>
                <w:color w:val="auto"/>
              </w:rPr>
            </w:pPr>
            <w:r>
              <w:rPr>
                <w:rFonts w:ascii="Arial" w:cs="Arial" w:eastAsia="Arial" w:hAnsi="Arial"/>
                <w:sz w:val="13"/>
                <w:szCs w:val="13"/>
                <w:b w:val="1"/>
                <w:bCs w:val="1"/>
                <w:color w:val="auto"/>
                <w:w w:val="86"/>
              </w:rPr>
              <w:t>preferred stock</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center"/>
              <w:ind w:right="57"/>
              <w:spacing w:after="0"/>
              <w:rPr>
                <w:sz w:val="20"/>
                <w:szCs w:val="20"/>
                <w:color w:val="auto"/>
              </w:rPr>
            </w:pPr>
            <w:r>
              <w:rPr>
                <w:rFonts w:ascii="Arial" w:cs="Arial" w:eastAsia="Arial" w:hAnsi="Arial"/>
                <w:sz w:val="13"/>
                <w:szCs w:val="13"/>
                <w:b w:val="1"/>
                <w:bCs w:val="1"/>
                <w:color w:val="auto"/>
                <w:w w:val="89"/>
              </w:rPr>
              <w:t>paid-in</w:t>
            </w:r>
          </w:p>
        </w:tc>
        <w:tc>
          <w:tcPr>
            <w:tcW w:w="340" w:type="dxa"/>
            <w:vAlign w:val="bottom"/>
          </w:tcPr>
          <w:p>
            <w:pPr>
              <w:spacing w:after="0"/>
              <w:rPr>
                <w:sz w:val="12"/>
                <w:szCs w:val="12"/>
                <w:color w:val="auto"/>
              </w:rPr>
            </w:pPr>
          </w:p>
        </w:tc>
        <w:tc>
          <w:tcPr>
            <w:tcW w:w="1060" w:type="dxa"/>
            <w:vAlign w:val="bottom"/>
          </w:tcPr>
          <w:p>
            <w:pPr>
              <w:jc w:val="center"/>
              <w:ind w:right="237"/>
              <w:spacing w:after="0"/>
              <w:rPr>
                <w:sz w:val="20"/>
                <w:szCs w:val="20"/>
                <w:color w:val="auto"/>
              </w:rPr>
            </w:pPr>
            <w:r>
              <w:rPr>
                <w:rFonts w:ascii="Arial" w:cs="Arial" w:eastAsia="Arial" w:hAnsi="Arial"/>
                <w:sz w:val="13"/>
                <w:szCs w:val="13"/>
                <w:b w:val="1"/>
                <w:bCs w:val="1"/>
                <w:color w:val="auto"/>
                <w:w w:val="88"/>
              </w:rPr>
              <w:t>Accumulated</w:t>
            </w:r>
          </w:p>
        </w:tc>
        <w:tc>
          <w:tcPr>
            <w:tcW w:w="220" w:type="dxa"/>
            <w:vAlign w:val="bottom"/>
          </w:tcPr>
          <w:p>
            <w:pPr>
              <w:spacing w:after="0"/>
              <w:rPr>
                <w:sz w:val="12"/>
                <w:szCs w:val="12"/>
                <w:color w:val="auto"/>
              </w:rPr>
            </w:pPr>
          </w:p>
        </w:tc>
        <w:tc>
          <w:tcPr>
            <w:tcW w:w="1000" w:type="dxa"/>
            <w:vAlign w:val="bottom"/>
          </w:tcPr>
          <w:p>
            <w:pPr>
              <w:jc w:val="center"/>
              <w:ind w:right="57"/>
              <w:spacing w:after="0"/>
              <w:rPr>
                <w:sz w:val="20"/>
                <w:szCs w:val="20"/>
                <w:color w:val="auto"/>
              </w:rPr>
            </w:pPr>
            <w:r>
              <w:rPr>
                <w:rFonts w:ascii="Arial" w:cs="Arial" w:eastAsia="Arial" w:hAnsi="Arial"/>
                <w:sz w:val="13"/>
                <w:szCs w:val="13"/>
                <w:b w:val="1"/>
                <w:bCs w:val="1"/>
                <w:color w:val="auto"/>
                <w:w w:val="83"/>
              </w:rPr>
              <w:t>comprehensive</w:t>
            </w:r>
          </w:p>
        </w:tc>
        <w:tc>
          <w:tcPr>
            <w:tcW w:w="1640" w:type="dxa"/>
            <w:vAlign w:val="bottom"/>
            <w:gridSpan w:val="2"/>
          </w:tcPr>
          <w:p>
            <w:pPr>
              <w:jc w:val="center"/>
              <w:ind w:left="57"/>
              <w:spacing w:after="0"/>
              <w:rPr>
                <w:sz w:val="20"/>
                <w:szCs w:val="20"/>
                <w:color w:val="auto"/>
              </w:rPr>
            </w:pPr>
            <w:r>
              <w:rPr>
                <w:rFonts w:ascii="Arial" w:cs="Arial" w:eastAsia="Arial" w:hAnsi="Arial"/>
                <w:sz w:val="13"/>
                <w:szCs w:val="13"/>
                <w:b w:val="1"/>
                <w:bCs w:val="1"/>
                <w:color w:val="auto"/>
                <w:w w:val="84"/>
              </w:rPr>
              <w:t>interest in consolidated</w:t>
            </w:r>
          </w:p>
        </w:tc>
        <w:tc>
          <w:tcPr>
            <w:tcW w:w="260" w:type="dxa"/>
            <w:vAlign w:val="bottom"/>
          </w:tcPr>
          <w:p>
            <w:pPr>
              <w:spacing w:after="0"/>
              <w:rPr>
                <w:sz w:val="12"/>
                <w:szCs w:val="12"/>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01"/>
        </w:trPr>
        <w:tc>
          <w:tcPr>
            <w:tcW w:w="1600" w:type="dxa"/>
            <w:vAlign w:val="bottom"/>
            <w:vMerge w:val="continue"/>
          </w:tcPr>
          <w:p>
            <w:pPr>
              <w:spacing w:after="0"/>
              <w:rPr>
                <w:sz w:val="8"/>
                <w:szCs w:val="8"/>
                <w:color w:val="auto"/>
              </w:rPr>
            </w:pPr>
          </w:p>
        </w:tc>
        <w:tc>
          <w:tcPr>
            <w:tcW w:w="88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8"/>
                <w:szCs w:val="8"/>
                <w:color w:val="auto"/>
              </w:rPr>
            </w:pPr>
          </w:p>
        </w:tc>
        <w:tc>
          <w:tcPr>
            <w:tcW w:w="700" w:type="dxa"/>
            <w:vAlign w:val="bottom"/>
            <w:tcBorders>
              <w:right w:val="single" w:sz="8" w:color="auto"/>
            </w:tcBorders>
            <w:vMerge w:val="restart"/>
          </w:tcPr>
          <w:p>
            <w:pPr>
              <w:jc w:val="right"/>
              <w:ind w:right="177"/>
              <w:spacing w:after="0"/>
              <w:rPr>
                <w:sz w:val="20"/>
                <w:szCs w:val="20"/>
                <w:color w:val="auto"/>
              </w:rPr>
            </w:pPr>
            <w:r>
              <w:rPr>
                <w:rFonts w:ascii="Arial" w:cs="Arial" w:eastAsia="Arial" w:hAnsi="Arial"/>
                <w:sz w:val="13"/>
                <w:szCs w:val="13"/>
                <w:b w:val="1"/>
                <w:bCs w:val="1"/>
                <w:color w:val="auto"/>
                <w:w w:val="89"/>
              </w:rPr>
              <w:t>Amount</w:t>
            </w:r>
          </w:p>
        </w:tc>
        <w:tc>
          <w:tcPr>
            <w:tcW w:w="920" w:type="dxa"/>
            <w:vAlign w:val="bottom"/>
            <w:vMerge w:val="restart"/>
          </w:tcPr>
          <w:p>
            <w:pPr>
              <w:jc w:val="right"/>
              <w:ind w:right="237"/>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2"/>
            <w:vMerge w:val="restart"/>
          </w:tcPr>
          <w:p>
            <w:pPr>
              <w:jc w:val="right"/>
              <w:ind w:right="37"/>
              <w:spacing w:after="0"/>
              <w:rPr>
                <w:sz w:val="20"/>
                <w:szCs w:val="20"/>
                <w:color w:val="auto"/>
              </w:rPr>
            </w:pPr>
            <w:r>
              <w:rPr>
                <w:rFonts w:ascii="Arial" w:cs="Arial" w:eastAsia="Arial" w:hAnsi="Arial"/>
                <w:sz w:val="13"/>
                <w:szCs w:val="13"/>
                <w:b w:val="1"/>
                <w:bCs w:val="1"/>
                <w:color w:val="auto"/>
                <w:w w:val="97"/>
              </w:rPr>
              <w:t>Amount</w:t>
            </w:r>
          </w:p>
        </w:tc>
        <w:tc>
          <w:tcPr>
            <w:tcW w:w="300" w:type="dxa"/>
            <w:vAlign w:val="bottom"/>
          </w:tcPr>
          <w:p>
            <w:pPr>
              <w:spacing w:after="0"/>
              <w:rPr>
                <w:sz w:val="8"/>
                <w:szCs w:val="8"/>
                <w:color w:val="auto"/>
              </w:rPr>
            </w:pPr>
          </w:p>
        </w:tc>
        <w:tc>
          <w:tcPr>
            <w:tcW w:w="70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87"/>
              </w:rPr>
              <w:t>capital</w:t>
            </w:r>
          </w:p>
        </w:tc>
        <w:tc>
          <w:tcPr>
            <w:tcW w:w="340" w:type="dxa"/>
            <w:vAlign w:val="bottom"/>
          </w:tcPr>
          <w:p>
            <w:pPr>
              <w:spacing w:after="0"/>
              <w:rPr>
                <w:sz w:val="8"/>
                <w:szCs w:val="8"/>
                <w:color w:val="auto"/>
              </w:rPr>
            </w:pPr>
          </w:p>
        </w:tc>
        <w:tc>
          <w:tcPr>
            <w:tcW w:w="1060" w:type="dxa"/>
            <w:vAlign w:val="bottom"/>
            <w:vMerge w:val="restart"/>
          </w:tcPr>
          <w:p>
            <w:pPr>
              <w:jc w:val="center"/>
              <w:ind w:right="237"/>
              <w:spacing w:after="0"/>
              <w:rPr>
                <w:sz w:val="20"/>
                <w:szCs w:val="20"/>
                <w:color w:val="auto"/>
              </w:rPr>
            </w:pPr>
            <w:r>
              <w:rPr>
                <w:rFonts w:ascii="Arial" w:cs="Arial" w:eastAsia="Arial" w:hAnsi="Arial"/>
                <w:sz w:val="13"/>
                <w:szCs w:val="13"/>
                <w:b w:val="1"/>
                <w:bCs w:val="1"/>
                <w:color w:val="auto"/>
                <w:w w:val="83"/>
              </w:rPr>
              <w:t>deficit</w:t>
            </w:r>
          </w:p>
        </w:tc>
        <w:tc>
          <w:tcPr>
            <w:tcW w:w="220" w:type="dxa"/>
            <w:vAlign w:val="bottom"/>
          </w:tcPr>
          <w:p>
            <w:pPr>
              <w:spacing w:after="0"/>
              <w:rPr>
                <w:sz w:val="8"/>
                <w:szCs w:val="8"/>
                <w:color w:val="auto"/>
              </w:rPr>
            </w:pPr>
          </w:p>
        </w:tc>
        <w:tc>
          <w:tcPr>
            <w:tcW w:w="100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auto"/>
                <w:w w:val="83"/>
              </w:rPr>
              <w:t>income</w:t>
            </w:r>
          </w:p>
        </w:tc>
        <w:tc>
          <w:tcPr>
            <w:tcW w:w="380" w:type="dxa"/>
            <w:vAlign w:val="bottom"/>
          </w:tcPr>
          <w:p>
            <w:pPr>
              <w:spacing w:after="0"/>
              <w:rPr>
                <w:sz w:val="8"/>
                <w:szCs w:val="8"/>
                <w:color w:val="auto"/>
              </w:rPr>
            </w:pPr>
          </w:p>
        </w:tc>
        <w:tc>
          <w:tcPr>
            <w:tcW w:w="1260" w:type="dxa"/>
            <w:vAlign w:val="bottom"/>
            <w:vMerge w:val="restart"/>
          </w:tcPr>
          <w:p>
            <w:pPr>
              <w:jc w:val="center"/>
              <w:ind w:right="197"/>
              <w:spacing w:after="0"/>
              <w:rPr>
                <w:sz w:val="20"/>
                <w:szCs w:val="20"/>
                <w:color w:val="auto"/>
              </w:rPr>
            </w:pPr>
            <w:r>
              <w:rPr>
                <w:rFonts w:ascii="Arial" w:cs="Arial" w:eastAsia="Arial" w:hAnsi="Arial"/>
                <w:sz w:val="13"/>
                <w:szCs w:val="13"/>
                <w:b w:val="1"/>
                <w:bCs w:val="1"/>
                <w:color w:val="auto"/>
                <w:w w:val="86"/>
              </w:rPr>
              <w:t>subsidiary</w:t>
            </w:r>
          </w:p>
        </w:tc>
        <w:tc>
          <w:tcPr>
            <w:tcW w:w="1180" w:type="dxa"/>
            <w:vAlign w:val="bottom"/>
            <w:gridSpan w:val="3"/>
            <w:vMerge w:val="restart"/>
          </w:tcPr>
          <w:p>
            <w:pPr>
              <w:jc w:val="center"/>
              <w:ind w:left="37"/>
              <w:spacing w:after="0"/>
              <w:rPr>
                <w:sz w:val="20"/>
                <w:szCs w:val="20"/>
                <w:color w:val="auto"/>
              </w:rPr>
            </w:pPr>
            <w:r>
              <w:rPr>
                <w:rFonts w:ascii="Arial" w:cs="Arial" w:eastAsia="Arial" w:hAnsi="Arial"/>
                <w:sz w:val="13"/>
                <w:szCs w:val="13"/>
                <w:b w:val="1"/>
                <w:bCs w:val="1"/>
                <w:color w:val="auto"/>
                <w:w w:val="89"/>
              </w:rPr>
              <w:t>equity (deficit)</w:t>
            </w:r>
          </w:p>
        </w:tc>
        <w:tc>
          <w:tcPr>
            <w:tcW w:w="0" w:type="dxa"/>
            <w:vAlign w:val="bottom"/>
          </w:tcPr>
          <w:p>
            <w:pPr>
              <w:spacing w:after="0"/>
              <w:rPr>
                <w:sz w:val="1"/>
                <w:szCs w:val="1"/>
                <w:color w:val="auto"/>
              </w:rPr>
            </w:pPr>
          </w:p>
        </w:tc>
      </w:tr>
      <w:tr>
        <w:trPr>
          <w:trHeight w:val="162"/>
        </w:trPr>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89"/>
              </w:rPr>
              <w:t>data)</w:t>
            </w: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right w:val="single" w:sz="8" w:color="auto"/>
            </w:tcBorders>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1600" w:type="dxa"/>
            <w:vAlign w:val="bottom"/>
            <w:tcBorders>
              <w:top w:val="single" w:sz="8" w:color="auto"/>
            </w:tcBorders>
            <w:shd w:val="clear" w:color="auto" w:fill="CFF0FC"/>
          </w:tcPr>
          <w:p>
            <w:pPr>
              <w:ind w:left="20"/>
              <w:spacing w:after="0" w:line="102" w:lineRule="exact"/>
              <w:rPr>
                <w:sz w:val="20"/>
                <w:szCs w:val="20"/>
                <w:color w:val="auto"/>
              </w:rPr>
            </w:pPr>
            <w:r>
              <w:rPr>
                <w:rFonts w:ascii="Arial" w:cs="Arial" w:eastAsia="Arial" w:hAnsi="Arial"/>
                <w:sz w:val="10"/>
                <w:szCs w:val="10"/>
                <w:color w:val="auto"/>
              </w:rPr>
              <w:t>Balances at December 31,</w:t>
            </w: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87,268,694</w:t>
            </w:r>
          </w:p>
        </w:tc>
        <w:tc>
          <w:tcPr>
            <w:tcW w:w="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right w:val="single" w:sz="8" w:color="auto"/>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194,319</w:t>
            </w:r>
          </w:p>
        </w:tc>
        <w:tc>
          <w:tcPr>
            <w:tcW w:w="9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31,241,916</w:t>
            </w:r>
          </w:p>
        </w:tc>
        <w:tc>
          <w:tcPr>
            <w:tcW w:w="280" w:type="dxa"/>
            <w:vAlign w:val="bottom"/>
            <w:tcBorders>
              <w:top w:val="single" w:sz="8" w:color="auto"/>
            </w:tcBorders>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3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6,491</w:t>
            </w:r>
          </w:p>
        </w:tc>
        <w:tc>
          <w:tcPr>
            <w:tcW w:w="3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(22,607 )</w:t>
            </w:r>
          </w:p>
        </w:tc>
        <w:tc>
          <w:tcPr>
            <w:tcW w:w="2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65</w:t>
            </w:r>
          </w:p>
        </w:tc>
        <w:tc>
          <w:tcPr>
            <w:tcW w:w="380" w:type="dxa"/>
            <w:vAlign w:val="bottom"/>
            <w:tcBorders>
              <w:top w:val="single" w:sz="8" w:color="auto"/>
            </w:tcBorders>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(16,028 )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2020</w:t>
            </w:r>
          </w:p>
        </w:tc>
        <w:tc>
          <w:tcPr>
            <w:tcW w:w="880" w:type="dxa"/>
            <w:vAlign w:val="bottom"/>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00" w:type="dxa"/>
            <w:vAlign w:val="bottom"/>
            <w:tcBorders>
              <w:right w:val="single" w:sz="8" w:color="auto"/>
            </w:tcBorders>
            <w:vMerge w:val="continue"/>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80" w:type="dxa"/>
            <w:vAlign w:val="bottom"/>
            <w:vMerge w:val="continue"/>
            <w:shd w:val="clear" w:color="auto" w:fill="CFF0FC"/>
          </w:tcPr>
          <w:p>
            <w:pPr>
              <w:spacing w:after="0"/>
              <w:rPr>
                <w:sz w:val="14"/>
                <w:szCs w:val="14"/>
                <w:color w:val="auto"/>
              </w:rPr>
            </w:pPr>
          </w:p>
        </w:tc>
        <w:tc>
          <w:tcPr>
            <w:tcW w:w="320" w:type="dxa"/>
            <w:vAlign w:val="bottom"/>
            <w:vMerge w:val="continue"/>
            <w:shd w:val="clear" w:color="auto" w:fill="CFF0FC"/>
          </w:tcPr>
          <w:p>
            <w:pPr>
              <w:spacing w:after="0"/>
              <w:rPr>
                <w:sz w:val="14"/>
                <w:szCs w:val="14"/>
                <w:color w:val="auto"/>
              </w:rPr>
            </w:pPr>
          </w:p>
        </w:tc>
        <w:tc>
          <w:tcPr>
            <w:tcW w:w="30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340" w:type="dxa"/>
            <w:vAlign w:val="bottom"/>
            <w:vMerge w:val="continue"/>
            <w:shd w:val="clear" w:color="auto" w:fill="CFF0FC"/>
          </w:tcPr>
          <w:p>
            <w:pPr>
              <w:spacing w:after="0"/>
              <w:rPr>
                <w:sz w:val="14"/>
                <w:szCs w:val="14"/>
                <w:color w:val="auto"/>
              </w:rPr>
            </w:pPr>
          </w:p>
        </w:tc>
        <w:tc>
          <w:tcPr>
            <w:tcW w:w="106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380" w:type="dxa"/>
            <w:vAlign w:val="bottom"/>
            <w:vMerge w:val="continue"/>
            <w:shd w:val="clear" w:color="auto" w:fill="CFF0FC"/>
          </w:tcPr>
          <w:p>
            <w:pPr>
              <w:spacing w:after="0"/>
              <w:rPr>
                <w:sz w:val="14"/>
                <w:szCs w:val="14"/>
                <w:color w:val="auto"/>
              </w:rPr>
            </w:pPr>
          </w:p>
        </w:tc>
        <w:tc>
          <w:tcPr>
            <w:tcW w:w="1260" w:type="dxa"/>
            <w:vAlign w:val="bottom"/>
            <w:vMerge w:val="continue"/>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533,540</w:t>
            </w:r>
          </w:p>
        </w:tc>
        <w:tc>
          <w:tcPr>
            <w:tcW w:w="2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w:t>
            </w:r>
          </w:p>
        </w:tc>
        <w:tc>
          <w:tcPr>
            <w:tcW w:w="3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195</w:t>
            </w: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FF0FC"/>
          </w:tcPr>
          <w:p>
            <w:pPr>
              <w:ind w:left="20"/>
              <w:spacing w:after="0"/>
              <w:rPr>
                <w:sz w:val="20"/>
                <w:szCs w:val="20"/>
                <w:color w:val="auto"/>
              </w:rPr>
            </w:pPr>
            <w:r>
              <w:rPr>
                <w:rFonts w:ascii="Arial" w:cs="Arial" w:eastAsia="Arial" w:hAnsi="Arial"/>
                <w:sz w:val="13"/>
                <w:szCs w:val="13"/>
                <w:color w:val="auto"/>
                <w:w w:val="99"/>
              </w:rPr>
              <w:t>Stock-based compensation</w:t>
            </w: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tcBorders>
              <w:right w:val="single" w:sz="8" w:color="auto"/>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456</w:t>
            </w:r>
          </w:p>
        </w:tc>
        <w:tc>
          <w:tcPr>
            <w:tcW w:w="3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00" w:type="dxa"/>
            <w:vAlign w:val="bottom"/>
          </w:tcPr>
          <w:p>
            <w:pPr>
              <w:ind w:left="20"/>
              <w:spacing w:after="0" w:line="108" w:lineRule="exact"/>
              <w:rPr>
                <w:sz w:val="20"/>
                <w:szCs w:val="20"/>
                <w:color w:val="auto"/>
              </w:rPr>
            </w:pPr>
            <w:r>
              <w:rPr>
                <w:rFonts w:ascii="Arial" w:cs="Arial" w:eastAsia="Arial" w:hAnsi="Arial"/>
                <w:sz w:val="12"/>
                <w:szCs w:val="12"/>
                <w:color w:val="auto"/>
              </w:rPr>
              <w:t>Foreign currency translation</w:t>
            </w: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Arial" w:cs="Arial" w:eastAsia="Arial" w:hAnsi="Arial"/>
                <w:sz w:val="13"/>
                <w:szCs w:val="13"/>
                <w:color w:val="auto"/>
              </w:rPr>
              <w:t>adjustment,</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9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202</w:t>
            </w:r>
          </w:p>
        </w:tc>
        <w:tc>
          <w:tcPr>
            <w:tcW w:w="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600" w:type="dxa"/>
            <w:vAlign w:val="bottom"/>
          </w:tcPr>
          <w:p>
            <w:pPr>
              <w:ind w:left="120"/>
              <w:spacing w:after="0"/>
              <w:rPr>
                <w:sz w:val="20"/>
                <w:szCs w:val="20"/>
                <w:color w:val="auto"/>
              </w:rPr>
            </w:pPr>
            <w:r>
              <w:rPr>
                <w:rFonts w:ascii="Arial" w:cs="Arial" w:eastAsia="Arial" w:hAnsi="Arial"/>
                <w:sz w:val="13"/>
                <w:szCs w:val="13"/>
                <w:color w:val="auto"/>
              </w:rPr>
              <w:t>net of tax</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w:t>
            </w:r>
          </w:p>
        </w:tc>
        <w:tc>
          <w:tcPr>
            <w:tcW w:w="8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tcBorders>
              <w:right w:val="single" w:sz="8" w:color="auto"/>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060" w:type="dxa"/>
            <w:vAlign w:val="bottom"/>
            <w:shd w:val="clear" w:color="auto" w:fill="CFF0FC"/>
          </w:tcPr>
          <w:p>
            <w:pPr>
              <w:jc w:val="right"/>
              <w:ind w:right="137"/>
              <w:spacing w:after="0"/>
              <w:rPr>
                <w:sz w:val="20"/>
                <w:szCs w:val="20"/>
                <w:color w:val="auto"/>
              </w:rPr>
            </w:pPr>
            <w:r>
              <w:rPr>
                <w:rFonts w:ascii="Arial" w:cs="Arial" w:eastAsia="Arial" w:hAnsi="Arial"/>
                <w:sz w:val="13"/>
                <w:szCs w:val="13"/>
                <w:color w:val="auto"/>
              </w:rPr>
              <w:t>102</w:t>
            </w: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Pr>
          <w:p>
            <w:pPr>
              <w:ind w:left="20"/>
              <w:spacing w:after="0"/>
              <w:rPr>
                <w:sz w:val="20"/>
                <w:szCs w:val="20"/>
                <w:color w:val="auto"/>
              </w:rPr>
            </w:pPr>
            <w:r>
              <w:rPr>
                <w:rFonts w:ascii="Arial" w:cs="Arial" w:eastAsia="Arial" w:hAnsi="Arial"/>
                <w:sz w:val="13"/>
                <w:szCs w:val="13"/>
                <w:color w:val="auto"/>
              </w:rPr>
              <w:t>Noncontrolling interest</w:t>
            </w:r>
          </w:p>
        </w:tc>
        <w:tc>
          <w:tcPr>
            <w:tcW w:w="8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315</w:t>
            </w: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60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color w:val="auto"/>
                <w:w w:val="96"/>
              </w:rPr>
              <w:t>Balances at March 31, 2021</w:t>
            </w:r>
          </w:p>
        </w:tc>
        <w:tc>
          <w:tcPr>
            <w:tcW w:w="8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87,268,694</w:t>
            </w: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700" w:type="dxa"/>
            <w:vAlign w:val="bottom"/>
            <w:tcBorders>
              <w:bottom w:val="single" w:sz="8" w:color="auto"/>
              <w:right w:val="single" w:sz="8" w:color="CFF0FC"/>
            </w:tcBorders>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rPr>
              <w:t>194,319</w:t>
            </w:r>
          </w:p>
        </w:tc>
        <w:tc>
          <w:tcPr>
            <w:tcW w:w="9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31,775,456</w:t>
            </w:r>
          </w:p>
        </w:tc>
        <w:tc>
          <w:tcPr>
            <w:tcW w:w="280" w:type="dxa"/>
            <w:vAlign w:val="bottom"/>
            <w:tcBorders>
              <w:bottom w:val="single" w:sz="8" w:color="auto"/>
            </w:tcBorders>
            <w:shd w:val="clear" w:color="auto" w:fill="CFF0FC"/>
          </w:tcPr>
          <w:p>
            <w:pPr>
              <w:jc w:val="right"/>
              <w:ind w:right="117"/>
              <w:spacing w:after="0" w:line="142" w:lineRule="exact"/>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w:t>
            </w:r>
          </w:p>
        </w:tc>
        <w:tc>
          <w:tcPr>
            <w:tcW w:w="3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 $</w:t>
            </w:r>
          </w:p>
        </w:tc>
        <w:tc>
          <w:tcPr>
            <w:tcW w:w="7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7,142</w:t>
            </w:r>
          </w:p>
        </w:tc>
        <w:tc>
          <w:tcPr>
            <w:tcW w:w="3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 $</w:t>
            </w:r>
          </w:p>
        </w:tc>
        <w:tc>
          <w:tcPr>
            <w:tcW w:w="128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(22,505 ) — $</w:t>
            </w: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267</w:t>
            </w:r>
          </w:p>
        </w:tc>
        <w:tc>
          <w:tcPr>
            <w:tcW w:w="3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rPr>
              <w:t>— $</w:t>
            </w:r>
          </w:p>
        </w:tc>
        <w:tc>
          <w:tcPr>
            <w:tcW w:w="1260" w:type="dxa"/>
            <w:vAlign w:val="bottom"/>
            <w:tcBorders>
              <w:bottom w:val="single" w:sz="8" w:color="auto"/>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315</w:t>
            </w:r>
          </w:p>
        </w:tc>
        <w:tc>
          <w:tcPr>
            <w:tcW w:w="2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 $</w:t>
            </w:r>
          </w:p>
        </w:tc>
        <w:tc>
          <w:tcPr>
            <w:tcW w:w="9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(14,757 )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-2540635</wp:posOffset>
            </wp:positionV>
            <wp:extent cx="34290" cy="1282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128270"/>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-1220470</wp:posOffset>
            </wp:positionV>
            <wp:extent cx="34290"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128270"/>
                    </a:xfrm>
                    <a:prstGeom prst="rect">
                      <a:avLst/>
                    </a:prstGeom>
                    <a:noFill/>
                  </pic:spPr>
                </pic:pic>
              </a:graphicData>
            </a:graphic>
          </wp:anchor>
        </w:drawing>
      </w: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these unaudited interim consolidated financial statements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5</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Cytek Biosciences,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76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1320" w:type="dxa"/>
            <w:vAlign w:val="bottom"/>
          </w:tcPr>
          <w:p>
            <w:pPr>
              <w:jc w:val="right"/>
              <w:ind w:right="67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jc w:val="right"/>
              <w:ind w:right="651"/>
              <w:spacing w:after="0"/>
              <w:rPr>
                <w:sz w:val="20"/>
                <w:szCs w:val="20"/>
                <w:color w:val="auto"/>
              </w:rPr>
            </w:pPr>
            <w:r>
              <w:rPr>
                <w:rFonts w:ascii="Arial" w:cs="Arial" w:eastAsia="Arial" w:hAnsi="Arial"/>
                <w:sz w:val="14"/>
                <w:szCs w:val="14"/>
                <w:b w:val="1"/>
                <w:bCs w:val="1"/>
                <w:color w:val="auto"/>
              </w:rPr>
              <w:t>2021</w:t>
            </w:r>
          </w:p>
        </w:tc>
      </w:tr>
      <w:tr>
        <w:trPr>
          <w:trHeight w:val="196"/>
        </w:trPr>
        <w:tc>
          <w:tcPr>
            <w:tcW w:w="74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r>
      <w:tr>
        <w:trPr>
          <w:trHeight w:val="203"/>
        </w:trPr>
        <w:tc>
          <w:tcPr>
            <w:tcW w:w="76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Net (loss) income</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(2,158 )</w:t>
            </w:r>
          </w:p>
        </w:tc>
        <w:tc>
          <w:tcPr>
            <w:tcW w:w="56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102</w:t>
            </w:r>
          </w:p>
        </w:tc>
      </w:tr>
      <w:tr>
        <w:trPr>
          <w:trHeight w:val="162"/>
        </w:trPr>
        <w:tc>
          <w:tcPr>
            <w:tcW w:w="7680" w:type="dxa"/>
            <w:vAlign w:val="bottom"/>
            <w:gridSpan w:val="2"/>
            <w:shd w:val="clear" w:color="auto" w:fill="CFF0FC"/>
          </w:tcPr>
          <w:p>
            <w:pPr>
              <w:ind w:left="20"/>
              <w:spacing w:after="0" w:line="162" w:lineRule="exact"/>
              <w:rPr>
                <w:sz w:val="20"/>
                <w:szCs w:val="20"/>
                <w:color w:val="auto"/>
              </w:rPr>
            </w:pPr>
            <w:r>
              <w:rPr>
                <w:rFonts w:ascii="Arial" w:cs="Arial" w:eastAsia="Arial" w:hAnsi="Arial"/>
                <w:sz w:val="18"/>
                <w:szCs w:val="18"/>
                <w:color w:val="auto"/>
              </w:rPr>
              <w:t>Adjustments to reconcile net (loss) income to net cash (used in) provided by</w:t>
            </w:r>
          </w:p>
        </w:tc>
        <w:tc>
          <w:tcPr>
            <w:tcW w:w="3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r>
      <w:tr>
        <w:trPr>
          <w:trHeight w:val="216"/>
        </w:trPr>
        <w:tc>
          <w:tcPr>
            <w:tcW w:w="76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operating activities:</w:t>
            </w:r>
          </w:p>
        </w:tc>
        <w:tc>
          <w:tcPr>
            <w:tcW w:w="3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03"/>
        </w:trPr>
        <w:tc>
          <w:tcPr>
            <w:tcW w:w="7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794</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167</w:t>
            </w:r>
          </w:p>
        </w:tc>
      </w:tr>
      <w:tr>
        <w:trPr>
          <w:trHeight w:val="203"/>
        </w:trPr>
        <w:tc>
          <w:tcPr>
            <w:tcW w:w="76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operating lease-right-of use assets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676</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3,837</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456</w:t>
            </w:r>
          </w:p>
        </w:tc>
      </w:tr>
      <w:tr>
        <w:trPr>
          <w:trHeight w:val="203"/>
        </w:trPr>
        <w:tc>
          <w:tcPr>
            <w:tcW w:w="76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Gain on equity method investment</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(40 )</w:t>
            </w:r>
          </w:p>
        </w:tc>
      </w:tr>
      <w:tr>
        <w:trPr>
          <w:trHeight w:val="203"/>
        </w:trPr>
        <w:tc>
          <w:tcPr>
            <w:tcW w:w="7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Provision for excess and obsolete inventory</w:t>
            </w:r>
          </w:p>
        </w:tc>
        <w:tc>
          <w:tcPr>
            <w:tcW w:w="38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74</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321</w:t>
            </w:r>
          </w:p>
        </w:tc>
      </w:tr>
      <w:tr>
        <w:trPr>
          <w:trHeight w:val="203"/>
        </w:trPr>
        <w:tc>
          <w:tcPr>
            <w:tcW w:w="76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expenses for accretion of the legal settlement liabilities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498</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372</w:t>
            </w:r>
          </w:p>
        </w:tc>
      </w:tr>
      <w:tr>
        <w:trPr>
          <w:trHeight w:val="203"/>
        </w:trPr>
        <w:tc>
          <w:tcPr>
            <w:tcW w:w="7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Change in operating assets and liabilities:</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68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Trade accounts receivable</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(1,038 )</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2,236</w:t>
            </w:r>
          </w:p>
        </w:tc>
      </w:tr>
      <w:tr>
        <w:trPr>
          <w:trHeight w:val="203"/>
        </w:trPr>
        <w:tc>
          <w:tcPr>
            <w:tcW w:w="76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(5,921 )</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(3,614 )</w:t>
            </w:r>
          </w:p>
        </w:tc>
      </w:tr>
      <w:tr>
        <w:trPr>
          <w:trHeight w:val="203"/>
        </w:trPr>
        <w:tc>
          <w:tcPr>
            <w:tcW w:w="768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Prepaid expenses and other assets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(4,351 )</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(477 )</w:t>
            </w:r>
          </w:p>
        </w:tc>
      </w:tr>
      <w:tr>
        <w:trPr>
          <w:trHeight w:val="203"/>
        </w:trPr>
        <w:tc>
          <w:tcPr>
            <w:tcW w:w="76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Trade accounts payable</w:t>
            </w:r>
          </w:p>
        </w:tc>
        <w:tc>
          <w:tcPr>
            <w:tcW w:w="38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2,782</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112</w:t>
            </w:r>
          </w:p>
        </w:tc>
      </w:tr>
      <w:tr>
        <w:trPr>
          <w:trHeight w:val="203"/>
        </w:trPr>
        <w:tc>
          <w:tcPr>
            <w:tcW w:w="768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Accrued expenses and other liabilities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555</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135</w:t>
            </w:r>
          </w:p>
        </w:tc>
      </w:tr>
      <w:tr>
        <w:trPr>
          <w:trHeight w:val="203"/>
        </w:trPr>
        <w:tc>
          <w:tcPr>
            <w:tcW w:w="76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Legal settlement liabilities</w:t>
            </w:r>
          </w:p>
        </w:tc>
        <w:tc>
          <w:tcPr>
            <w:tcW w:w="380" w:type="dxa"/>
            <w:vAlign w:val="bottom"/>
          </w:tcPr>
          <w:p>
            <w:pPr>
              <w:spacing w:after="0"/>
              <w:rPr>
                <w:sz w:val="17"/>
                <w:szCs w:val="17"/>
                <w:color w:val="auto"/>
              </w:rPr>
            </w:pPr>
          </w:p>
        </w:tc>
        <w:tc>
          <w:tcPr>
            <w:tcW w:w="13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482</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429</w:t>
            </w:r>
          </w:p>
        </w:tc>
      </w:tr>
      <w:tr>
        <w:trPr>
          <w:trHeight w:val="203"/>
        </w:trPr>
        <w:tc>
          <w:tcPr>
            <w:tcW w:w="7680" w:type="dxa"/>
            <w:vAlign w:val="bottom"/>
            <w:gridSpan w:val="2"/>
            <w:shd w:val="clear" w:color="auto" w:fill="CFF0FC"/>
          </w:tcPr>
          <w:p>
            <w:pPr>
              <w:ind w:left="380"/>
              <w:spacing w:after="0" w:line="202" w:lineRule="exact"/>
              <w:rPr>
                <w:sz w:val="20"/>
                <w:szCs w:val="20"/>
                <w:color w:val="auto"/>
              </w:rPr>
            </w:pPr>
            <w:r>
              <w:rPr>
                <w:rFonts w:ascii="Arial" w:cs="Arial" w:eastAsia="Arial" w:hAnsi="Arial"/>
                <w:sz w:val="18"/>
                <w:szCs w:val="18"/>
                <w:color w:val="auto"/>
              </w:rPr>
              <w:t>Deferred revenue</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2,581</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1,736</w:t>
            </w:r>
          </w:p>
        </w:tc>
      </w:tr>
      <w:tr>
        <w:trPr>
          <w:trHeight w:val="203"/>
        </w:trPr>
        <w:tc>
          <w:tcPr>
            <w:tcW w:w="76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Lease liabilities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(291 )</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196"/>
        </w:trPr>
        <w:tc>
          <w:tcPr>
            <w:tcW w:w="7680" w:type="dxa"/>
            <w:vAlign w:val="bottom"/>
            <w:tcBorders>
              <w:bottom w:val="single" w:sz="8" w:color="CFF0FC"/>
            </w:tcBorders>
            <w:gridSpan w:val="2"/>
            <w:shd w:val="clear" w:color="auto" w:fill="CFF0FC"/>
          </w:tcPr>
          <w:p>
            <w:pPr>
              <w:ind w:left="560"/>
              <w:spacing w:after="0" w:line="196" w:lineRule="exact"/>
              <w:rPr>
                <w:sz w:val="20"/>
                <w:szCs w:val="20"/>
                <w:color w:val="auto"/>
              </w:rPr>
            </w:pPr>
            <w:r>
              <w:rPr>
                <w:rFonts w:ascii="Arial" w:cs="Arial" w:eastAsia="Arial" w:hAnsi="Arial"/>
                <w:sz w:val="18"/>
                <w:szCs w:val="18"/>
                <w:color w:val="auto"/>
              </w:rPr>
              <w:t>Net cash (used in) provided by operating activities</w:t>
            </w: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(1,480 )</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1,935</w:t>
            </w:r>
          </w:p>
        </w:tc>
      </w:tr>
      <w:tr>
        <w:trPr>
          <w:trHeight w:val="196"/>
        </w:trPr>
        <w:tc>
          <w:tcPr>
            <w:tcW w:w="768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6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 of property and equipment</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(780 )</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(509 )</w:t>
            </w:r>
          </w:p>
        </w:tc>
      </w:tr>
      <w:tr>
        <w:trPr>
          <w:trHeight w:val="202"/>
        </w:trPr>
        <w:tc>
          <w:tcPr>
            <w:tcW w:w="7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Payment for additional investment in Cytek Japan, net of cash acquired</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371</w:t>
            </w:r>
          </w:p>
        </w:tc>
      </w:tr>
      <w:tr>
        <w:trPr>
          <w:trHeight w:val="196"/>
        </w:trPr>
        <w:tc>
          <w:tcPr>
            <w:tcW w:w="7680" w:type="dxa"/>
            <w:vAlign w:val="bottom"/>
            <w:tcBorders>
              <w:bottom w:val="single" w:sz="8" w:color="CFF0FC"/>
            </w:tcBorders>
            <w:gridSpan w:val="2"/>
            <w:shd w:val="clear" w:color="auto" w:fill="CFF0FC"/>
          </w:tcPr>
          <w:p>
            <w:pPr>
              <w:ind w:left="560"/>
              <w:spacing w:after="0" w:line="196" w:lineRule="exact"/>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(780 )</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(138 )</w:t>
            </w:r>
          </w:p>
        </w:tc>
      </w:tr>
      <w:tr>
        <w:trPr>
          <w:trHeight w:val="196"/>
        </w:trPr>
        <w:tc>
          <w:tcPr>
            <w:tcW w:w="768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680" w:type="dxa"/>
            <w:vAlign w:val="bottom"/>
            <w:tcBorders>
              <w:bottom w:val="single" w:sz="8" w:color="CFF0FC"/>
            </w:tcBorders>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issuance of common stock upon exercise of stock options</w:t>
            </w: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364</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187</w:t>
            </w:r>
          </w:p>
        </w:tc>
      </w:tr>
      <w:tr>
        <w:trPr>
          <w:trHeight w:val="196"/>
        </w:trPr>
        <w:tc>
          <w:tcPr>
            <w:tcW w:w="7680" w:type="dxa"/>
            <w:vAlign w:val="bottom"/>
            <w:gridSpan w:val="2"/>
          </w:tcPr>
          <w:p>
            <w:pPr>
              <w:ind w:left="56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364</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187</w:t>
            </w:r>
          </w:p>
        </w:tc>
      </w:tr>
      <w:tr>
        <w:trPr>
          <w:trHeight w:val="196"/>
        </w:trPr>
        <w:tc>
          <w:tcPr>
            <w:tcW w:w="76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Effect of exchange rate changes on cash and cash equivalents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(216 )</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481</w:t>
            </w:r>
          </w:p>
        </w:tc>
      </w:tr>
      <w:tr>
        <w:trPr>
          <w:trHeight w:val="203"/>
        </w:trPr>
        <w:tc>
          <w:tcPr>
            <w:tcW w:w="76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768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Net (decrease) increase in cash and cash equivalents</w:t>
            </w: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(2,112 )</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2,465</w:t>
            </w:r>
          </w:p>
        </w:tc>
      </w:tr>
      <w:tr>
        <w:trPr>
          <w:trHeight w:val="196"/>
        </w:trPr>
        <w:tc>
          <w:tcPr>
            <w:tcW w:w="76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Cash and cash equivalents at beginning of period</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364,618</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166,119</w:t>
            </w:r>
          </w:p>
        </w:tc>
      </w:tr>
      <w:tr>
        <w:trPr>
          <w:trHeight w:val="236"/>
        </w:trPr>
        <w:tc>
          <w:tcPr>
            <w:tcW w:w="768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362,506</w:t>
            </w:r>
          </w:p>
        </w:tc>
        <w:tc>
          <w:tcPr>
            <w:tcW w:w="1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168,584</w:t>
            </w:r>
          </w:p>
        </w:tc>
      </w:tr>
      <w:tr>
        <w:trPr>
          <w:trHeight w:val="183"/>
        </w:trPr>
        <w:tc>
          <w:tcPr>
            <w:tcW w:w="7680" w:type="dxa"/>
            <w:vAlign w:val="bottom"/>
            <w:gridSpan w:val="2"/>
          </w:tcPr>
          <w:p>
            <w:pPr>
              <w:ind w:left="20"/>
              <w:spacing w:after="0" w:line="183"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768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Cash paid for taxes</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75</w:t>
            </w:r>
          </w:p>
        </w:tc>
        <w:tc>
          <w:tcPr>
            <w:tcW w:w="56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125</w:t>
            </w:r>
          </w:p>
        </w:tc>
      </w:tr>
      <w:tr>
        <w:trPr>
          <w:trHeight w:val="183"/>
        </w:trPr>
        <w:tc>
          <w:tcPr>
            <w:tcW w:w="7680" w:type="dxa"/>
            <w:vAlign w:val="bottom"/>
            <w:tcBorders>
              <w:top w:val="single" w:sz="8" w:color="CFF0FC"/>
            </w:tcBorders>
            <w:gridSpan w:val="2"/>
          </w:tcPr>
          <w:p>
            <w:pPr>
              <w:ind w:left="20"/>
              <w:spacing w:after="0" w:line="183" w:lineRule="exact"/>
              <w:rPr>
                <w:sz w:val="20"/>
                <w:szCs w:val="20"/>
                <w:color w:val="auto"/>
              </w:rPr>
            </w:pPr>
            <w:r>
              <w:rPr>
                <w:rFonts w:ascii="Arial" w:cs="Arial" w:eastAsia="Arial" w:hAnsi="Arial"/>
                <w:sz w:val="18"/>
                <w:szCs w:val="18"/>
                <w:b w:val="1"/>
                <w:bCs w:val="1"/>
                <w:color w:val="auto"/>
              </w:rPr>
              <w:t>Non-cash investing and financing activities:</w:t>
            </w:r>
          </w:p>
        </w:tc>
        <w:tc>
          <w:tcPr>
            <w:tcW w:w="3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spacing w:after="0"/>
              <w:rPr>
                <w:sz w:val="15"/>
                <w:szCs w:val="15"/>
                <w:color w:val="auto"/>
              </w:rPr>
            </w:pPr>
          </w:p>
        </w:tc>
      </w:tr>
      <w:tr>
        <w:trPr>
          <w:trHeight w:val="236"/>
        </w:trPr>
        <w:tc>
          <w:tcPr>
            <w:tcW w:w="7680" w:type="dxa"/>
            <w:vAlign w:val="bottom"/>
            <w:tcBorders>
              <w:bottom w:val="single" w:sz="8" w:color="CFF0FC"/>
            </w:tcBorders>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Fixed asset purchases in accounts payable at period end</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228</w:t>
            </w:r>
          </w:p>
        </w:tc>
        <w:tc>
          <w:tcPr>
            <w:tcW w:w="1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w:t>
            </w:r>
          </w:p>
        </w:tc>
      </w:tr>
      <w:tr>
        <w:trPr>
          <w:trHeight w:val="183"/>
        </w:trPr>
        <w:tc>
          <w:tcPr>
            <w:tcW w:w="7680" w:type="dxa"/>
            <w:vAlign w:val="bottom"/>
            <w:gridSpan w:val="2"/>
          </w:tcPr>
          <w:p>
            <w:pPr>
              <w:ind w:left="200"/>
              <w:spacing w:after="0" w:line="183" w:lineRule="exact"/>
              <w:rPr>
                <w:sz w:val="20"/>
                <w:szCs w:val="20"/>
                <w:color w:val="auto"/>
              </w:rPr>
            </w:pPr>
            <w:r>
              <w:rPr>
                <w:rFonts w:ascii="Arial" w:cs="Arial" w:eastAsia="Arial" w:hAnsi="Arial"/>
                <w:sz w:val="18"/>
                <w:szCs w:val="18"/>
                <w:color w:val="auto"/>
              </w:rPr>
              <w:t>Intangible asset in accrued expenses at period end</w:t>
            </w:r>
          </w:p>
        </w:tc>
        <w:tc>
          <w:tcPr>
            <w:tcW w:w="380" w:type="dxa"/>
            <w:vAlign w:val="bottom"/>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line="183" w:lineRule="exact"/>
              <w:rPr>
                <w:sz w:val="20"/>
                <w:szCs w:val="20"/>
                <w:color w:val="auto"/>
              </w:rPr>
            </w:pPr>
            <w:r>
              <w:rPr>
                <w:rFonts w:ascii="Arial" w:cs="Arial" w:eastAsia="Arial" w:hAnsi="Arial"/>
                <w:sz w:val="18"/>
                <w:szCs w:val="18"/>
                <w:color w:val="auto"/>
              </w:rPr>
              <w:t>40</w:t>
            </w:r>
          </w:p>
        </w:tc>
        <w:tc>
          <w:tcPr>
            <w:tcW w:w="560" w:type="dxa"/>
            <w:vAlign w:val="bottom"/>
            <w:gridSpan w:val="2"/>
          </w:tcPr>
          <w:p>
            <w:pPr>
              <w:jc w:val="right"/>
              <w:ind w:right="190"/>
              <w:spacing w:after="0" w:line="183"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183" w:lineRule="exact"/>
              <w:rPr>
                <w:sz w:val="20"/>
                <w:szCs w:val="20"/>
                <w:color w:val="auto"/>
              </w:rPr>
            </w:pPr>
            <w:r>
              <w:rPr>
                <w:rFonts w:ascii="Arial" w:cs="Arial" w:eastAsia="Arial" w:hAnsi="Arial"/>
                <w:sz w:val="18"/>
                <w:szCs w:val="18"/>
                <w:color w:val="auto"/>
              </w:rPr>
              <w:t>—</w:t>
            </w:r>
          </w:p>
        </w:tc>
      </w:tr>
      <w:tr>
        <w:trPr>
          <w:trHeight w:val="20"/>
        </w:trPr>
        <w:tc>
          <w:tcPr>
            <w:tcW w:w="76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680" w:type="dxa"/>
            <w:vAlign w:val="bottom"/>
            <w:tcBorders>
              <w:bottom w:val="single" w:sz="8" w:color="CFF0FC"/>
            </w:tcBorders>
            <w:gridSpan w:val="2"/>
            <w:shd w:val="clear" w:color="auto" w:fill="CFF0FC"/>
          </w:tcPr>
          <w:p>
            <w:pPr>
              <w:ind w:left="200"/>
              <w:spacing w:after="0" w:line="183" w:lineRule="exact"/>
              <w:rPr>
                <w:sz w:val="20"/>
                <w:szCs w:val="20"/>
                <w:color w:val="auto"/>
              </w:rPr>
            </w:pPr>
            <w:r>
              <w:rPr>
                <w:rFonts w:ascii="Arial" w:cs="Arial" w:eastAsia="Arial" w:hAnsi="Arial"/>
                <w:sz w:val="18"/>
                <w:szCs w:val="18"/>
                <w:color w:val="auto"/>
              </w:rPr>
              <w:t>Stock option exercise in accounts receivable at period end</w:t>
            </w:r>
          </w:p>
        </w:tc>
        <w:tc>
          <w:tcPr>
            <w:tcW w:w="380" w:type="dxa"/>
            <w:vAlign w:val="bottom"/>
            <w:tcBorders>
              <w:bottom w:val="single" w:sz="8" w:color="auto"/>
            </w:tcBorders>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11"/>
              <w:spacing w:after="0" w:line="183"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11"/>
              <w:spacing w:after="0" w:line="183" w:lineRule="exact"/>
              <w:rPr>
                <w:sz w:val="20"/>
                <w:szCs w:val="20"/>
                <w:color w:val="auto"/>
              </w:rPr>
            </w:pPr>
            <w:r>
              <w:rPr>
                <w:rFonts w:ascii="Arial" w:cs="Arial" w:eastAsia="Arial" w:hAnsi="Arial"/>
                <w:sz w:val="18"/>
                <w:szCs w:val="18"/>
                <w:color w:val="auto"/>
              </w:rPr>
              <w:t>9</w:t>
            </w:r>
          </w:p>
        </w:tc>
      </w:tr>
      <w:tr>
        <w:trPr>
          <w:trHeight w:val="183"/>
        </w:trPr>
        <w:tc>
          <w:tcPr>
            <w:tcW w:w="7680" w:type="dxa"/>
            <w:vAlign w:val="bottom"/>
            <w:gridSpan w:val="2"/>
          </w:tcPr>
          <w:p>
            <w:pPr>
              <w:ind w:left="200"/>
              <w:spacing w:after="0" w:line="183" w:lineRule="exact"/>
              <w:rPr>
                <w:sz w:val="20"/>
                <w:szCs w:val="20"/>
                <w:color w:val="auto"/>
              </w:rPr>
            </w:pPr>
            <w:r>
              <w:rPr>
                <w:rFonts w:ascii="Arial" w:cs="Arial" w:eastAsia="Arial" w:hAnsi="Arial"/>
                <w:sz w:val="18"/>
                <w:szCs w:val="18"/>
                <w:color w:val="auto"/>
              </w:rPr>
              <w:t>Deferred financing costs in accounts payable at period end</w:t>
            </w:r>
          </w:p>
        </w:tc>
        <w:tc>
          <w:tcPr>
            <w:tcW w:w="380" w:type="dxa"/>
            <w:vAlign w:val="bottom"/>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line="183"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90"/>
              <w:spacing w:after="0" w:line="183"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line="183" w:lineRule="exact"/>
              <w:rPr>
                <w:sz w:val="20"/>
                <w:szCs w:val="20"/>
                <w:color w:val="auto"/>
              </w:rPr>
            </w:pPr>
            <w:r>
              <w:rPr>
                <w:rFonts w:ascii="Arial" w:cs="Arial" w:eastAsia="Arial" w:hAnsi="Arial"/>
                <w:sz w:val="18"/>
                <w:szCs w:val="18"/>
                <w:color w:val="auto"/>
              </w:rPr>
              <w:t>369</w:t>
            </w:r>
          </w:p>
        </w:tc>
      </w:tr>
      <w:tr>
        <w:trPr>
          <w:trHeight w:val="20"/>
        </w:trPr>
        <w:tc>
          <w:tcPr>
            <w:tcW w:w="7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-2662555</wp:posOffset>
            </wp:positionV>
            <wp:extent cx="12001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-2131060</wp:posOffset>
            </wp:positionV>
            <wp:extent cx="12001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-1864995</wp:posOffset>
            </wp:positionV>
            <wp:extent cx="12001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-1333500</wp:posOffset>
            </wp:positionV>
            <wp:extent cx="12001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-1062355</wp:posOffset>
            </wp:positionV>
            <wp:extent cx="120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-1045210</wp:posOffset>
            </wp:positionV>
            <wp:extent cx="120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-779145</wp:posOffset>
            </wp:positionV>
            <wp:extent cx="1200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-762000</wp:posOffset>
            </wp:positionV>
            <wp:extent cx="120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-487680</wp:posOffset>
            </wp:positionV>
            <wp:extent cx="120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-471170</wp:posOffset>
            </wp:positionV>
            <wp:extent cx="120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-179070</wp:posOffset>
            </wp:positionV>
            <wp:extent cx="120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-161925</wp:posOffset>
            </wp:positionV>
            <wp:extent cx="120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8"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interim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6</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Cytek Biosciences, Inc.</w:t>
      </w: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86"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8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Cytek Biosciences, Inc. (“Cytek” or the “Company”) is a leading cell analysis solutions company advancing the next generation of cell analysis tools by leveraging novel technical approaches. The Company has focused on becoming the premier cell analysis company through continued innovation that facilitates scientific advances in biomedical research and clinical applications.</w:t>
      </w:r>
    </w:p>
    <w:p>
      <w:pPr>
        <w:spacing w:after="0" w:line="14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Company has successfully developed and manufactured its full spectrum flow cytometry platform (“instrument(s)” or “product(s)”). The Company believes its core instruments, the Aurora and Northern Lights systems, are the first full spectrum flow cytometers able to deliver high-resolution, high-content and high-sensitivity cell analysis by utilizing the full spectrum of fluorescence signatures from multiple lasers to distinguish fluorescent tags on single cells (“Full Spectrum Profiling” or “FSP”). The Company’s FSP platform includes instruments, accessories, reagents, software, and services to provide a comprehensive and integrated suite of solutions for its customers.</w:t>
      </w:r>
    </w:p>
    <w:p>
      <w:pPr>
        <w:spacing w:after="0" w:line="162"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Company was incorporated in the state of Delaware in December 2014 and is headquartered in Fremont, California with offices, manufacturing facilities and distribution channels across the globe.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July 2021, the Company priced its initial public offering (“IPO”) of 13,949,401 shares of common stock, which included the full exercise by the underwriters of their option to purchase an additional 2,184,695 shares from the Company, at an initial public offering price of $17.00 per share for gross proceeds of $237.1 million, which resulted in net proceeds to the Company of approximately $215.7 million, after deducting underwriting discounts and commissions of approximately $17.3 million and offering-related transaction costs of approximately $5.3 million. In addition, certain selling stockholders offered and sold an additional 2,799,929 shares or common stock in the IPO. The Company did not receive any proceeds from the sale of such shares by the selling stockholders.</w:t>
      </w:r>
    </w:p>
    <w:p>
      <w:pPr>
        <w:spacing w:after="0" w:line="149"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6"/>
          <w:szCs w:val="16"/>
          <w:color w:val="auto"/>
        </w:rPr>
        <w:t>In addition, in connection with the completion of the IPO on July 27, 2021, all outstanding shares of convertible preferred stock (see Note 11) were automatically converted into 87,268,694 shares of the Company’s common stock and were reclassified as permanent equity. Further, immediately following the closing of the IPO, the Company amended and restated its certificate of incorporation such that the total number of shares of common stock authorized to be issued was 1,000,000,000 and the total number of shares of preferred stock authorized to be issued was 10,000,000. Following the IPO, there are no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shares of convertible preferred stock outstanding</w:t>
      </w:r>
      <w:r>
        <w:rPr>
          <w:rFonts w:ascii="Arial" w:cs="Arial" w:eastAsia="Arial" w:hAnsi="Arial"/>
          <w:sz w:val="21"/>
          <w:szCs w:val="21"/>
          <w:color w:val="auto"/>
        </w:rPr>
        <w:t>.</w:t>
      </w:r>
    </w:p>
    <w:p>
      <w:pPr>
        <w:spacing w:after="0" w:line="176"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w:t>
      </w:r>
    </w:p>
    <w:p>
      <w:pPr>
        <w:spacing w:after="0" w:line="108"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has prepared the accompanying unaudited interim consolidated financial statements in accordance with accounting principles generally accepted in the United States of America (“U.S. GAAP”). Any reference in these notes to applicable guidance is meant to refer to the authoritative U.S. GAAP as found in the Accounting Standards Codification (“ASC”) and Accounting Standards Updates (“ASUs”) of the Financial Accounting Standards Board (“FASB”).</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unaudited interim consolidated financial statements include the accounts of Cytek Biosciences, Inc., its wholly-owned subsidiaries, Cytek Limited (HK), Cytek Biosciences B.V. (Europe), Cytek (Shanghai) Biosciences Co., Ltd., Cytek Biosciences (Wuxi) Co., Ltd., Cytoville Biosciences Shanghai Co., Ltd. and Cytek (Shanghai) Software Development Technology Co., Ltd. and its majority-owned subsidiary, Cytek Japan Kabushiki Kaisha (“Cytek Japan”). The noncontrolling interest is presented in stockholders’ equity in the consolidated balance sheets and consolidated statements of redeemable convertible preferred stock and stockholders’ equity (deficit). All intercompany accounts and transactions have been eliminated in consolidation.</w:t>
      </w:r>
    </w:p>
    <w:p>
      <w:pPr>
        <w:spacing w:after="0" w:line="149"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On July 16, 2021, the Company effected a 1.3333-for-1 stock split of its common stock and redeemable convertible preferred stock (the “Stock Split”). All share and per share information has been retroactively adjusted to reflect the Stock Split for all periods presented.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 and voting interest entities</w:t>
      </w:r>
    </w:p>
    <w:p>
      <w:pPr>
        <w:spacing w:after="0" w:line="17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Company determines whether it has a controlling financial interest in an entity by first evaluating whether the entity is a variable interest entity (“VIE”) and therefore subject to the consolidation requirements under the VIE model. Only if the entity does not meet the definition of a VIE, the Company will apply the voting interest model (“VOE”) or other applicable GAAP. VOEs are entities in which the total equity investment at risk is sufficient to enable the entity to finance itself independently and provides the equity holders with the obligation to absorb losses, the right to receive residual returns and the right to make decisions about the entity’s activities.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7</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Company consolidates VOEs in which it has greater than 50% of the voting shares and that other equity holders do not have substantive voting, participating or liquidation rights. As defined in applicable accounting standards, VIEs are entities that lack one or more of the characteristics of a voting interest entity. A controlling financial interest in a VIE is present when an enterprise has both the power to direct the activities of the VIE that most significantly impact the VIE’s economic performance and an obligation to absorb losses or the right to receive benefits that could potentially be significant to the VIE. The Company consolidates a VIE where it has been determined that the Company is the primary beneficiary of the entity’s operations. The Company does not currently hold an interest in a VIE.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The preparation of the unaudited interim consolidated financial statements in conformity with U.S. GAAP requires management to make estimates and assumptions that affect the reported amounts of assets, liabilities, revenue and expenses and the disclosure of contingent assets and liabilities in the Company’s unaudited interim consolidated financial statements and accompanying notes as of the date of the unaudited interim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7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6"/>
          <w:szCs w:val="16"/>
          <w:color w:val="auto"/>
        </w:rPr>
        <w:t>The global COVID-19 pandemic continues to evolve and the Company intends to continue to monitor it closely. In response to the COVID-19 pandemic and various resulting government directives, the Company took proactive measures to protect the health and safety of its employees, contractors, customers and visiting vendors and suppliers, including implementing social distancing and other protective measures, restricting business travel and limiting access to its facilities to vendors, suppliers and partners who are critical to its business operations. The Company communicates regularly with its suppliers so that its supply chain remains intact, and the Company has not experienced any material supply issues. The Company also developed, and continues to develop, remote learning capabilities to help its customers and partners operate and reduce the number of required customer/partner on-site visits for its field application scientists and field support engineers to comply with travel restrictions and country-specific quarantine requirements. While the COVID-19 pandemic has not had a material adverse effect on the Company's business, results of operations or the operation of financial reporting systems, internal control over financial reporting and disclosure controls and procedures, given the considerable uncertainty around the duration and extent of the pandemic, the related financial and operational impact cannot be reasonably estimated. The Company continues to monitor the implications of the COVID-19 pandemic on its business, as well as its customers’ and suppliers’ business. Potential impacts of the COVID-19 pandemic, some of which the Company has already experienced, include those described throughout the “Risk Factors” section, including “A pandemic, epidemic or outbreak of an infectious disease in the United States or worldwide could adversely affect our business. The COVID-19 pandemic has had and could continue to have an adverse impact on our business, operations, and the markets and communities in which we, our partners, and customers operate."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17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reportable and operating segment.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71"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6"/>
          <w:szCs w:val="16"/>
          <w:color w:val="auto"/>
        </w:rPr>
        <w:t>The Company has determined that the functional and reporting currency for its operations across the globe is the functional currency of the Company’s international subsidiaries. Accordingly, all foreign balance sheet accounts have been translated into U.S. dollars using the rate of exchange at the respective balance sheet date. Components of the unaudited interim consolidated statements of operations and comprehensive income have been translated at the average exchange rate for the year or the reporting period. Translation gains and losses are recorded in accumulated other comprehensive income as a component of stockholders’ equity. Gains or losses arising from currency exchange rate fluctuations on transactions denominated in a currency other than the local functional currency are included in the unaudited interim consolidated statements of operations and comprehensive income.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 considers all highly liquid investments with a maturity of three months or less when purchased to be cash equivalents. Cash equivalents are carried at cost, which approximates fair value.</w:t>
      </w:r>
    </w:p>
    <w:p>
      <w:pPr>
        <w:spacing w:after="0" w:line="14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Company’s cash and cash equivalents consist of money held in demand depositary accounts and money market funds. The carrying amount of cash and cash equivalents was $362.5 million and $364.6 million as of March 31, 2022 and December 31, 2021,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8</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respectively, which approximates fair value and was determined based upon Level 1 inputs. The money market account is valued using quoted market prices with no valuation adjustments applied and is categorized as Level 1. The Company limits its credit risk associated with cash and cash equivalents by maintaining its bank accounts at major and reputable financial institutions. The Company’s cash and cash equivalents balance exceeded the federally insured limit of $250,000 as of March 31, 2022 and December 31, 2021.</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cash and cash equivalents on the consolidated balance sheets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tcPr>
          <w:p>
            <w:pPr>
              <w:jc w:val="right"/>
              <w:ind w:right="5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100" w:type="dxa"/>
            <w:vAlign w:val="bottom"/>
          </w:tcPr>
          <w:p>
            <w:pPr>
              <w:spacing w:after="0"/>
              <w:rPr>
                <w:sz w:val="16"/>
                <w:szCs w:val="16"/>
                <w:color w:val="auto"/>
              </w:rPr>
            </w:pPr>
          </w:p>
        </w:tc>
        <w:tc>
          <w:tcPr>
            <w:tcW w:w="13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9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7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w:t>
            </w:r>
          </w:p>
        </w:tc>
        <w:tc>
          <w:tcPr>
            <w:tcW w:w="1300" w:type="dxa"/>
            <w:vAlign w:val="bottom"/>
            <w:shd w:val="clear" w:color="auto" w:fill="CFF0FC"/>
          </w:tcPr>
          <w:p>
            <w:pPr>
              <w:jc w:val="right"/>
              <w:ind w:right="1119"/>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18,445</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18,939</w:t>
            </w:r>
          </w:p>
        </w:tc>
        <w:tc>
          <w:tcPr>
            <w:tcW w:w="0" w:type="dxa"/>
            <w:vAlign w:val="bottom"/>
          </w:tcPr>
          <w:p>
            <w:pPr>
              <w:spacing w:after="0"/>
              <w:rPr>
                <w:sz w:val="1"/>
                <w:szCs w:val="1"/>
                <w:color w:val="auto"/>
              </w:rPr>
            </w:pPr>
          </w:p>
        </w:tc>
      </w:tr>
      <w:tr>
        <w:trPr>
          <w:trHeight w:val="203"/>
        </w:trPr>
        <w:tc>
          <w:tcPr>
            <w:tcW w:w="7100" w:type="dxa"/>
            <w:vAlign w:val="bottom"/>
            <w:tcBorders>
              <w:bottom w:val="single" w:sz="8" w:color="CFF0FC"/>
            </w:tcBorders>
          </w:tcPr>
          <w:p>
            <w:pPr>
              <w:ind w:left="20"/>
              <w:spacing w:after="0" w:line="202" w:lineRule="exact"/>
              <w:rPr>
                <w:sz w:val="20"/>
                <w:szCs w:val="20"/>
                <w:color w:val="auto"/>
              </w:rPr>
            </w:pPr>
            <w:r>
              <w:rPr>
                <w:rFonts w:ascii="Arial" w:cs="Arial" w:eastAsia="Arial" w:hAnsi="Arial"/>
                <w:sz w:val="18"/>
                <w:szCs w:val="18"/>
                <w:color w:val="auto"/>
              </w:rPr>
              <w:t>Money market funds</w:t>
            </w:r>
          </w:p>
        </w:tc>
        <w:tc>
          <w:tcPr>
            <w:tcW w:w="1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2"/>
              </w:rPr>
              <w:t>344,061</w:t>
            </w:r>
          </w:p>
        </w:tc>
        <w:tc>
          <w:tcPr>
            <w:tcW w:w="16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345,679</w:t>
            </w:r>
          </w:p>
        </w:tc>
        <w:tc>
          <w:tcPr>
            <w:tcW w:w="0" w:type="dxa"/>
            <w:vAlign w:val="bottom"/>
          </w:tcPr>
          <w:p>
            <w:pPr>
              <w:spacing w:after="0"/>
              <w:rPr>
                <w:sz w:val="1"/>
                <w:szCs w:val="1"/>
                <w:color w:val="auto"/>
              </w:rPr>
            </w:pPr>
          </w:p>
        </w:tc>
      </w:tr>
      <w:tr>
        <w:trPr>
          <w:trHeight w:val="142"/>
        </w:trPr>
        <w:tc>
          <w:tcPr>
            <w:tcW w:w="710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Total cash and cash equivalents as presented on the</w:t>
            </w:r>
          </w:p>
        </w:tc>
        <w:tc>
          <w:tcPr>
            <w:tcW w:w="1300" w:type="dxa"/>
            <w:vAlign w:val="bottom"/>
            <w:vMerge w:val="restart"/>
            <w:shd w:val="clear" w:color="auto" w:fill="CFF0FC"/>
          </w:tcPr>
          <w:p>
            <w:pPr>
              <w:jc w:val="right"/>
              <w:ind w:right="1119"/>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2"/>
              </w:rPr>
              <w:t>362,506</w:t>
            </w:r>
          </w:p>
        </w:tc>
        <w:tc>
          <w:tcPr>
            <w:tcW w:w="160" w:type="dxa"/>
            <w:vAlign w:val="bottom"/>
            <w:vMerge w:val="restart"/>
            <w:shd w:val="clear" w:color="auto" w:fill="CFF0FC"/>
          </w:tcPr>
          <w:p>
            <w:pPr>
              <w:spacing w:after="0"/>
              <w:rPr>
                <w:sz w:val="12"/>
                <w:szCs w:val="12"/>
                <w:color w:val="auto"/>
              </w:rPr>
            </w:pP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364,618</w:t>
            </w:r>
          </w:p>
        </w:tc>
        <w:tc>
          <w:tcPr>
            <w:tcW w:w="0" w:type="dxa"/>
            <w:vAlign w:val="bottom"/>
          </w:tcPr>
          <w:p>
            <w:pPr>
              <w:spacing w:after="0"/>
              <w:rPr>
                <w:sz w:val="1"/>
                <w:szCs w:val="1"/>
                <w:color w:val="auto"/>
              </w:rPr>
            </w:pPr>
          </w:p>
        </w:tc>
      </w:tr>
      <w:tr>
        <w:trPr>
          <w:trHeight w:val="215"/>
        </w:trPr>
        <w:tc>
          <w:tcPr>
            <w:tcW w:w="7100" w:type="dxa"/>
            <w:vAlign w:val="bottom"/>
            <w:tcBorders>
              <w:bottom w:val="single" w:sz="8" w:color="CFF0FC"/>
            </w:tcBorders>
            <w:shd w:val="clear" w:color="auto" w:fill="CFF0FC"/>
          </w:tcPr>
          <w:p>
            <w:pPr>
              <w:ind w:left="160"/>
              <w:spacing w:after="0" w:line="156" w:lineRule="exact"/>
              <w:rPr>
                <w:sz w:val="20"/>
                <w:szCs w:val="20"/>
                <w:color w:val="auto"/>
              </w:rPr>
            </w:pPr>
            <w:r>
              <w:rPr>
                <w:rFonts w:ascii="Arial" w:cs="Arial" w:eastAsia="Arial" w:hAnsi="Arial"/>
                <w:sz w:val="18"/>
                <w:szCs w:val="18"/>
                <w:color w:val="auto"/>
              </w:rPr>
              <w:t>consolidated statements of cash flows</w:t>
            </w:r>
          </w:p>
        </w:tc>
        <w:tc>
          <w:tcPr>
            <w:tcW w:w="1300" w:type="dxa"/>
            <w:vAlign w:val="bottom"/>
            <w:tcBorders>
              <w:bottom w:val="single" w:sz="8" w:color="auto"/>
            </w:tcBorders>
            <w:vMerge w:val="continue"/>
            <w:shd w:val="clear" w:color="auto" w:fill="CFF0FC"/>
          </w:tcPr>
          <w:p>
            <w:pPr>
              <w:spacing w:after="0"/>
              <w:rPr>
                <w:sz w:val="18"/>
                <w:szCs w:val="18"/>
                <w:color w:val="auto"/>
              </w:rPr>
            </w:pPr>
          </w:p>
        </w:tc>
        <w:tc>
          <w:tcPr>
            <w:tcW w:w="70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CFF0FC"/>
            </w:tcBorders>
            <w:vMerge w:val="continue"/>
            <w:shd w:val="clear" w:color="auto" w:fill="CFF0FC"/>
          </w:tcPr>
          <w:p>
            <w:pPr>
              <w:spacing w:after="0"/>
              <w:rPr>
                <w:sz w:val="18"/>
                <w:szCs w:val="18"/>
                <w:color w:val="auto"/>
              </w:rPr>
            </w:pPr>
          </w:p>
        </w:tc>
        <w:tc>
          <w:tcPr>
            <w:tcW w:w="320" w:type="dxa"/>
            <w:vAlign w:val="bottom"/>
            <w:tcBorders>
              <w:bottom w:val="single" w:sz="8" w:color="auto"/>
            </w:tcBorders>
            <w:vMerge w:val="continue"/>
            <w:shd w:val="clear" w:color="auto" w:fill="CFF0FC"/>
          </w:tcPr>
          <w:p>
            <w:pPr>
              <w:spacing w:after="0"/>
              <w:rPr>
                <w:sz w:val="18"/>
                <w:szCs w:val="18"/>
                <w:color w:val="auto"/>
              </w:rPr>
            </w:pPr>
          </w:p>
        </w:tc>
        <w:tc>
          <w:tcPr>
            <w:tcW w:w="166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-25400</wp:posOffset>
            </wp:positionV>
            <wp:extent cx="1028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1028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-239395</wp:posOffset>
            </wp:positionV>
            <wp:extent cx="1028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 net</w:t>
      </w:r>
    </w:p>
    <w:p>
      <w:pPr>
        <w:spacing w:after="0" w:line="18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6"/>
          <w:szCs w:val="16"/>
          <w:color w:val="auto"/>
        </w:rPr>
        <w:t>Trade accounts receivable are recorded at the invoiced amount and do not bear interest. The Company maintains an allowance for doubtful accounts for estimated losses inherent in its accounts receivable portfolio. In establishing the required allowance, management considers historical losses adjusted to take into account current market conditions and the Company’s customers’ respective financial conditions, the amounts of receivables in dispute and the current receivables aging and current payment patterns. To the extent identified, account balances are charged off against the allowance after all means of collection have been exhausted and the potential for recovery is considered remote. To date, the Company’s customers have primarily been large pharmaceutical companies, biopharmaceutical companies, leading academic research centers and clinical research organizations and therefore, the Company has not had any material write-offs or allowance for doubtful accounts for the presented periods. The following is a summary of the accounts receivables allowance for doubtful accounts for the three months ended March 31, 2022 and the year ended December 31, 2021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0" w:type="dxa"/>
            <w:vAlign w:val="bottom"/>
          </w:tcPr>
          <w:p>
            <w:pPr>
              <w:ind w:left="20"/>
              <w:spacing w:after="0"/>
              <w:rPr>
                <w:sz w:val="20"/>
                <w:szCs w:val="20"/>
                <w:color w:val="auto"/>
              </w:rPr>
            </w:pPr>
            <w:r>
              <w:rPr>
                <w:rFonts w:ascii="Arial" w:cs="Arial" w:eastAsia="Arial" w:hAnsi="Arial"/>
                <w:sz w:val="14"/>
                <w:szCs w:val="14"/>
                <w:b w:val="1"/>
                <w:bCs w:val="1"/>
                <w:color w:val="auto"/>
              </w:rPr>
              <w:t>Allowance for doubtful accounts</w:t>
            </w:r>
          </w:p>
        </w:tc>
        <w:tc>
          <w:tcPr>
            <w:tcW w:w="10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17"/>
        </w:trPr>
        <w:tc>
          <w:tcPr>
            <w:tcW w:w="8800" w:type="dxa"/>
            <w:vAlign w:val="bottom"/>
          </w:tcPr>
          <w:p>
            <w:pPr>
              <w:ind w:left="20"/>
              <w:spacing w:after="0"/>
              <w:rPr>
                <w:sz w:val="20"/>
                <w:szCs w:val="20"/>
                <w:color w:val="auto"/>
              </w:rPr>
            </w:pPr>
            <w:r>
              <w:rPr>
                <w:rFonts w:ascii="Arial" w:cs="Arial" w:eastAsia="Arial" w:hAnsi="Arial"/>
                <w:sz w:val="18"/>
                <w:szCs w:val="18"/>
                <w:color w:val="auto"/>
              </w:rPr>
              <w:t>Balance at December 31, 2020</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175</w:t>
            </w:r>
          </w:p>
        </w:tc>
      </w:tr>
      <w:tr>
        <w:trPr>
          <w:trHeight w:val="203"/>
        </w:trPr>
        <w:tc>
          <w:tcPr>
            <w:tcW w:w="88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 during the period</w:t>
            </w:r>
          </w:p>
        </w:tc>
        <w:tc>
          <w:tcPr>
            <w:tcW w:w="104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8800" w:type="dxa"/>
            <w:vAlign w:val="bottom"/>
          </w:tcPr>
          <w:p>
            <w:pPr>
              <w:ind w:left="200"/>
              <w:spacing w:after="0" w:line="202" w:lineRule="exact"/>
              <w:rPr>
                <w:sz w:val="20"/>
                <w:szCs w:val="20"/>
                <w:color w:val="auto"/>
              </w:rPr>
            </w:pPr>
            <w:r>
              <w:rPr>
                <w:rFonts w:ascii="Arial" w:cs="Arial" w:eastAsia="Arial" w:hAnsi="Arial"/>
                <w:sz w:val="18"/>
                <w:szCs w:val="18"/>
                <w:color w:val="auto"/>
              </w:rPr>
              <w:t>Utilization of allowance for doubtful accounts</w:t>
            </w:r>
          </w:p>
        </w:tc>
        <w:tc>
          <w:tcPr>
            <w:tcW w:w="10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(172 )</w:t>
            </w:r>
          </w:p>
        </w:tc>
      </w:tr>
      <w:tr>
        <w:trPr>
          <w:trHeight w:val="196"/>
        </w:trPr>
        <w:tc>
          <w:tcPr>
            <w:tcW w:w="8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December 31, 2021</w:t>
            </w:r>
          </w:p>
        </w:tc>
        <w:tc>
          <w:tcPr>
            <w:tcW w:w="1040" w:type="dxa"/>
            <w:vAlign w:val="bottom"/>
            <w:shd w:val="clear" w:color="auto" w:fill="CFF0FC"/>
          </w:tcPr>
          <w:p>
            <w:pPr>
              <w:jc w:val="right"/>
              <w:ind w:right="85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w:t>
            </w:r>
          </w:p>
        </w:tc>
      </w:tr>
      <w:tr>
        <w:trPr>
          <w:trHeight w:val="203"/>
        </w:trPr>
        <w:tc>
          <w:tcPr>
            <w:tcW w:w="8800" w:type="dxa"/>
            <w:vAlign w:val="bottom"/>
          </w:tcPr>
          <w:p>
            <w:pPr>
              <w:ind w:left="200"/>
              <w:spacing w:after="0" w:line="202" w:lineRule="exact"/>
              <w:rPr>
                <w:sz w:val="20"/>
                <w:szCs w:val="20"/>
                <w:color w:val="auto"/>
              </w:rPr>
            </w:pPr>
            <w:r>
              <w:rPr>
                <w:rFonts w:ascii="Arial" w:cs="Arial" w:eastAsia="Arial" w:hAnsi="Arial"/>
                <w:sz w:val="18"/>
                <w:szCs w:val="18"/>
                <w:color w:val="auto"/>
              </w:rPr>
              <w:t>Addition during the period</w:t>
            </w:r>
          </w:p>
        </w:tc>
        <w:tc>
          <w:tcPr>
            <w:tcW w:w="1040" w:type="dxa"/>
            <w:vAlign w:val="bottom"/>
          </w:tcPr>
          <w:p>
            <w:pPr>
              <w:spacing w:after="0"/>
              <w:rPr>
                <w:sz w:val="17"/>
                <w:szCs w:val="17"/>
                <w:color w:val="auto"/>
              </w:rPr>
            </w:pPr>
          </w:p>
        </w:tc>
        <w:tc>
          <w:tcPr>
            <w:tcW w:w="1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88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Utilization of allowance for doubtful accounts</w:t>
            </w:r>
          </w:p>
        </w:tc>
        <w:tc>
          <w:tcPr>
            <w:tcW w:w="10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196"/>
        </w:trPr>
        <w:tc>
          <w:tcPr>
            <w:tcW w:w="8800" w:type="dxa"/>
            <w:vAlign w:val="bottom"/>
          </w:tcPr>
          <w:p>
            <w:pPr>
              <w:ind w:left="20"/>
              <w:spacing w:after="0" w:line="196" w:lineRule="exact"/>
              <w:rPr>
                <w:sz w:val="20"/>
                <w:szCs w:val="20"/>
                <w:color w:val="auto"/>
              </w:rPr>
            </w:pPr>
            <w:r>
              <w:rPr>
                <w:rFonts w:ascii="Arial" w:cs="Arial" w:eastAsia="Arial" w:hAnsi="Arial"/>
                <w:sz w:val="18"/>
                <w:szCs w:val="18"/>
                <w:color w:val="auto"/>
              </w:rPr>
              <w:t>Balance at March 31, 2022</w:t>
            </w:r>
          </w:p>
        </w:tc>
        <w:tc>
          <w:tcPr>
            <w:tcW w:w="1040" w:type="dxa"/>
            <w:vAlign w:val="bottom"/>
            <w:tcBorders>
              <w:bottom w:val="single" w:sz="8" w:color="auto"/>
            </w:tcBorders>
          </w:tcPr>
          <w:p>
            <w:pPr>
              <w:jc w:val="right"/>
              <w:ind w:right="85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w:t>
            </w:r>
          </w:p>
        </w:tc>
      </w:tr>
      <w:tr>
        <w:trPr>
          <w:trHeight w:val="20"/>
        </w:trPr>
        <w:tc>
          <w:tcPr>
            <w:tcW w:w="8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8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Inventories are stated at the lower of cost and net realizable value. Cost is computed using standard cost, which approximates actual cost on a first-in, first-out basis. Inventory that is obsolete or in excess of forecasted usage is written down to its estimated net realizable value based on assumptions about future demand and market conditions. Inventory write-downs are charged to cost of sales and establish a new cost basis for the inventory. Inventories include raw materials, work-in-process and finished goods.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8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Property and equipment are recorded at cost, net of accumulated depreciation. Depreciation is recorded using the straight-line method based on the estimated useful lives of the depreciable property or, for leasehold improvements, the remaining term of the lease, whichever is shorter. Assets not yet placed in use are not depreciated. The Company’s estimated useful lives of its property and equipment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Estimated Useful Lives</w:t>
            </w:r>
          </w:p>
        </w:tc>
        <w:tc>
          <w:tcPr>
            <w:tcW w:w="1620" w:type="dxa"/>
            <w:vAlign w:val="bottom"/>
          </w:tcPr>
          <w:p>
            <w:pPr>
              <w:spacing w:after="0"/>
              <w:rPr>
                <w:sz w:val="18"/>
                <w:szCs w:val="18"/>
                <w:color w:val="auto"/>
              </w:rPr>
            </w:pPr>
          </w:p>
        </w:tc>
      </w:tr>
      <w:tr>
        <w:trPr>
          <w:trHeight w:val="202"/>
        </w:trPr>
        <w:tc>
          <w:tcPr>
            <w:tcW w:w="4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3300" w:type="dxa"/>
            <w:vAlign w:val="bottom"/>
            <w:shd w:val="clear" w:color="auto" w:fill="CFF0FC"/>
          </w:tcPr>
          <w:p>
            <w:pPr>
              <w:spacing w:after="0"/>
              <w:rPr>
                <w:sz w:val="17"/>
                <w:szCs w:val="17"/>
                <w:color w:val="auto"/>
              </w:rPr>
            </w:pPr>
          </w:p>
        </w:tc>
        <w:tc>
          <w:tcPr>
            <w:tcW w:w="3400" w:type="dxa"/>
            <w:vAlign w:val="bottom"/>
            <w:gridSpan w:val="2"/>
            <w:shd w:val="clear" w:color="auto" w:fill="CFF0FC"/>
          </w:tcPr>
          <w:p>
            <w:pPr>
              <w:jc w:val="center"/>
              <w:ind w:right="1620"/>
              <w:spacing w:after="0" w:line="202" w:lineRule="exact"/>
              <w:rPr>
                <w:sz w:val="20"/>
                <w:szCs w:val="20"/>
                <w:color w:val="auto"/>
              </w:rPr>
            </w:pPr>
            <w:r>
              <w:rPr>
                <w:rFonts w:ascii="Arial" w:cs="Arial" w:eastAsia="Arial" w:hAnsi="Arial"/>
                <w:sz w:val="18"/>
                <w:szCs w:val="18"/>
                <w:color w:val="auto"/>
                <w:w w:val="84"/>
              </w:rPr>
              <w:t>7 years</w:t>
            </w:r>
          </w:p>
        </w:tc>
      </w:tr>
      <w:tr>
        <w:trPr>
          <w:trHeight w:val="203"/>
        </w:trPr>
        <w:tc>
          <w:tcPr>
            <w:tcW w:w="4540" w:type="dxa"/>
            <w:vAlign w:val="bottom"/>
          </w:tcPr>
          <w:p>
            <w:pPr>
              <w:ind w:left="20"/>
              <w:spacing w:after="0" w:line="202" w:lineRule="exact"/>
              <w:rPr>
                <w:sz w:val="20"/>
                <w:szCs w:val="20"/>
                <w:color w:val="auto"/>
              </w:rPr>
            </w:pPr>
            <w:r>
              <w:rPr>
                <w:rFonts w:ascii="Arial" w:cs="Arial" w:eastAsia="Arial" w:hAnsi="Arial"/>
                <w:sz w:val="18"/>
                <w:szCs w:val="18"/>
                <w:color w:val="auto"/>
              </w:rPr>
              <w:t>Laboratory equipment</w:t>
            </w:r>
          </w:p>
        </w:tc>
        <w:tc>
          <w:tcPr>
            <w:tcW w:w="3300" w:type="dxa"/>
            <w:vAlign w:val="bottom"/>
          </w:tcPr>
          <w:p>
            <w:pPr>
              <w:spacing w:after="0"/>
              <w:rPr>
                <w:sz w:val="17"/>
                <w:szCs w:val="17"/>
                <w:color w:val="auto"/>
              </w:rPr>
            </w:pPr>
          </w:p>
        </w:tc>
        <w:tc>
          <w:tcPr>
            <w:tcW w:w="3400" w:type="dxa"/>
            <w:vAlign w:val="bottom"/>
            <w:gridSpan w:val="2"/>
          </w:tcPr>
          <w:p>
            <w:pPr>
              <w:jc w:val="center"/>
              <w:ind w:right="1620"/>
              <w:spacing w:after="0" w:line="202" w:lineRule="exact"/>
              <w:rPr>
                <w:sz w:val="20"/>
                <w:szCs w:val="20"/>
                <w:color w:val="auto"/>
              </w:rPr>
            </w:pPr>
            <w:r>
              <w:rPr>
                <w:rFonts w:ascii="Arial" w:cs="Arial" w:eastAsia="Arial" w:hAnsi="Arial"/>
                <w:sz w:val="18"/>
                <w:szCs w:val="18"/>
                <w:color w:val="auto"/>
                <w:w w:val="84"/>
              </w:rPr>
              <w:t>5 years</w:t>
            </w:r>
          </w:p>
        </w:tc>
      </w:tr>
      <w:tr>
        <w:trPr>
          <w:trHeight w:val="203"/>
        </w:trPr>
        <w:tc>
          <w:tcPr>
            <w:tcW w:w="4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Office and computer equipment</w:t>
            </w:r>
          </w:p>
        </w:tc>
        <w:tc>
          <w:tcPr>
            <w:tcW w:w="3300" w:type="dxa"/>
            <w:vAlign w:val="bottom"/>
            <w:shd w:val="clear" w:color="auto" w:fill="CFF0FC"/>
          </w:tcPr>
          <w:p>
            <w:pPr>
              <w:spacing w:after="0"/>
              <w:rPr>
                <w:sz w:val="17"/>
                <w:szCs w:val="17"/>
                <w:color w:val="auto"/>
              </w:rPr>
            </w:pPr>
          </w:p>
        </w:tc>
        <w:tc>
          <w:tcPr>
            <w:tcW w:w="3400" w:type="dxa"/>
            <w:vAlign w:val="bottom"/>
            <w:gridSpan w:val="2"/>
            <w:shd w:val="clear" w:color="auto" w:fill="CFF0FC"/>
          </w:tcPr>
          <w:p>
            <w:pPr>
              <w:jc w:val="center"/>
              <w:ind w:right="1620"/>
              <w:spacing w:after="0" w:line="202" w:lineRule="exact"/>
              <w:rPr>
                <w:sz w:val="20"/>
                <w:szCs w:val="20"/>
                <w:color w:val="auto"/>
              </w:rPr>
            </w:pPr>
            <w:r>
              <w:rPr>
                <w:rFonts w:ascii="Arial" w:cs="Arial" w:eastAsia="Arial" w:hAnsi="Arial"/>
                <w:sz w:val="18"/>
                <w:szCs w:val="18"/>
                <w:color w:val="auto"/>
                <w:w w:val="84"/>
              </w:rPr>
              <w:t>3 years</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6700" w:type="dxa"/>
            <w:vAlign w:val="bottom"/>
            <w:gridSpan w:val="3"/>
          </w:tcPr>
          <w:p>
            <w:pPr>
              <w:jc w:val="center"/>
              <w:ind w:left="1590"/>
              <w:spacing w:after="0"/>
              <w:rPr>
                <w:sz w:val="20"/>
                <w:szCs w:val="20"/>
                <w:color w:val="auto"/>
              </w:rPr>
            </w:pPr>
            <w:r>
              <w:rPr>
                <w:rFonts w:ascii="Arial" w:cs="Arial" w:eastAsia="Arial" w:hAnsi="Arial"/>
                <w:sz w:val="18"/>
                <w:szCs w:val="18"/>
                <w:color w:val="auto"/>
                <w:w w:val="90"/>
              </w:rPr>
              <w:t>Shorter of expected lease term or estimated useful life</w:t>
            </w:r>
          </w:p>
        </w:tc>
      </w:tr>
    </w:tbl>
    <w:p>
      <w:pPr>
        <w:spacing w:after="0" w:line="20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Upon sale or retirement of the assets, the cost and related accumulated depreciation are removed from the accounts and the resulting gain or loss is recognized in the consolidated statement of operations and comprehensive income. Expenditures for general maintenance and repairs are expensed as incurred.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 net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9</w:t>
      </w:r>
    </w:p>
    <w:p>
      <w:pPr>
        <w:spacing w:after="0" w:line="63"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 xml:space="preserve">In July 2015, the Company entered into a purchase agreement with Cytek Development Technology (“Cytek Tech”) involving the acquisition of substantially all assets of Cytek Tech for the aggregate purchase amount of $900,000 in cash and the assumption of Cytek Tech liabilities. The Company recorded goodwill of $476,000 and intangible assets of $476,000 at the transaction date. The addition of goodwill in 2021 is discussed in Note 8, </w:t>
      </w:r>
      <w:r>
        <w:rPr>
          <w:rFonts w:ascii="Arial" w:cs="Arial" w:eastAsia="Arial" w:hAnsi="Arial"/>
          <w:sz w:val="18"/>
          <w:szCs w:val="18"/>
          <w:i w:val="1"/>
          <w:iCs w:val="1"/>
          <w:color w:val="auto"/>
        </w:rPr>
        <w:t>Acquisition</w:t>
      </w:r>
      <w:r>
        <w:rPr>
          <w:rFonts w:ascii="Arial" w:cs="Arial" w:eastAsia="Arial" w:hAnsi="Arial"/>
          <w:sz w:val="18"/>
          <w:szCs w:val="18"/>
          <w:color w:val="auto"/>
        </w:rPr>
        <w:t>.</w:t>
      </w:r>
    </w:p>
    <w:p>
      <w:pPr>
        <w:spacing w:after="0" w:line="161"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Goodwill represents the excess of the purchase price over the fair value of the net tangible and identifiable intangible assets acquired in a business combination. Intangible assets resulting from the acquisition of entities are estimated by management based on the fair value of assets received. Intangible assets are amortized on a straight-line basis over the estimated useful lives. The Company’s estimated useful lives of its intangible assets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840" w:type="dxa"/>
            <w:vAlign w:val="bottom"/>
          </w:tcPr>
          <w:p>
            <w:pPr>
              <w:spacing w:after="0"/>
              <w:rPr>
                <w:sz w:val="18"/>
                <w:szCs w:val="18"/>
                <w:color w:val="auto"/>
              </w:rPr>
            </w:pPr>
          </w:p>
        </w:tc>
        <w:tc>
          <w:tcPr>
            <w:tcW w:w="3400" w:type="dxa"/>
            <w:vAlign w:val="bottom"/>
            <w:gridSpan w:val="2"/>
          </w:tcPr>
          <w:p>
            <w:pPr>
              <w:jc w:val="center"/>
              <w:ind w:right="1640"/>
              <w:spacing w:after="0"/>
              <w:rPr>
                <w:sz w:val="20"/>
                <w:szCs w:val="20"/>
                <w:color w:val="auto"/>
              </w:rPr>
            </w:pPr>
            <w:r>
              <w:rPr>
                <w:rFonts w:ascii="Arial" w:cs="Arial" w:eastAsia="Arial" w:hAnsi="Arial"/>
                <w:sz w:val="18"/>
                <w:szCs w:val="18"/>
                <w:b w:val="1"/>
                <w:bCs w:val="1"/>
                <w:color w:val="auto"/>
                <w:w w:val="89"/>
              </w:rPr>
              <w:t>Estimated Useful Lives</w:t>
            </w:r>
          </w:p>
        </w:tc>
      </w:tr>
      <w:tr>
        <w:trPr>
          <w:trHeight w:val="203"/>
        </w:trPr>
        <w:tc>
          <w:tcPr>
            <w:tcW w:w="7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Patent</w:t>
            </w:r>
          </w:p>
        </w:tc>
        <w:tc>
          <w:tcPr>
            <w:tcW w:w="1760" w:type="dxa"/>
            <w:vAlign w:val="bottom"/>
            <w:tcBorders>
              <w:top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86"/>
              </w:rPr>
              <w:t>20 years</w:t>
            </w:r>
          </w:p>
        </w:tc>
        <w:tc>
          <w:tcPr>
            <w:tcW w:w="1640" w:type="dxa"/>
            <w:vAlign w:val="bottom"/>
            <w:shd w:val="clear" w:color="auto" w:fill="CFF0FC"/>
          </w:tcPr>
          <w:p>
            <w:pPr>
              <w:spacing w:after="0"/>
              <w:rPr>
                <w:sz w:val="17"/>
                <w:szCs w:val="17"/>
                <w:color w:val="auto"/>
              </w:rPr>
            </w:pP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color w:val="auto"/>
              </w:rPr>
              <w:t>Trademarks</w:t>
            </w:r>
          </w:p>
        </w:tc>
        <w:tc>
          <w:tcPr>
            <w:tcW w:w="3400" w:type="dxa"/>
            <w:vAlign w:val="bottom"/>
            <w:gridSpan w:val="2"/>
          </w:tcPr>
          <w:p>
            <w:pPr>
              <w:jc w:val="center"/>
              <w:ind w:right="1640"/>
              <w:spacing w:after="0" w:line="202" w:lineRule="exact"/>
              <w:rPr>
                <w:sz w:val="20"/>
                <w:szCs w:val="20"/>
                <w:color w:val="auto"/>
              </w:rPr>
            </w:pPr>
            <w:r>
              <w:rPr>
                <w:rFonts w:ascii="Arial" w:cs="Arial" w:eastAsia="Arial" w:hAnsi="Arial"/>
                <w:sz w:val="18"/>
                <w:szCs w:val="18"/>
                <w:color w:val="auto"/>
                <w:w w:val="86"/>
              </w:rPr>
              <w:t>10 years</w:t>
            </w:r>
          </w:p>
        </w:tc>
      </w:tr>
      <w:tr>
        <w:trPr>
          <w:trHeight w:val="203"/>
        </w:trPr>
        <w:tc>
          <w:tcPr>
            <w:tcW w:w="7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Tradename</w:t>
            </w:r>
          </w:p>
        </w:tc>
        <w:tc>
          <w:tcPr>
            <w:tcW w:w="3400" w:type="dxa"/>
            <w:vAlign w:val="bottom"/>
            <w:gridSpan w:val="2"/>
            <w:shd w:val="clear" w:color="auto" w:fill="CFF0FC"/>
          </w:tcPr>
          <w:p>
            <w:pPr>
              <w:jc w:val="center"/>
              <w:ind w:right="1640"/>
              <w:spacing w:after="0" w:line="202" w:lineRule="exact"/>
              <w:rPr>
                <w:sz w:val="20"/>
                <w:szCs w:val="20"/>
                <w:color w:val="auto"/>
              </w:rPr>
            </w:pPr>
            <w:r>
              <w:rPr>
                <w:rFonts w:ascii="Arial" w:cs="Arial" w:eastAsia="Arial" w:hAnsi="Arial"/>
                <w:sz w:val="18"/>
                <w:szCs w:val="18"/>
                <w:color w:val="auto"/>
                <w:w w:val="88"/>
              </w:rPr>
              <w:t>4 years</w:t>
            </w: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w:t>
            </w:r>
          </w:p>
        </w:tc>
        <w:tc>
          <w:tcPr>
            <w:tcW w:w="3400" w:type="dxa"/>
            <w:vAlign w:val="bottom"/>
            <w:gridSpan w:val="2"/>
          </w:tcPr>
          <w:p>
            <w:pPr>
              <w:jc w:val="center"/>
              <w:ind w:right="1640"/>
              <w:spacing w:after="0" w:line="202" w:lineRule="exact"/>
              <w:rPr>
                <w:sz w:val="20"/>
                <w:szCs w:val="20"/>
                <w:color w:val="auto"/>
              </w:rPr>
            </w:pPr>
            <w:r>
              <w:rPr>
                <w:rFonts w:ascii="Arial" w:cs="Arial" w:eastAsia="Arial" w:hAnsi="Arial"/>
                <w:sz w:val="18"/>
                <w:szCs w:val="18"/>
                <w:color w:val="auto"/>
                <w:w w:val="88"/>
              </w:rPr>
              <w:t>7 years</w:t>
            </w:r>
          </w:p>
        </w:tc>
      </w:tr>
      <w:tr>
        <w:trPr>
          <w:trHeight w:val="203"/>
        </w:trPr>
        <w:tc>
          <w:tcPr>
            <w:tcW w:w="7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Reagent licenses</w:t>
            </w:r>
          </w:p>
        </w:tc>
        <w:tc>
          <w:tcPr>
            <w:tcW w:w="3400" w:type="dxa"/>
            <w:vAlign w:val="bottom"/>
            <w:gridSpan w:val="2"/>
            <w:shd w:val="clear" w:color="auto" w:fill="CFF0FC"/>
          </w:tcPr>
          <w:p>
            <w:pPr>
              <w:jc w:val="center"/>
              <w:ind w:right="1640"/>
              <w:spacing w:after="0" w:line="202" w:lineRule="exact"/>
              <w:rPr>
                <w:sz w:val="20"/>
                <w:szCs w:val="20"/>
                <w:color w:val="auto"/>
              </w:rPr>
            </w:pPr>
            <w:r>
              <w:rPr>
                <w:rFonts w:ascii="Arial" w:cs="Arial" w:eastAsia="Arial" w:hAnsi="Arial"/>
                <w:sz w:val="18"/>
                <w:szCs w:val="18"/>
                <w:color w:val="auto"/>
                <w:w w:val="88"/>
              </w:rPr>
              <w:t>7 years</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IP license</w:t>
            </w:r>
          </w:p>
        </w:tc>
        <w:tc>
          <w:tcPr>
            <w:tcW w:w="3400" w:type="dxa"/>
            <w:vAlign w:val="bottom"/>
            <w:gridSpan w:val="2"/>
          </w:tcPr>
          <w:p>
            <w:pPr>
              <w:jc w:val="center"/>
              <w:ind w:right="1640"/>
              <w:spacing w:after="0"/>
              <w:rPr>
                <w:sz w:val="20"/>
                <w:szCs w:val="20"/>
                <w:color w:val="auto"/>
              </w:rPr>
            </w:pPr>
            <w:r>
              <w:rPr>
                <w:rFonts w:ascii="Arial" w:cs="Arial" w:eastAsia="Arial" w:hAnsi="Arial"/>
                <w:sz w:val="18"/>
                <w:szCs w:val="18"/>
                <w:color w:val="auto"/>
                <w:w w:val="88"/>
              </w:rPr>
              <w:t>5 years</w:t>
            </w:r>
          </w:p>
        </w:tc>
      </w:tr>
    </w:tbl>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Impairment of Long-Lived Assets</w:t>
      </w:r>
    </w:p>
    <w:p>
      <w:pPr>
        <w:spacing w:after="0" w:line="18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Long-lived assets with finite lives include property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32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Goodwill and indefinite-lived intangible assets are not amortized but rather tested for impairment at least annually in the fourth quarter, or more frequently if events or changes in circumstances indicate that impairment may exist. Goodwill impairment is recognized when the quantitative assessment results in the carrying value of the reporting unit exceeding its fair value, in which case an impairment charge is recorded to goodwill to the extent the carrying value exceeds the fair value, limited to the amount of goodwill. The Company did not recognize any impairment of goodwill for all periods presented.</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85"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4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4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categorization of a financial instrument within the valuation hierarchy is based on the lowest level of input that is significant to the fair value measurement. The Company recognizes transfers between levels of the fair value hierarchy on the date of the event or change in circumstances that caused the transfer.</w:t>
      </w:r>
    </w:p>
    <w:p>
      <w:pPr>
        <w:spacing w:after="0" w:line="14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carrying amounts reflected in the unaudited interim consolidated balance sheets for cash and cash equivalents, trade accounts receivable, net, trade accounts payable and accrued expenses approximate their fair values.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10</w:t>
      </w:r>
    </w:p>
    <w:p>
      <w:pPr>
        <w:spacing w:after="0" w:line="10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Company’s product revenue consists of sales of its instrument systems and accessories. The Company recognizes product revenue at the point in time when control of the instrument is transferred to the customer.</w:t>
      </w:r>
    </w:p>
    <w:p>
      <w:pPr>
        <w:spacing w:after="0" w:line="14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14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6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Invoicing for products occurs upon delivery and payment terms are 30 to 90 days. Service contracts are invoiced upfront and payment terms are generally 30 days. For those arrangements that have terms greater than one year, any payments received upfront are for reasons other than financing. Revenue is recognized only to the extent that it is probable that a significant reversal of the cumulative amount recognized will not occur in future periods. Variable consideration is not material.</w:t>
      </w:r>
    </w:p>
    <w:p>
      <w:pPr>
        <w:spacing w:after="0" w:line="147"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Certain of the Company’s sales contracts involve the delivery or performance of multiple products and services within contractually binding arrangements. The Company has determined these performance obligations qualify as distinct performance obligations, as the customer can benefit from the good or service on its own or together with other resources that are readily available to the customer, and the Company’s promise to transfer the good or service is separately identifiable from other promises in the contract. For these arrangements that contain multiple performance obligations, the Company allocates transaction price based on the relative standalone selling price (“SSP”) method by comparing the SSP of each distinct performance obligation to the total value of the contract. The Company uses a range of amounts to estimate SSP for products and services sold together in a contract to determine whether there is a discount to be allocated based on the relative SSP of the various products and services. In instances where SSP is not directly observable, such as when the Company does not sell the product or service separately, the Company determines the SSP using information that may include market conditions and other observable inputs.</w:t>
      </w:r>
    </w:p>
    <w:p>
      <w:pPr>
        <w:spacing w:after="0" w:line="15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Sales, value-add and other taxes, collected from customers concurrent with revenue generating activities and remitted to governmental authorities are not included in revenue. Shipping and handling costs associated with outbound freight are accounted for as a fulfillment cost and are included in cost of sales.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8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Company’s standard arrangement for sales to end users is a purchase order or an executed contract. Revenue is recognized upon transfer of control of the product to the customer, which occurs at a point in time depending on the shipping terms.</w:t>
      </w:r>
    </w:p>
    <w:p>
      <w:pPr>
        <w:spacing w:after="0" w:line="130"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The Company’s arrangements with its distributors include a purchase order. The purchase order is governed by terms and conditions set forth in the applicable distribution agreement. Revenue is recognized upon transfer of control of the products to the distributor, which occurs at a point in time depending on the shipping terms.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revenue</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Company’s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 Service contracts are typically between one and three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7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Contract liabilities consist of fees invoiced or paid by the Company’s customers for which the associated services have not been performed and revenue has not been recognized based on the Company’s revenue recognition criteria described above. Such amounts are reported as deferred revenue for service and customer deposits for instruments on the consolidated balance sheets. Deferred revenue that is expected to be recognized during the following 12 months is recorded as a current liability and the remaining portion is recorded as noncurrent.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Assurance-type product warranties</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provides a one-year assurance-type warranty that is included with the sale of its instruments. At the time revenue is recognized for the products, the Company establishes an accrual for estimated warranty expense based on historical data and trends of product reliability and costs of repairing and replacing defective products. The Company exercises judgment in estimating the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11</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expected product warranty costs, using data such as the historical repair costs. While management believes that historical experience provides a reliable basis for estimating such warranty cost, unforeseen quality issues or component failure rates could result in future costs in excess of such estimates, or alternatively, improved quality and reliability in the Company’s products could result in actual expenses that are below those currently estimated.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7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Deferred offering costs, which consist of direct incremental legal, consulting, banking and accounting fees relating to the Company’s planned initial public offering, are capitalized, and will be offset against proceeds from the IPO upon the effectiveness of the offering. In the event an anticipated offering is terminated, deferred offering costs will be expensed. On July 27, 2021, the Company completed the IPO; accordingly, the Company recognized the initial public offering costs of approximately $5.3 million as a reduction from gross proceeds associated with the IPO through additional paid-in capital in the accompanying condensed consolidated balance sheet. Accordingly, there were no deferred offering costs as of March 31, 2022 and December 31, 2021.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7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Research and development costs are expensed as incurred. Research and development expenses to date consist primarily of salaries, benefits, stock-based compensation, independent contractor costs, laboratory supplies, equipment maintenance, materials expenses, and software license fees. Payments made prior to the receipt of goods or services to be used in research and development activities are recorded as prepaid expenses until the related goods or services are received.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7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cost of advertising, marketing and media is expensed as incurred. For the three months ended March 31, 2022 and 2021, advertising, marketing and media expenses totaled $0.4 million and $0.2 million,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The Company maintains an equity incentive compensation plan under which incentive stock options and nonqualified stock options to purchase common stock, and restricted stock units for common stock, are granted to employees and non-employee consultants. Stock-based compensation cost is measured at the grant date, based on the fair value of the award, and is recognized as expense over the requisite service period. The fair value of stock options granted to employees is estimated using the Black-Scholes option pricing model. The Company records forfeitures as they occur. The weighted-average assumptions used in estimating the fair value of stock options granted during each of the periods presented are:</w:t>
      </w:r>
    </w:p>
    <w:p>
      <w:pPr>
        <w:spacing w:after="0" w:line="13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Expected Volatility—Expected volatility is estimated by studying the volatility of selected industry peers deemed to be comparable to our business corresponding to the expected term of the awards.</w:t>
      </w:r>
    </w:p>
    <w:p>
      <w:pPr>
        <w:spacing w:after="0" w:line="130"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Expected Term—Expected term represents the period that our stock-based awards are expected to be outstanding and is determined using the simplified method.</w:t>
      </w:r>
    </w:p>
    <w:p>
      <w:pPr>
        <w:spacing w:after="0" w:line="144"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Dividend Yield— The expected dividend yield is zero as we have never declared or paid cash dividends and have no current plans to do so in the foreseeable future.</w:t>
      </w:r>
    </w:p>
    <w:p>
      <w:pPr>
        <w:spacing w:after="0" w:line="130"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Risk-Free Interest Rate—The risk-free interest rate is based on the U.S. Treasury zero-coupon issued in effect at the time of grant for periods corresponding with the expected term of the option.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accounts for income taxes under an asset and liability approach. Deferred income taxes comprise the impact of temporary differences between assets and liabilities recognized for financial reporting purposes and the amounts recognized for income tax reporting purposes, net operating loss carryforwards, and other tax credit carryforwards measured by applying currently enacted tax laws. A valuation allowance is provided when necessary to reduce deferred tax assets to an amount that is more likely than not to be realized.</w:t>
      </w:r>
    </w:p>
    <w:p>
      <w:pPr>
        <w:spacing w:after="0" w:line="1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Company determines whether a tax position is more likely than not to be sustained upon examination, including resolution of any related appeals or litigation processes, based on the technical merits of the position. The Company uses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 The Company’s policy for interest and penalties related to uncertain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12</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tax positions is to recognize interest and penalties, if any, in interest expense and other expense, respectively, in the accompanying consolidated statement of operations. Accrued interest and penalties, if any, are included in accrued expenses in the consolidated balance sheet.</w:t>
      </w:r>
    </w:p>
    <w:p>
      <w:pPr>
        <w:spacing w:after="0" w:line="12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 files income tax returns in the U.S. federal jurisdiction, various U.S. state jurisdictions and foreign jurisdictions. The U.S. state and foreign jurisdictions have statutes of limitations that generally range from three to five years. The Company’s federal, state and foreign income tax returns are subject to examination unless the statutes of limitations close. The Company is not currently under examination for federal, state, and foreign income tax purposes.</w:t>
      </w:r>
    </w:p>
    <w:p>
      <w:pPr>
        <w:spacing w:after="0" w:line="14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Company intends to reinvest its undistributed earnings of its foreign operations. Following enactment of the 2017 Tax Cuts and Jobs Act, the repatriation of cash to the United States is generally no longer taxable for federal income tax purposes. However, the repatriation of cash held outside the United States could be subject to applicable foreign withholding taxes and state income taxes. The Company may remit foreign earnings to the United States to the extent it is tax efficient to do so. It does not expect the tax impact from remitting these earnings to be material. The Company adopted this guidance on January 1, 2021 on a prospective basis, and the adoption did not have a material impact to the Company’s unaudited interim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attributable to common stockholders per share</w:t>
      </w:r>
    </w:p>
    <w:p>
      <w:pPr>
        <w:spacing w:after="0" w:line="17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Basic net (loss) income attributable to common stockholders per share and diluted net (loss) income attributable to common stockholders per share are computed using the weighted-average number of shares of common stock outstanding for the period. Net (loss) income per share attributable to common stockholders is calculated using the two-class method, which is an earnings allocation formula that determines net (loss) income per share for the holders of shares of the Company’s common stock and participating securities. The Company’s redeemable convertible preferred stock contains participation rights in any dividend paid by the Company and is deemed to be a participating security. The participating securities include a contractual obligation to participate in the income of the Company and are included in the calculation of net (loss) income per share in the periods in which net (loss) income is recorded.</w:t>
      </w:r>
    </w:p>
    <w:p>
      <w:pPr>
        <w:spacing w:after="0" w:line="16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Diluted net (loss) income attributable to common stockholders per share is computed using the more dilutive of (a) the two-class method or (b) the if-converted method. The Company allocates earnings first to preferred stockholders based on non-cumulative dividend rights if and when declared and then to common and preferred stockholders based on ownership interests. The weighted-average number of shares of common stock included in the computation of diluted net (loss) income attributable to common stockholders per share gives effect to all potentially dilutive common stock equivalents, including outstanding options and redeemable convertible preferred stock.</w:t>
      </w:r>
    </w:p>
    <w:p>
      <w:pPr>
        <w:spacing w:after="0" w:line="14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Common stock equivalents are excluded from the computation of diluted net (loss) income attributable to common stockholders per share if their effect is antidilutive.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71"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 xml:space="preserve">The Company uses the acquisition method of accounting under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Each acquired company’s operating results are included in the Company's consolidated financial statements starting on the date of acquisition. The purchase price is equivalent to the fair value of consideration transferred. Tangible and identifiable intangible assets acquired and liabilities assumed as of the date of acquisition are recorded at the acquisition date fair value. Goodwill is recognized for the excess of purchase price over the net fair value of assets acquired and liabilities assumed.</w:t>
      </w:r>
    </w:p>
    <w:p>
      <w:pPr>
        <w:spacing w:after="0" w:line="128"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Amounts allocated to assets and liabilities are based upon fair values. Such valuations require management to make significant estimates and assumptions, especially with respect to the identifiable intangible assets. Management makes estimates of fair value based upon assumptions believed to be reasonable and that of a market participant. These estimates are based on historical experience and information obtained from the management of the acquired companies and the estimates are inherently uncertain. The separately identifiable intangible assets generally include customer relationships, trade names, and reagent licenses.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8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The Company has, however, elected to early- adopt as permitted certain new or revised accounting standards as of dates that may or may not coincide with the effective dates of public companies. These standards include the following:</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13</w:t>
      </w:r>
    </w:p>
    <w:p>
      <w:pPr>
        <w:spacing w:after="0" w:line="104"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("Topic 740"). The objective of the guidance is to simplify the accounting for income taxes by removing certain exceptions to the general principles in Topic 740 and to provide more consistent application to improve the comparability of financial statements. The guidance is effective for fiscal years beginning after December 15, 2021, and interim periods within fiscal years beginning after December 15, 2022, with early adoption permitted. The Company early adopted this guidance on January 1, 2021, and the adoption did not have a material impact to the Company’s unaudited interim consolidated financial statements.</w:t>
      </w:r>
    </w:p>
    <w:p>
      <w:pPr>
        <w:spacing w:after="0" w:line="132"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to improve financial reporting and disclosures about leasing transactions. This ASU requires companies that lease assets to recognize on the balance sheet the assets and liabilities for the rights and obligations created by those leases, for substantially all leases. The recognition, measurement and presentation of expense and cash flows arising from a lease by a lessee will depend primarily on its classification as a finance or operating lease; both types of leases will be recognized on the balance sheet. This ASU also requires disclosures to help financial statement users to better understand the amount, timing and uncertainty of cash flows arising from leases. As the Company qualifies as an emerging growth company, the new lease standard was adopted by the Company on its effective date of January 1, 2022. The Company used the optional transition method to the modified retrospective approach in which results for reporting periods beginning on January 1, 2022 are presented under Topic 842, while prior period amounts continue to be reported and disclosed in accordance with the Company’s historical accounting treatment under ASC Topic 840,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34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A number of practical expedients and policy elections are available under the new guidance to reduce the burden of adoption and ongoing compliance with Topic 842. The Company elected the "package of practical expedients" permitted under the transition guidance, which did not require reassessment of whether contracts entered into prior to January 1, 2022 are or contain leases, and allowed carryforward of the historical lease classification for existing leases. The Company has not elected to adopt the “hindsight” practical expedient, and therefore will measure the right-of-use (ROU) asset and lease liability using the remaining portion of the lease term at adoption on January 1, 2022.</w:t>
      </w:r>
    </w:p>
    <w:p>
      <w:pPr>
        <w:spacing w:after="0" w:line="147"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The Company made an accounting policy election under Topic 842 not to recognize ROU assets and lease liabilities for leases with a term of twelve months or less. For all other leases, the Company recognizes ROU assets and lease liabilities based on the present value of lease payments over the lease term at the commencement date of the lease (or January 1, 2022 for existing leases upon the adoption of Topic 842). The ROU assets also include any initial direct costs incurred and lease payments made at or before the commencement date and are reduced by any lease incentives.</w:t>
      </w:r>
    </w:p>
    <w:p>
      <w:pPr>
        <w:spacing w:after="0" w:line="13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Future lease payments may include fixed rent escalation clauses or payments that depend on an index (such as the consumer price index). Subsequent changes an index and other periodic market-rate adjustments to base rent are recorded in variable lease expense in the period incurred. Residual value guarantees and payments for terminating a lease are included in the lease payments only when it is probable they will be incurred.</w:t>
      </w:r>
    </w:p>
    <w:p>
      <w:pPr>
        <w:spacing w:after="0" w:line="13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Company’s leases may include a non-lease component representing additional services transferred to the Company, such as common area maintenance for real estate. The Company made an accounting policy election to account for each separate lease component and the non-lease components associated with that lease component as a single lease component. The non-lease components are generally variable in nature and recorded in variable lease expense in the period incurred.</w:t>
      </w:r>
    </w:p>
    <w:p>
      <w:pPr>
        <w:spacing w:after="0" w:line="147"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Company uses its incremental borrowing rate to determine the present value of lease payments, as the Company’s leases do not have a readily determinable implicit discount rate. The incremental borrowing rate is the rate of interest the Company would have to pay to borrow on a collateralized basis over a similar term and amount in a similar economic environment. Judgement is applied in assessing factors such as Company-specific credit risk, lease term, nature and quality of the underlying collateral, currency, and economic environment in determining the incremental borrowing rate to apply to each lease.</w:t>
      </w:r>
    </w:p>
    <w:p>
      <w:pPr>
        <w:spacing w:after="0" w:line="16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Adoption of Topic 842 resulted in the recording of ROU assets and lease liabilities related to the Company’s operating leases of approximately $14.6 million and $15.2 million, respectively, on January 1, 2022. The adoption of the new lease standard did not materially impact our consolidated net income or consolidated cash flows and did not result in a cumulative-effect adjustment to the opening balance of retained earnings. Refer to Note 16 for additional disclosures.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85"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replaces the existing incurred loss impairment model with an expected credit loss model and requires a financial asset measured at</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cost to be presented at the net amount expected to be collected. This new standard is effective for the Company in the fiscal year beginning January 1, 2023 and must be adopted using a modified retrospective approach, with certain exceptions. The Company is currently evaluating the impact of this standard on its unaudited interim consolidated financial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14</w:t>
      </w:r>
    </w:p>
    <w:p>
      <w:pPr>
        <w:spacing w:after="0" w:line="100"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credit risk and other risks and uncertainties</w:t>
      </w:r>
    </w:p>
    <w:p>
      <w:pPr>
        <w:spacing w:after="0" w:line="189"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w:t>
      </w:r>
    </w:p>
    <w:p>
      <w:pPr>
        <w:spacing w:after="0" w:line="143" w:lineRule="exact"/>
        <w:rPr>
          <w:sz w:val="20"/>
          <w:szCs w:val="20"/>
          <w:color w:val="auto"/>
        </w:rPr>
      </w:pPr>
    </w:p>
    <w:p>
      <w:pPr>
        <w:ind w:right="7680" w:firstLine="8"/>
        <w:spacing w:after="0" w:line="391" w:lineRule="auto"/>
        <w:tabs>
          <w:tab w:leader="none" w:pos="50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from contracts with customers </w:t>
      </w:r>
      <w:r>
        <w:rPr>
          <w:rFonts w:ascii="Arial" w:cs="Arial" w:eastAsia="Arial" w:hAnsi="Arial"/>
          <w:sz w:val="18"/>
          <w:szCs w:val="18"/>
          <w:i w:val="1"/>
          <w:iCs w:val="1"/>
          <w:color w:val="auto"/>
        </w:rPr>
        <w:t>Disaggregation of revenue</w:t>
      </w:r>
    </w:p>
    <w:p>
      <w:pPr>
        <w:spacing w:after="0" w:line="18"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color w:val="auto"/>
        </w:rPr>
        <w:t>The following table depicts the disaggregation of revenue by sales channel mix and customer mix as defined by the nature of workflows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Sales channel mix</w:t>
            </w:r>
          </w:p>
        </w:tc>
        <w:tc>
          <w:tcPr>
            <w:tcW w:w="10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Direct sales channel</w:t>
            </w:r>
          </w:p>
        </w:tc>
        <w:tc>
          <w:tcPr>
            <w:tcW w:w="1020" w:type="dxa"/>
            <w:vAlign w:val="bottom"/>
          </w:tcPr>
          <w:p>
            <w:pPr>
              <w:jc w:val="right"/>
              <w:ind w:right="836"/>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30,919</w:t>
            </w:r>
          </w:p>
        </w:tc>
        <w:tc>
          <w:tcPr>
            <w:tcW w:w="1220" w:type="dxa"/>
            <w:vAlign w:val="bottom"/>
            <w:gridSpan w:val="2"/>
          </w:tcPr>
          <w:p>
            <w:pPr>
              <w:jc w:val="right"/>
              <w:ind w:right="83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19,862</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Distributor channel</w:t>
            </w:r>
          </w:p>
        </w:tc>
        <w:tc>
          <w:tcPr>
            <w:tcW w:w="10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4,145</w:t>
            </w:r>
          </w:p>
        </w:tc>
        <w:tc>
          <w:tcPr>
            <w:tcW w:w="2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4,410</w:t>
            </w: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revenue, net</w:t>
            </w:r>
          </w:p>
        </w:tc>
        <w:tc>
          <w:tcPr>
            <w:tcW w:w="1020" w:type="dxa"/>
            <w:vAlign w:val="bottom"/>
          </w:tcPr>
          <w:p>
            <w:pPr>
              <w:jc w:val="right"/>
              <w:ind w:right="836"/>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35,064</w:t>
            </w:r>
          </w:p>
        </w:tc>
        <w:tc>
          <w:tcPr>
            <w:tcW w:w="1220" w:type="dxa"/>
            <w:vAlign w:val="bottom"/>
            <w:gridSpan w:val="2"/>
          </w:tcPr>
          <w:p>
            <w:pPr>
              <w:jc w:val="right"/>
              <w:ind w:right="830"/>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24,272</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Customer mix</w:t>
            </w: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Academia and government</w:t>
            </w:r>
          </w:p>
        </w:tc>
        <w:tc>
          <w:tcPr>
            <w:tcW w:w="1020" w:type="dxa"/>
            <w:vAlign w:val="bottom"/>
            <w:shd w:val="clear" w:color="auto" w:fill="CFF0FC"/>
          </w:tcPr>
          <w:p>
            <w:pPr>
              <w:jc w:val="right"/>
              <w:ind w:right="836"/>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14,407</w:t>
            </w:r>
          </w:p>
        </w:tc>
        <w:tc>
          <w:tcPr>
            <w:tcW w:w="1220" w:type="dxa"/>
            <w:vAlign w:val="bottom"/>
            <w:gridSpan w:val="2"/>
            <w:shd w:val="clear" w:color="auto" w:fill="CFF0FC"/>
          </w:tcPr>
          <w:p>
            <w:pPr>
              <w:jc w:val="right"/>
              <w:ind w:right="83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10,116</w:t>
            </w:r>
          </w:p>
        </w:tc>
        <w:tc>
          <w:tcPr>
            <w:tcW w:w="0" w:type="dxa"/>
            <w:vAlign w:val="bottom"/>
          </w:tcPr>
          <w:p>
            <w:pPr>
              <w:spacing w:after="0"/>
              <w:rPr>
                <w:sz w:val="1"/>
                <w:szCs w:val="1"/>
                <w:color w:val="auto"/>
              </w:rPr>
            </w:pPr>
          </w:p>
        </w:tc>
      </w:tr>
      <w:tr>
        <w:trPr>
          <w:trHeight w:val="162"/>
        </w:trPr>
        <w:tc>
          <w:tcPr>
            <w:tcW w:w="7680" w:type="dxa"/>
            <w:vAlign w:val="bottom"/>
          </w:tcPr>
          <w:p>
            <w:pPr>
              <w:ind w:left="200"/>
              <w:spacing w:after="0" w:line="162" w:lineRule="exact"/>
              <w:rPr>
                <w:sz w:val="20"/>
                <w:szCs w:val="20"/>
                <w:color w:val="auto"/>
              </w:rPr>
            </w:pPr>
            <w:r>
              <w:rPr>
                <w:rFonts w:ascii="Arial" w:cs="Arial" w:eastAsia="Arial" w:hAnsi="Arial"/>
                <w:sz w:val="18"/>
                <w:szCs w:val="18"/>
                <w:color w:val="auto"/>
              </w:rPr>
              <w:t>Biotechnology, pharmaceutical, distributor and contract research</w:t>
            </w:r>
          </w:p>
        </w:tc>
        <w:tc>
          <w:tcPr>
            <w:tcW w:w="10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20,657</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14,156</w:t>
            </w:r>
          </w:p>
        </w:tc>
        <w:tc>
          <w:tcPr>
            <w:tcW w:w="0" w:type="dxa"/>
            <w:vAlign w:val="bottom"/>
          </w:tcPr>
          <w:p>
            <w:pPr>
              <w:spacing w:after="0"/>
              <w:rPr>
                <w:sz w:val="1"/>
                <w:szCs w:val="1"/>
                <w:color w:val="auto"/>
              </w:rPr>
            </w:pPr>
          </w:p>
        </w:tc>
      </w:tr>
      <w:tr>
        <w:trPr>
          <w:trHeight w:val="203"/>
        </w:trPr>
        <w:tc>
          <w:tcPr>
            <w:tcW w:w="7680" w:type="dxa"/>
            <w:vAlign w:val="bottom"/>
          </w:tcPr>
          <w:p>
            <w:pPr>
              <w:ind w:left="340"/>
              <w:spacing w:after="0" w:line="202" w:lineRule="exact"/>
              <w:rPr>
                <w:sz w:val="20"/>
                <w:szCs w:val="20"/>
                <w:color w:val="auto"/>
              </w:rPr>
            </w:pPr>
            <w:r>
              <w:rPr>
                <w:rFonts w:ascii="Arial" w:cs="Arial" w:eastAsia="Arial" w:hAnsi="Arial"/>
                <w:sz w:val="18"/>
                <w:szCs w:val="18"/>
                <w:color w:val="auto"/>
              </w:rPr>
              <w:t>organizations</w:t>
            </w: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 net</w:t>
            </w:r>
          </w:p>
        </w:tc>
        <w:tc>
          <w:tcPr>
            <w:tcW w:w="1020" w:type="dxa"/>
            <w:vAlign w:val="bottom"/>
            <w:tcBorders>
              <w:bottom w:val="single" w:sz="8" w:color="auto"/>
            </w:tcBorders>
            <w:shd w:val="clear" w:color="auto" w:fill="CFF0FC"/>
          </w:tcPr>
          <w:p>
            <w:pPr>
              <w:jc w:val="right"/>
              <w:ind w:right="836"/>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35,064</w:t>
            </w:r>
          </w:p>
        </w:tc>
        <w:tc>
          <w:tcPr>
            <w:tcW w:w="2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24,272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-939165</wp:posOffset>
            </wp:positionV>
            <wp:extent cx="12001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120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20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Revenue by geographical markets is presented in Note 21, </w:t>
      </w:r>
      <w:r>
        <w:rPr>
          <w:rFonts w:ascii="Arial" w:cs="Arial" w:eastAsia="Arial" w:hAnsi="Arial"/>
          <w:sz w:val="18"/>
          <w:szCs w:val="18"/>
          <w:i w:val="1"/>
          <w:iCs w:val="1"/>
          <w:color w:val="auto"/>
        </w:rPr>
        <w:t>Geographic areas</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8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following table includes estimated revenues expected to be recognized in the future related to performance obligations that are unsatisfied (or partially satisfied) as of March 31, 2022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w w:val="98"/>
              </w:rPr>
              <w:t>Less than 1 year</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8"/>
              </w:rPr>
              <w:t>Greater than 1 year</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Product revenue</w:t>
            </w: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Service revenue</w:t>
            </w: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11,959</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7,199</w:t>
            </w:r>
          </w:p>
        </w:tc>
      </w:tr>
      <w:tr>
        <w:trPr>
          <w:trHeight w:val="236"/>
        </w:trPr>
        <w:tc>
          <w:tcPr>
            <w:tcW w:w="76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12,252</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7,199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1200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information about receivables, deferred revenue from contracts with customers, and customer deposits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476"/>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37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52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r>
      <w:tr>
        <w:trPr>
          <w:trHeight w:val="196"/>
        </w:trPr>
        <w:tc>
          <w:tcPr>
            <w:tcW w:w="52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Trade accounts receivable</w:t>
            </w:r>
          </w:p>
        </w:tc>
        <w:tc>
          <w:tcPr>
            <w:tcW w:w="24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30,406</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29,760</w:t>
            </w:r>
          </w:p>
        </w:tc>
      </w:tr>
      <w:tr>
        <w:trPr>
          <w:trHeight w:val="203"/>
        </w:trPr>
        <w:tc>
          <w:tcPr>
            <w:tcW w:w="5260" w:type="dxa"/>
            <w:vAlign w:val="bottom"/>
          </w:tcPr>
          <w:p>
            <w:pPr>
              <w:ind w:left="20"/>
              <w:spacing w:after="0" w:line="202" w:lineRule="exact"/>
              <w:rPr>
                <w:sz w:val="20"/>
                <w:szCs w:val="20"/>
                <w:color w:val="auto"/>
              </w:rPr>
            </w:pPr>
            <w:r>
              <w:rPr>
                <w:rFonts w:ascii="Arial" w:cs="Arial" w:eastAsia="Arial" w:hAnsi="Arial"/>
                <w:sz w:val="18"/>
                <w:szCs w:val="18"/>
                <w:color w:val="auto"/>
              </w:rPr>
              <w:t>Contract liabilities:</w:t>
            </w:r>
          </w:p>
        </w:tc>
        <w:tc>
          <w:tcPr>
            <w:tcW w:w="2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52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272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19,451</w:t>
            </w:r>
          </w:p>
        </w:tc>
        <w:tc>
          <w:tcPr>
            <w:tcW w:w="4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16,871</w:t>
            </w:r>
          </w:p>
        </w:tc>
      </w:tr>
      <w:tr>
        <w:trPr>
          <w:trHeight w:val="203"/>
        </w:trPr>
        <w:tc>
          <w:tcPr>
            <w:tcW w:w="5260" w:type="dxa"/>
            <w:vAlign w:val="bottom"/>
          </w:tcPr>
          <w:p>
            <w:pPr>
              <w:ind w:left="200"/>
              <w:spacing w:after="0" w:line="202" w:lineRule="exact"/>
              <w:rPr>
                <w:sz w:val="20"/>
                <w:szCs w:val="20"/>
                <w:color w:val="auto"/>
              </w:rPr>
            </w:pPr>
            <w:r>
              <w:rPr>
                <w:rFonts w:ascii="Arial" w:cs="Arial" w:eastAsia="Arial" w:hAnsi="Arial"/>
                <w:sz w:val="18"/>
                <w:szCs w:val="18"/>
                <w:color w:val="auto"/>
                <w:w w:val="97"/>
              </w:rPr>
              <w:t>Customer deposits, which are included in 'Other current liabilities'</w:t>
            </w:r>
          </w:p>
        </w:tc>
        <w:tc>
          <w:tcPr>
            <w:tcW w:w="2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1,166</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1,018</w:t>
            </w:r>
          </w:p>
        </w:tc>
      </w:tr>
      <w:tr>
        <w:trPr>
          <w:trHeight w:val="236"/>
        </w:trPr>
        <w:tc>
          <w:tcPr>
            <w:tcW w:w="52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contract liabilities</w:t>
            </w:r>
          </w:p>
        </w:tc>
        <w:tc>
          <w:tcPr>
            <w:tcW w:w="24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20,617</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17,889</w:t>
            </w:r>
          </w:p>
        </w:tc>
      </w:tr>
      <w:tr>
        <w:trPr>
          <w:trHeight w:val="534"/>
        </w:trPr>
        <w:tc>
          <w:tcPr>
            <w:tcW w:w="5260" w:type="dxa"/>
            <w:vAlign w:val="bottom"/>
          </w:tcPr>
          <w:p>
            <w:pPr>
              <w:spacing w:after="0"/>
              <w:rPr>
                <w:sz w:val="24"/>
                <w:szCs w:val="24"/>
                <w:color w:val="auto"/>
              </w:rPr>
            </w:pPr>
          </w:p>
        </w:tc>
        <w:tc>
          <w:tcPr>
            <w:tcW w:w="2420" w:type="dxa"/>
            <w:vAlign w:val="bottom"/>
          </w:tcPr>
          <w:p>
            <w:pPr>
              <w:jc w:val="right"/>
              <w:ind w:right="187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88"/>
        </w:trPr>
        <w:tc>
          <w:tcPr>
            <w:tcW w:w="5260" w:type="dxa"/>
            <w:vAlign w:val="bottom"/>
            <w:tcBorders>
              <w:bottom w:val="single" w:sz="8" w:color="9A9A9A"/>
            </w:tcBorders>
          </w:tcPr>
          <w:p>
            <w:pPr>
              <w:spacing w:after="0"/>
              <w:rPr>
                <w:sz w:val="7"/>
                <w:szCs w:val="7"/>
                <w:color w:val="auto"/>
              </w:rPr>
            </w:pPr>
          </w:p>
        </w:tc>
        <w:tc>
          <w:tcPr>
            <w:tcW w:w="24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-445135</wp:posOffset>
            </wp:positionV>
            <wp:extent cx="1200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-427990</wp:posOffset>
            </wp:positionV>
            <wp:extent cx="1200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15</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provides a roll-forward of the contract liabilities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Contract liabilities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76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Balance at December 31, 2020</w:t>
            </w:r>
          </w:p>
        </w:tc>
        <w:tc>
          <w:tcPr>
            <w:tcW w:w="3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7,745</w:t>
            </w:r>
          </w:p>
        </w:tc>
      </w:tr>
      <w:tr>
        <w:trPr>
          <w:trHeight w:val="203"/>
        </w:trPr>
        <w:tc>
          <w:tcPr>
            <w:tcW w:w="180" w:type="dxa"/>
            <w:vAlign w:val="bottom"/>
          </w:tcPr>
          <w:p>
            <w:pPr>
              <w:spacing w:after="0"/>
              <w:rPr>
                <w:sz w:val="17"/>
                <w:szCs w:val="17"/>
                <w:color w:val="auto"/>
              </w:rPr>
            </w:pPr>
          </w:p>
        </w:tc>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Revenue recognized</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(15,008 )</w:t>
            </w:r>
          </w:p>
        </w:tc>
      </w:tr>
      <w:tr>
        <w:trPr>
          <w:trHeight w:val="203"/>
        </w:trPr>
        <w:tc>
          <w:tcPr>
            <w:tcW w:w="180" w:type="dxa"/>
            <w:vAlign w:val="bottom"/>
            <w:tcBorders>
              <w:bottom w:val="single" w:sz="8" w:color="CFF0FC"/>
            </w:tcBorders>
            <w:shd w:val="clear" w:color="auto" w:fill="CFF0FC"/>
          </w:tcPr>
          <w:p>
            <w:pPr>
              <w:spacing w:after="0"/>
              <w:rPr>
                <w:sz w:val="17"/>
                <w:szCs w:val="17"/>
                <w:color w:val="auto"/>
              </w:rPr>
            </w:pPr>
          </w:p>
        </w:tc>
        <w:tc>
          <w:tcPr>
            <w:tcW w:w="75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 deferred</w:t>
            </w:r>
          </w:p>
        </w:tc>
        <w:tc>
          <w:tcPr>
            <w:tcW w:w="30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25,152</w:t>
            </w:r>
          </w:p>
        </w:tc>
      </w:tr>
      <w:tr>
        <w:trPr>
          <w:trHeight w:val="196"/>
        </w:trPr>
        <w:tc>
          <w:tcPr>
            <w:tcW w:w="768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Balance at December 31, 2021</w:t>
            </w:r>
          </w:p>
        </w:tc>
        <w:tc>
          <w:tcPr>
            <w:tcW w:w="300" w:type="dxa"/>
            <w:vAlign w:val="bottom"/>
          </w:tcPr>
          <w:p>
            <w:pPr>
              <w:spacing w:after="0"/>
              <w:rPr>
                <w:sz w:val="17"/>
                <w:szCs w:val="17"/>
                <w:color w:val="auto"/>
              </w:rPr>
            </w:pPr>
          </w:p>
        </w:tc>
        <w:tc>
          <w:tcPr>
            <w:tcW w:w="1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17,889</w:t>
            </w:r>
          </w:p>
        </w:tc>
      </w:tr>
      <w:tr>
        <w:trPr>
          <w:trHeight w:val="203"/>
        </w:trPr>
        <w:tc>
          <w:tcPr>
            <w:tcW w:w="180" w:type="dxa"/>
            <w:vAlign w:val="bottom"/>
            <w:shd w:val="clear" w:color="auto" w:fill="CFF0FC"/>
          </w:tcPr>
          <w:p>
            <w:pPr>
              <w:spacing w:after="0"/>
              <w:rPr>
                <w:sz w:val="17"/>
                <w:szCs w:val="17"/>
                <w:color w:val="auto"/>
              </w:rPr>
            </w:pPr>
          </w:p>
        </w:tc>
        <w:tc>
          <w:tcPr>
            <w:tcW w:w="7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 recognized</w:t>
            </w:r>
          </w:p>
        </w:tc>
        <w:tc>
          <w:tcPr>
            <w:tcW w:w="3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(7,307 )</w:t>
            </w:r>
          </w:p>
        </w:tc>
      </w:tr>
      <w:tr>
        <w:trPr>
          <w:trHeight w:val="203"/>
        </w:trPr>
        <w:tc>
          <w:tcPr>
            <w:tcW w:w="180" w:type="dxa"/>
            <w:vAlign w:val="bottom"/>
          </w:tcPr>
          <w:p>
            <w:pPr>
              <w:spacing w:after="0"/>
              <w:rPr>
                <w:sz w:val="17"/>
                <w:szCs w:val="17"/>
                <w:color w:val="auto"/>
              </w:rPr>
            </w:pPr>
          </w:p>
        </w:tc>
        <w:tc>
          <w:tcPr>
            <w:tcW w:w="7500" w:type="dxa"/>
            <w:vAlign w:val="bottom"/>
          </w:tcPr>
          <w:p>
            <w:pPr>
              <w:ind w:left="20"/>
              <w:spacing w:after="0" w:line="202" w:lineRule="exact"/>
              <w:rPr>
                <w:sz w:val="20"/>
                <w:szCs w:val="20"/>
                <w:color w:val="auto"/>
              </w:rPr>
            </w:pPr>
            <w:r>
              <w:rPr>
                <w:rFonts w:ascii="Arial" w:cs="Arial" w:eastAsia="Arial" w:hAnsi="Arial"/>
                <w:sz w:val="18"/>
                <w:szCs w:val="18"/>
                <w:color w:val="auto"/>
              </w:rPr>
              <w:t>Revenue deferred</w:t>
            </w: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10,035</w:t>
            </w:r>
          </w:p>
        </w:tc>
      </w:tr>
      <w:tr>
        <w:trPr>
          <w:trHeight w:val="236"/>
        </w:trPr>
        <w:tc>
          <w:tcPr>
            <w:tcW w:w="7680" w:type="dxa"/>
            <w:vAlign w:val="bottom"/>
            <w:tcBorders>
              <w:bottom w:val="single" w:sz="8" w:color="CFF0FC"/>
            </w:tcBorders>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rPr>
              <w:t>Balance at March 31, 2022</w:t>
            </w:r>
          </w:p>
        </w:tc>
        <w:tc>
          <w:tcPr>
            <w:tcW w:w="30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20,617</w:t>
            </w:r>
          </w:p>
        </w:tc>
      </w:tr>
      <w:tr>
        <w:trPr>
          <w:trHeight w:val="467"/>
        </w:trPr>
        <w:tc>
          <w:tcPr>
            <w:tcW w:w="180" w:type="dxa"/>
            <w:vAlign w:val="bottom"/>
          </w:tcPr>
          <w:p>
            <w:pPr>
              <w:spacing w:after="0"/>
              <w:rPr>
                <w:sz w:val="20"/>
                <w:szCs w:val="20"/>
                <w:color w:val="auto"/>
              </w:rPr>
            </w:pPr>
            <w:r>
              <w:rPr>
                <w:rFonts w:ascii="Arial" w:cs="Arial" w:eastAsia="Arial" w:hAnsi="Arial"/>
                <w:sz w:val="18"/>
                <w:szCs w:val="18"/>
                <w:b w:val="1"/>
                <w:bCs w:val="1"/>
                <w:color w:val="auto"/>
              </w:rPr>
              <w:t>5.</w:t>
            </w:r>
          </w:p>
        </w:tc>
        <w:tc>
          <w:tcPr>
            <w:tcW w:w="7500" w:type="dxa"/>
            <w:vAlign w:val="bottom"/>
          </w:tcPr>
          <w:p>
            <w:pPr>
              <w:ind w:left="340"/>
              <w:spacing w:after="0"/>
              <w:rPr>
                <w:sz w:val="20"/>
                <w:szCs w:val="20"/>
                <w:color w:val="auto"/>
              </w:rPr>
            </w:pPr>
            <w:r>
              <w:rPr>
                <w:rFonts w:ascii="Arial" w:cs="Arial" w:eastAsia="Arial" w:hAnsi="Arial"/>
                <w:sz w:val="18"/>
                <w:szCs w:val="18"/>
                <w:b w:val="1"/>
                <w:bCs w:val="1"/>
                <w:color w:val="auto"/>
              </w:rPr>
              <w:t>Balance sheet details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78"/>
        </w:trPr>
        <w:tc>
          <w:tcPr>
            <w:tcW w:w="7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Inventories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7500" w:type="dxa"/>
            <w:vAlign w:val="bottom"/>
          </w:tcPr>
          <w:p>
            <w:pPr>
              <w:ind w:left="340"/>
              <w:spacing w:after="0"/>
              <w:rPr>
                <w:sz w:val="20"/>
                <w:szCs w:val="20"/>
                <w:color w:val="auto"/>
              </w:rPr>
            </w:pPr>
            <w:r>
              <w:rPr>
                <w:rFonts w:ascii="Arial" w:cs="Arial" w:eastAsia="Arial" w:hAnsi="Arial"/>
                <w:sz w:val="18"/>
                <w:szCs w:val="18"/>
                <w:color w:val="auto"/>
              </w:rPr>
              <w:t>The following table shows the components of inventory (in thousands):</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28"/>
        </w:trPr>
        <w:tc>
          <w:tcPr>
            <w:tcW w:w="18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ind w:right="37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180" w:type="dxa"/>
            <w:vAlign w:val="bottom"/>
          </w:tcPr>
          <w:p>
            <w:pPr>
              <w:spacing w:after="0"/>
              <w:rPr>
                <w:sz w:val="16"/>
                <w:szCs w:val="16"/>
                <w:color w:val="auto"/>
              </w:rPr>
            </w:pPr>
          </w:p>
        </w:tc>
        <w:tc>
          <w:tcPr>
            <w:tcW w:w="7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2021</w:t>
            </w:r>
          </w:p>
        </w:tc>
      </w:tr>
      <w:tr>
        <w:trPr>
          <w:trHeight w:val="196"/>
        </w:trPr>
        <w:tc>
          <w:tcPr>
            <w:tcW w:w="76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Raw materials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21,177</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17,260</w:t>
            </w:r>
          </w:p>
        </w:tc>
      </w:tr>
      <w:tr>
        <w:trPr>
          <w:trHeight w:val="203"/>
        </w:trPr>
        <w:tc>
          <w:tcPr>
            <w:tcW w:w="76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Work in progress</w:t>
            </w:r>
          </w:p>
        </w:tc>
        <w:tc>
          <w:tcPr>
            <w:tcW w:w="300" w:type="dxa"/>
            <w:vAlign w:val="bottom"/>
          </w:tcPr>
          <w:p>
            <w:pPr>
              <w:spacing w:after="0"/>
              <w:rPr>
                <w:sz w:val="17"/>
                <w:szCs w:val="17"/>
                <w:color w:val="auto"/>
              </w:rPr>
            </w:pP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2,297</w:t>
            </w:r>
          </w:p>
        </w:tc>
      </w:tr>
      <w:tr>
        <w:trPr>
          <w:trHeight w:val="202"/>
        </w:trPr>
        <w:tc>
          <w:tcPr>
            <w:tcW w:w="768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15,298</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12,614</w:t>
            </w:r>
          </w:p>
        </w:tc>
      </w:tr>
      <w:tr>
        <w:trPr>
          <w:trHeight w:val="196"/>
        </w:trPr>
        <w:tc>
          <w:tcPr>
            <w:tcW w:w="76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inventories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37,982</w:t>
            </w:r>
          </w:p>
        </w:tc>
        <w:tc>
          <w:tcPr>
            <w:tcW w:w="4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32,171</w:t>
            </w:r>
          </w:p>
        </w:tc>
      </w:tr>
      <w:tr>
        <w:trPr>
          <w:trHeight w:val="20"/>
        </w:trPr>
        <w:tc>
          <w:tcPr>
            <w:tcW w:w="1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-159385</wp:posOffset>
            </wp:positionV>
            <wp:extent cx="12001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components of prepaid expenses and other current assets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23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Prepaid expenses: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Prepaid inventory</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1,066</w:t>
            </w:r>
          </w:p>
        </w:tc>
        <w:tc>
          <w:tcPr>
            <w:tcW w:w="40" w:type="dxa"/>
            <w:vAlign w:val="bottom"/>
          </w:tcPr>
          <w:p>
            <w:pPr>
              <w:spacing w:after="0"/>
              <w:rPr>
                <w:sz w:val="17"/>
                <w:szCs w:val="17"/>
                <w:color w:val="auto"/>
              </w:rPr>
            </w:pPr>
          </w:p>
        </w:tc>
        <w:tc>
          <w:tcPr>
            <w:tcW w:w="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rent</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307</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Prepaid insurance</w:t>
            </w: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928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02"/>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2,645</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receivables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1,587</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Tax refund receivable</w:t>
            </w: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1,676</w:t>
            </w:r>
          </w:p>
        </w:tc>
        <w:tc>
          <w:tcPr>
            <w:tcW w:w="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8,218</w:t>
            </w:r>
          </w:p>
        </w:tc>
        <w:tc>
          <w:tcPr>
            <w:tcW w:w="40" w:type="dxa"/>
            <w:vAlign w:val="bottom"/>
          </w:tcPr>
          <w:p>
            <w:pPr>
              <w:spacing w:after="0"/>
              <w:rPr>
                <w:sz w:val="17"/>
                <w:szCs w:val="17"/>
                <w:color w:val="auto"/>
              </w:rPr>
            </w:pPr>
          </w:p>
        </w:tc>
        <w:tc>
          <w:tcPr>
            <w:tcW w:w="40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line="196" w:lineRule="exact"/>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680" w:type="dxa"/>
            <w:vAlign w:val="bottom"/>
          </w:tcPr>
          <w:p>
            <w:pPr>
              <w:ind w:left="520"/>
              <w:spacing w:after="0"/>
              <w:rPr>
                <w:sz w:val="20"/>
                <w:szCs w:val="20"/>
                <w:color w:val="auto"/>
              </w:rPr>
            </w:pPr>
            <w:r>
              <w:rPr>
                <w:rFonts w:ascii="Arial" w:cs="Arial" w:eastAsia="Arial" w:hAnsi="Arial"/>
                <w:sz w:val="18"/>
                <w:szCs w:val="18"/>
                <w:color w:val="auto"/>
              </w:rPr>
              <w:t>The following table shows the components of accrued expenses (in thousands):</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center"/>
              <w:ind w:right="23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Accrued expenses: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Accrued compensation and related benefits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6,458</w:t>
            </w:r>
          </w:p>
        </w:tc>
        <w:tc>
          <w:tcPr>
            <w:tcW w:w="40" w:type="dxa"/>
            <w:vAlign w:val="bottom"/>
          </w:tcPr>
          <w:p>
            <w:pPr>
              <w:spacing w:after="0"/>
              <w:rPr>
                <w:sz w:val="17"/>
                <w:szCs w:val="17"/>
                <w:color w:val="auto"/>
              </w:rPr>
            </w:pPr>
          </w:p>
        </w:tc>
        <w:tc>
          <w:tcPr>
            <w:tcW w:w="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Professional service fees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799</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02"/>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Purchases</w:t>
            </w:r>
          </w:p>
        </w:tc>
        <w:tc>
          <w:tcPr>
            <w:tcW w:w="30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4,908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Product warranty</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1,611</w:t>
            </w:r>
          </w:p>
        </w:tc>
        <w:tc>
          <w:tcPr>
            <w:tcW w:w="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accrued expenses</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14,640</w:t>
            </w:r>
          </w:p>
        </w:tc>
        <w:tc>
          <w:tcPr>
            <w:tcW w:w="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15,251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-1993900</wp:posOffset>
            </wp:positionV>
            <wp:extent cx="939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20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the product warranty analysis refer to Note 19.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16</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current liabilities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components of other current liabilities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375"/>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4020" w:type="dxa"/>
            <w:vAlign w:val="bottom"/>
          </w:tcPr>
          <w:p>
            <w:pPr>
              <w:spacing w:after="0"/>
              <w:rPr>
                <w:sz w:val="16"/>
                <w:szCs w:val="16"/>
                <w:color w:val="auto"/>
              </w:rPr>
            </w:pPr>
          </w:p>
        </w:tc>
        <w:tc>
          <w:tcPr>
            <w:tcW w:w="48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655"/>
              <w:spacing w:after="0"/>
              <w:rPr>
                <w:sz w:val="20"/>
                <w:szCs w:val="20"/>
                <w:color w:val="auto"/>
              </w:rPr>
            </w:pPr>
            <w:r>
              <w:rPr>
                <w:rFonts w:ascii="Arial" w:cs="Arial" w:eastAsia="Arial" w:hAnsi="Arial"/>
                <w:sz w:val="14"/>
                <w:szCs w:val="14"/>
                <w:b w:val="1"/>
                <w:bCs w:val="1"/>
                <w:color w:val="auto"/>
              </w:rPr>
              <w:t>2021</w:t>
            </w:r>
          </w:p>
        </w:tc>
      </w:tr>
      <w:tr>
        <w:trPr>
          <w:trHeight w:val="196"/>
        </w:trPr>
        <w:tc>
          <w:tcPr>
            <w:tcW w:w="4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Other current liabilities:</w:t>
            </w:r>
          </w:p>
        </w:tc>
        <w:tc>
          <w:tcPr>
            <w:tcW w:w="366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spacing w:after="0"/>
              <w:rPr>
                <w:sz w:val="17"/>
                <w:szCs w:val="17"/>
                <w:color w:val="auto"/>
              </w:rPr>
            </w:pPr>
          </w:p>
        </w:tc>
      </w:tr>
      <w:tr>
        <w:trPr>
          <w:trHeight w:val="203"/>
        </w:trPr>
        <w:tc>
          <w:tcPr>
            <w:tcW w:w="4020" w:type="dxa"/>
            <w:vAlign w:val="bottom"/>
          </w:tcPr>
          <w:p>
            <w:pPr>
              <w:ind w:left="200"/>
              <w:spacing w:after="0" w:line="202" w:lineRule="exact"/>
              <w:rPr>
                <w:sz w:val="20"/>
                <w:szCs w:val="20"/>
                <w:color w:val="auto"/>
              </w:rPr>
            </w:pPr>
            <w:r>
              <w:rPr>
                <w:rFonts w:ascii="Arial" w:cs="Arial" w:eastAsia="Arial" w:hAnsi="Arial"/>
                <w:sz w:val="18"/>
                <w:szCs w:val="18"/>
                <w:color w:val="auto"/>
              </w:rPr>
              <w:t>Customer deposits</w:t>
            </w:r>
          </w:p>
        </w:tc>
        <w:tc>
          <w:tcPr>
            <w:tcW w:w="4820" w:type="dxa"/>
            <w:vAlign w:val="bottom"/>
            <w:gridSpan w:val="2"/>
          </w:tcPr>
          <w:p>
            <w:pPr>
              <w:jc w:val="right"/>
              <w:ind w:right="979"/>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3"/>
              </w:rPr>
              <w:t>1,166</w:t>
            </w:r>
          </w:p>
        </w:tc>
        <w:tc>
          <w:tcPr>
            <w:tcW w:w="4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1,018</w:t>
            </w:r>
          </w:p>
        </w:tc>
      </w:tr>
      <w:tr>
        <w:trPr>
          <w:trHeight w:val="203"/>
        </w:trPr>
        <w:tc>
          <w:tcPr>
            <w:tcW w:w="4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 payable</w:t>
            </w:r>
          </w:p>
        </w:tc>
        <w:tc>
          <w:tcPr>
            <w:tcW w:w="36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2,741</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2,476</w:t>
            </w:r>
          </w:p>
        </w:tc>
      </w:tr>
      <w:tr>
        <w:trPr>
          <w:trHeight w:val="203"/>
        </w:trPr>
        <w:tc>
          <w:tcPr>
            <w:tcW w:w="4020" w:type="dxa"/>
            <w:vAlign w:val="bottom"/>
          </w:tcPr>
          <w:p>
            <w:pPr>
              <w:ind w:left="200"/>
              <w:spacing w:after="0" w:line="202" w:lineRule="exact"/>
              <w:rPr>
                <w:sz w:val="20"/>
                <w:szCs w:val="20"/>
                <w:color w:val="auto"/>
              </w:rPr>
            </w:pPr>
            <w:r>
              <w:rPr>
                <w:rFonts w:ascii="Arial" w:cs="Arial" w:eastAsia="Arial" w:hAnsi="Arial"/>
                <w:sz w:val="18"/>
                <w:szCs w:val="18"/>
                <w:color w:val="auto"/>
              </w:rPr>
              <w:t>Sales and use tax payable</w:t>
            </w:r>
          </w:p>
        </w:tc>
        <w:tc>
          <w:tcPr>
            <w:tcW w:w="3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w w:val="93"/>
              </w:rPr>
              <w:t>1,321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1,403</w:t>
            </w:r>
          </w:p>
        </w:tc>
      </w:tr>
      <w:tr>
        <w:trPr>
          <w:trHeight w:val="203"/>
        </w:trPr>
        <w:tc>
          <w:tcPr>
            <w:tcW w:w="40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liability, current</w:t>
            </w:r>
          </w:p>
        </w:tc>
        <w:tc>
          <w:tcPr>
            <w:tcW w:w="36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2,214</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02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366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944</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1,455</w:t>
            </w:r>
          </w:p>
        </w:tc>
      </w:tr>
      <w:tr>
        <w:trPr>
          <w:trHeight w:val="236"/>
        </w:trPr>
        <w:tc>
          <w:tcPr>
            <w:tcW w:w="40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other current liabilities</w:t>
            </w:r>
          </w:p>
        </w:tc>
        <w:tc>
          <w:tcPr>
            <w:tcW w:w="36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979"/>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8,386</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6,352</w:t>
            </w:r>
          </w:p>
        </w:tc>
      </w:tr>
      <w:tr>
        <w:trPr>
          <w:trHeight w:val="548"/>
        </w:trPr>
        <w:tc>
          <w:tcPr>
            <w:tcW w:w="4020" w:type="dxa"/>
            <w:vAlign w:val="bottom"/>
          </w:tcPr>
          <w:p>
            <w:pPr>
              <w:spacing w:after="0"/>
              <w:rPr>
                <w:sz w:val="24"/>
                <w:szCs w:val="24"/>
                <w:color w:val="auto"/>
              </w:rPr>
            </w:pPr>
          </w:p>
        </w:tc>
        <w:tc>
          <w:tcPr>
            <w:tcW w:w="3660" w:type="dxa"/>
            <w:vAlign w:val="bottom"/>
          </w:tcPr>
          <w:p>
            <w:pPr>
              <w:jc w:val="right"/>
              <w:ind w:right="1876"/>
              <w:spacing w:after="0"/>
              <w:rPr>
                <w:sz w:val="20"/>
                <w:szCs w:val="20"/>
                <w:color w:val="auto"/>
              </w:rPr>
            </w:pPr>
            <w:r>
              <w:rPr>
                <w:rFonts w:ascii="Arial" w:cs="Arial" w:eastAsia="Arial" w:hAnsi="Arial"/>
                <w:sz w:val="18"/>
                <w:szCs w:val="18"/>
                <w:color w:val="auto"/>
              </w:rPr>
              <w:t>16</w:t>
            </w: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01"/>
        </w:trPr>
        <w:tc>
          <w:tcPr>
            <w:tcW w:w="4020" w:type="dxa"/>
            <w:vAlign w:val="bottom"/>
            <w:tcBorders>
              <w:bottom w:val="single" w:sz="8" w:color="9A9A9A"/>
            </w:tcBorders>
          </w:tcPr>
          <w:p>
            <w:pPr>
              <w:spacing w:after="0"/>
              <w:rPr>
                <w:sz w:val="8"/>
                <w:szCs w:val="8"/>
                <w:color w:val="auto"/>
              </w:rPr>
            </w:pPr>
          </w:p>
        </w:tc>
        <w:tc>
          <w:tcPr>
            <w:tcW w:w="366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-462280</wp:posOffset>
            </wp:positionV>
            <wp:extent cx="120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-445135</wp:posOffset>
            </wp:positionV>
            <wp:extent cx="120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17</w:t>
      </w:r>
    </w:p>
    <w:p>
      <w:pPr>
        <w:spacing w:after="0" w:line="100"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an orderly transaction between market participants at the reporting date. The categorization of a financial instrument within the valuation hierarchy is based on the lowest level of input that is significant to the fair value measurement. The following table sets forth the fair value of the Company’s financial assets and liabilities by level within the fair value hierarchy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44"/>
              <w:spacing w:after="0"/>
              <w:rPr>
                <w:sz w:val="20"/>
                <w:szCs w:val="20"/>
                <w:color w:val="auto"/>
              </w:rPr>
            </w:pPr>
            <w:r>
              <w:rPr>
                <w:rFonts w:ascii="Arial" w:cs="Arial" w:eastAsia="Arial" w:hAnsi="Arial"/>
                <w:sz w:val="14"/>
                <w:szCs w:val="14"/>
                <w:b w:val="1"/>
                <w:bCs w:val="1"/>
                <w:color w:val="auto"/>
                <w:w w:val="91"/>
              </w:rPr>
              <w:t>Quoted prices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24"/>
              <w:spacing w:after="0"/>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63"/>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24"/>
              <w:spacing w:after="0"/>
              <w:rPr>
                <w:sz w:val="20"/>
                <w:szCs w:val="20"/>
                <w:color w:val="auto"/>
              </w:rPr>
            </w:pPr>
            <w:r>
              <w:rPr>
                <w:rFonts w:ascii="Arial" w:cs="Arial" w:eastAsia="Arial" w:hAnsi="Arial"/>
                <w:sz w:val="14"/>
                <w:szCs w:val="14"/>
                <w:b w:val="1"/>
                <w:bCs w:val="1"/>
                <w:color w:val="auto"/>
                <w:w w:val="94"/>
              </w:rPr>
              <w:t>markets for</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43"/>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Significant</w:t>
            </w:r>
          </w:p>
        </w:tc>
      </w:tr>
      <w:tr>
        <w:trPr>
          <w:trHeight w:val="176"/>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24"/>
              <w:spacing w:after="0"/>
              <w:rPr>
                <w:sz w:val="20"/>
                <w:szCs w:val="20"/>
                <w:color w:val="auto"/>
              </w:rPr>
            </w:pPr>
            <w:r>
              <w:rPr>
                <w:rFonts w:ascii="Arial" w:cs="Arial" w:eastAsia="Arial" w:hAnsi="Arial"/>
                <w:sz w:val="14"/>
                <w:szCs w:val="14"/>
                <w:b w:val="1"/>
                <w:bCs w:val="1"/>
                <w:color w:val="auto"/>
                <w:w w:val="91"/>
              </w:rPr>
              <w:t>identical</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63"/>
              <w:spacing w:after="0"/>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w w:val="90"/>
              </w:rPr>
              <w:t>unobservable</w:t>
            </w:r>
          </w:p>
        </w:tc>
      </w:tr>
      <w:tr>
        <w:trPr>
          <w:trHeight w:val="175"/>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24"/>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63"/>
              <w:spacing w:after="0"/>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w w:val="90"/>
              </w:rPr>
              <w:t>inputs</w:t>
            </w:r>
          </w:p>
        </w:tc>
      </w:tr>
      <w:tr>
        <w:trPr>
          <w:trHeight w:val="185"/>
        </w:trPr>
        <w:tc>
          <w:tcPr>
            <w:tcW w:w="5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2021</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1"/>
              </w:rPr>
              <w:t>(level 1)</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1"/>
              </w:rPr>
              <w:t>(level 2)</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1"/>
              </w:rPr>
              <w:t>(level 3)</w:t>
            </w:r>
          </w:p>
        </w:tc>
      </w:tr>
      <w:tr>
        <w:trPr>
          <w:trHeight w:val="196"/>
        </w:trPr>
        <w:tc>
          <w:tcPr>
            <w:tcW w:w="5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Money market funds</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345,679</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4"/>
              <w:spacing w:after="0" w:line="202" w:lineRule="exact"/>
              <w:rPr>
                <w:sz w:val="20"/>
                <w:szCs w:val="20"/>
                <w:color w:val="auto"/>
              </w:rPr>
            </w:pPr>
            <w:r>
              <w:rPr>
                <w:rFonts w:ascii="Arial" w:cs="Arial" w:eastAsia="Arial" w:hAnsi="Arial"/>
                <w:sz w:val="18"/>
                <w:szCs w:val="18"/>
                <w:color w:val="auto"/>
              </w:rPr>
              <w:t>345,679</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ind w:left="82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ind w:left="860"/>
              <w:spacing w:after="0" w:line="202" w:lineRule="exact"/>
              <w:rPr>
                <w:sz w:val="20"/>
                <w:szCs w:val="20"/>
                <w:color w:val="auto"/>
              </w:rPr>
            </w:pPr>
            <w:r>
              <w:rPr>
                <w:rFonts w:ascii="Arial" w:cs="Arial" w:eastAsia="Arial" w:hAnsi="Arial"/>
                <w:sz w:val="18"/>
                <w:szCs w:val="18"/>
                <w:color w:val="auto"/>
              </w:rPr>
              <w:t>—</w:t>
            </w:r>
          </w:p>
        </w:tc>
      </w:tr>
      <w:tr>
        <w:trPr>
          <w:trHeight w:val="236"/>
        </w:trPr>
        <w:tc>
          <w:tcPr>
            <w:tcW w:w="55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345,679</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ind w:right="4"/>
              <w:spacing w:after="0" w:line="196" w:lineRule="exact"/>
              <w:rPr>
                <w:sz w:val="20"/>
                <w:szCs w:val="20"/>
                <w:color w:val="auto"/>
              </w:rPr>
            </w:pPr>
            <w:r>
              <w:rPr>
                <w:rFonts w:ascii="Arial" w:cs="Arial" w:eastAsia="Arial" w:hAnsi="Arial"/>
                <w:sz w:val="18"/>
                <w:szCs w:val="18"/>
                <w:color w:val="auto"/>
              </w:rPr>
              <w:t>345,679</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ind w:left="82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ind w:left="860"/>
              <w:spacing w:after="0" w:line="196" w:lineRule="exact"/>
              <w:rPr>
                <w:sz w:val="20"/>
                <w:szCs w:val="20"/>
                <w:color w:val="auto"/>
              </w:rPr>
            </w:pPr>
            <w:r>
              <w:rPr>
                <w:rFonts w:ascii="Arial" w:cs="Arial" w:eastAsia="Arial" w:hAnsi="Arial"/>
                <w:sz w:val="18"/>
                <w:szCs w:val="18"/>
                <w:color w:val="auto"/>
              </w:rPr>
              <w:t>—</w:t>
            </w:r>
          </w:p>
        </w:tc>
      </w:tr>
      <w:tr>
        <w:trPr>
          <w:trHeight w:val="349"/>
        </w:trPr>
        <w:tc>
          <w:tcPr>
            <w:tcW w:w="5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ind w:right="144"/>
              <w:spacing w:after="0"/>
              <w:rPr>
                <w:sz w:val="20"/>
                <w:szCs w:val="20"/>
                <w:color w:val="auto"/>
              </w:rPr>
            </w:pPr>
            <w:r>
              <w:rPr>
                <w:rFonts w:ascii="Arial" w:cs="Arial" w:eastAsia="Arial" w:hAnsi="Arial"/>
                <w:sz w:val="14"/>
                <w:szCs w:val="14"/>
                <w:b w:val="1"/>
                <w:bCs w:val="1"/>
                <w:color w:val="auto"/>
                <w:w w:val="91"/>
              </w:rPr>
              <w:t>Quoted prices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5"/>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24"/>
              <w:spacing w:after="0"/>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63"/>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24"/>
              <w:spacing w:after="0"/>
              <w:rPr>
                <w:sz w:val="20"/>
                <w:szCs w:val="20"/>
                <w:color w:val="auto"/>
              </w:rPr>
            </w:pPr>
            <w:r>
              <w:rPr>
                <w:rFonts w:ascii="Arial" w:cs="Arial" w:eastAsia="Arial" w:hAnsi="Arial"/>
                <w:sz w:val="14"/>
                <w:szCs w:val="14"/>
                <w:b w:val="1"/>
                <w:bCs w:val="1"/>
                <w:color w:val="auto"/>
                <w:w w:val="94"/>
              </w:rPr>
              <w:t>markets for</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43"/>
              <w:spacing w:after="0"/>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w w:val="92"/>
              </w:rPr>
              <w:t>Significant</w:t>
            </w:r>
          </w:p>
        </w:tc>
      </w:tr>
      <w:tr>
        <w:trPr>
          <w:trHeight w:val="175"/>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24"/>
              <w:spacing w:after="0"/>
              <w:rPr>
                <w:sz w:val="20"/>
                <w:szCs w:val="20"/>
                <w:color w:val="auto"/>
              </w:rPr>
            </w:pPr>
            <w:r>
              <w:rPr>
                <w:rFonts w:ascii="Arial" w:cs="Arial" w:eastAsia="Arial" w:hAnsi="Arial"/>
                <w:sz w:val="14"/>
                <w:szCs w:val="14"/>
                <w:b w:val="1"/>
                <w:bCs w:val="1"/>
                <w:color w:val="auto"/>
                <w:w w:val="91"/>
              </w:rPr>
              <w:t>identical</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63"/>
              <w:spacing w:after="0"/>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w w:val="90"/>
              </w:rPr>
              <w:t>unobservable</w:t>
            </w:r>
          </w:p>
        </w:tc>
      </w:tr>
      <w:tr>
        <w:trPr>
          <w:trHeight w:val="176"/>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39"/>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24"/>
              <w:spacing w:after="0"/>
              <w:rPr>
                <w:sz w:val="20"/>
                <w:szCs w:val="20"/>
                <w:color w:val="auto"/>
              </w:rPr>
            </w:pPr>
            <w:r>
              <w:rPr>
                <w:rFonts w:ascii="Arial" w:cs="Arial" w:eastAsia="Arial" w:hAnsi="Arial"/>
                <w:sz w:val="14"/>
                <w:szCs w:val="14"/>
                <w:b w:val="1"/>
                <w:bCs w:val="1"/>
                <w:color w:val="auto"/>
                <w:w w:val="82"/>
              </w:rPr>
              <w:t>assets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63"/>
              <w:spacing w:after="0"/>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122"/>
              <w:spacing w:after="0"/>
              <w:rPr>
                <w:sz w:val="20"/>
                <w:szCs w:val="20"/>
                <w:color w:val="auto"/>
              </w:rPr>
            </w:pPr>
            <w:r>
              <w:rPr>
                <w:rFonts w:ascii="Arial" w:cs="Arial" w:eastAsia="Arial" w:hAnsi="Arial"/>
                <w:sz w:val="14"/>
                <w:szCs w:val="14"/>
                <w:b w:val="1"/>
                <w:bCs w:val="1"/>
                <w:color w:val="auto"/>
                <w:w w:val="90"/>
              </w:rPr>
              <w:t>inputs</w:t>
            </w:r>
          </w:p>
        </w:tc>
      </w:tr>
      <w:tr>
        <w:trPr>
          <w:trHeight w:val="185"/>
        </w:trPr>
        <w:tc>
          <w:tcPr>
            <w:tcW w:w="5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1"/>
              </w:rPr>
              <w:t>(level 1)</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1"/>
              </w:rPr>
              <w:t>(level 2)</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1"/>
              </w:rPr>
              <w:t>(level 3)</w:t>
            </w:r>
          </w:p>
        </w:tc>
      </w:tr>
      <w:tr>
        <w:trPr>
          <w:trHeight w:val="196"/>
        </w:trPr>
        <w:tc>
          <w:tcPr>
            <w:tcW w:w="5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Assets:</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560" w:type="dxa"/>
            <w:vAlign w:val="bottom"/>
          </w:tcPr>
          <w:p>
            <w:pPr>
              <w:ind w:left="20"/>
              <w:spacing w:after="0" w:line="202" w:lineRule="exact"/>
              <w:rPr>
                <w:sz w:val="20"/>
                <w:szCs w:val="20"/>
                <w:color w:val="auto"/>
              </w:rPr>
            </w:pPr>
            <w:r>
              <w:rPr>
                <w:rFonts w:ascii="Arial" w:cs="Arial" w:eastAsia="Arial" w:hAnsi="Arial"/>
                <w:sz w:val="18"/>
                <w:szCs w:val="18"/>
                <w:color w:val="auto"/>
              </w:rPr>
              <w:t>Money market funds</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344,061</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4"/>
              <w:spacing w:after="0" w:line="202" w:lineRule="exact"/>
              <w:rPr>
                <w:sz w:val="20"/>
                <w:szCs w:val="20"/>
                <w:color w:val="auto"/>
              </w:rPr>
            </w:pPr>
            <w:r>
              <w:rPr>
                <w:rFonts w:ascii="Arial" w:cs="Arial" w:eastAsia="Arial" w:hAnsi="Arial"/>
                <w:sz w:val="18"/>
                <w:szCs w:val="18"/>
                <w:color w:val="auto"/>
              </w:rPr>
              <w:t>344,061</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ind w:left="82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ind w:left="860"/>
              <w:spacing w:after="0" w:line="202" w:lineRule="exact"/>
              <w:rPr>
                <w:sz w:val="20"/>
                <w:szCs w:val="20"/>
                <w:color w:val="auto"/>
              </w:rPr>
            </w:pPr>
            <w:r>
              <w:rPr>
                <w:rFonts w:ascii="Arial" w:cs="Arial" w:eastAsia="Arial" w:hAnsi="Arial"/>
                <w:sz w:val="18"/>
                <w:szCs w:val="18"/>
                <w:color w:val="auto"/>
              </w:rPr>
              <w:t>—</w:t>
            </w:r>
          </w:p>
        </w:tc>
      </w:tr>
      <w:tr>
        <w:trPr>
          <w:trHeight w:val="236"/>
        </w:trPr>
        <w:tc>
          <w:tcPr>
            <w:tcW w:w="55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344,061</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ind w:right="4"/>
              <w:spacing w:after="0" w:line="196" w:lineRule="exact"/>
              <w:rPr>
                <w:sz w:val="20"/>
                <w:szCs w:val="20"/>
                <w:color w:val="auto"/>
              </w:rPr>
            </w:pPr>
            <w:r>
              <w:rPr>
                <w:rFonts w:ascii="Arial" w:cs="Arial" w:eastAsia="Arial" w:hAnsi="Arial"/>
                <w:sz w:val="18"/>
                <w:szCs w:val="18"/>
                <w:color w:val="auto"/>
              </w:rPr>
              <w:t>344,061</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ind w:left="82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ind w:left="860"/>
              <w:spacing w:after="0" w:line="196"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-1250950</wp:posOffset>
            </wp:positionV>
            <wp:extent cx="946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-1233805</wp:posOffset>
            </wp:positionV>
            <wp:extent cx="946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-1250950</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-1233805</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-1250950</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-1233805</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946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946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-24765</wp:posOffset>
            </wp:positionV>
            <wp:extent cx="857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857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857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7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 did not have any transfers of financial assets measured at fair value on a recurring basis to or from Level 1, Level 2 or Level 3 for any of the periods presented.</w:t>
      </w:r>
    </w:p>
    <w:p>
      <w:pPr>
        <w:spacing w:after="0" w:line="140"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7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shows the components of property and equipment, net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Pr>
          <w:p>
            <w:pPr>
              <w:jc w:val="right"/>
              <w:ind w:right="474"/>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35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2021</w:t>
            </w:r>
          </w:p>
        </w:tc>
      </w:tr>
      <w:tr>
        <w:trPr>
          <w:trHeight w:val="196"/>
        </w:trPr>
        <w:tc>
          <w:tcPr>
            <w:tcW w:w="7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Laboratory equipment</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2,952</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2,410</w:t>
            </w: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7"/>
                <w:szCs w:val="17"/>
                <w:color w:val="auto"/>
              </w:rPr>
            </w:pPr>
          </w:p>
        </w:tc>
        <w:tc>
          <w:tcPr>
            <w:tcW w:w="1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3,382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3,021</w:t>
            </w:r>
          </w:p>
        </w:tc>
      </w:tr>
      <w:tr>
        <w:trPr>
          <w:trHeight w:val="203"/>
        </w:trPr>
        <w:tc>
          <w:tcPr>
            <w:tcW w:w="7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28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163</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344</w:t>
            </w:r>
          </w:p>
        </w:tc>
      </w:tr>
      <w:tr>
        <w:trPr>
          <w:trHeight w:val="203"/>
        </w:trPr>
        <w:tc>
          <w:tcPr>
            <w:tcW w:w="7320" w:type="dxa"/>
            <w:vAlign w:val="bottom"/>
          </w:tcPr>
          <w:p>
            <w:pPr>
              <w:ind w:left="20"/>
              <w:spacing w:after="0" w:line="202" w:lineRule="exact"/>
              <w:rPr>
                <w:sz w:val="20"/>
                <w:szCs w:val="20"/>
                <w:color w:val="auto"/>
              </w:rPr>
            </w:pPr>
            <w:r>
              <w:rPr>
                <w:rFonts w:ascii="Arial" w:cs="Arial" w:eastAsia="Arial" w:hAnsi="Arial"/>
                <w:sz w:val="18"/>
                <w:szCs w:val="18"/>
                <w:color w:val="auto"/>
              </w:rPr>
              <w:t>Office and computer equipment</w:t>
            </w:r>
          </w:p>
        </w:tc>
        <w:tc>
          <w:tcPr>
            <w:tcW w:w="280" w:type="dxa"/>
            <w:vAlign w:val="bottom"/>
          </w:tcPr>
          <w:p>
            <w:pPr>
              <w:spacing w:after="0"/>
              <w:rPr>
                <w:sz w:val="17"/>
                <w:szCs w:val="17"/>
                <w:color w:val="auto"/>
              </w:rPr>
            </w:pPr>
          </w:p>
        </w:tc>
        <w:tc>
          <w:tcPr>
            <w:tcW w:w="138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705</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673</w:t>
            </w:r>
          </w:p>
        </w:tc>
      </w:tr>
      <w:tr>
        <w:trPr>
          <w:trHeight w:val="203"/>
        </w:trPr>
        <w:tc>
          <w:tcPr>
            <w:tcW w:w="73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2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1,504</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1,263</w:t>
            </w:r>
          </w:p>
        </w:tc>
      </w:tr>
      <w:tr>
        <w:trPr>
          <w:trHeight w:val="196"/>
        </w:trPr>
        <w:tc>
          <w:tcPr>
            <w:tcW w:w="7320" w:type="dxa"/>
            <w:vAlign w:val="bottom"/>
          </w:tcPr>
          <w:p>
            <w:pPr>
              <w:ind w:left="200"/>
              <w:spacing w:after="0" w:line="196" w:lineRule="exact"/>
              <w:rPr>
                <w:sz w:val="20"/>
                <w:szCs w:val="20"/>
                <w:color w:val="auto"/>
              </w:rPr>
            </w:pPr>
            <w:r>
              <w:rPr>
                <w:rFonts w:ascii="Arial" w:cs="Arial" w:eastAsia="Arial" w:hAnsi="Arial"/>
                <w:sz w:val="18"/>
                <w:szCs w:val="18"/>
                <w:color w:val="auto"/>
              </w:rPr>
              <w:t>Total property and equipment</w:t>
            </w:r>
          </w:p>
        </w:tc>
        <w:tc>
          <w:tcPr>
            <w:tcW w:w="280" w:type="dxa"/>
            <w:vAlign w:val="bottom"/>
          </w:tcPr>
          <w:p>
            <w:pPr>
              <w:spacing w:after="0"/>
              <w:rPr>
                <w:sz w:val="17"/>
                <w:szCs w:val="17"/>
                <w:color w:val="auto"/>
              </w:rPr>
            </w:pPr>
          </w:p>
        </w:tc>
        <w:tc>
          <w:tcPr>
            <w:tcW w:w="1380" w:type="dxa"/>
            <w:vAlign w:val="bottom"/>
          </w:tcPr>
          <w:p>
            <w:pPr>
              <w:jc w:val="right"/>
              <w:ind w:right="14"/>
              <w:spacing w:after="0" w:line="196" w:lineRule="exact"/>
              <w:rPr>
                <w:sz w:val="20"/>
                <w:szCs w:val="20"/>
                <w:color w:val="auto"/>
              </w:rPr>
            </w:pPr>
            <w:r>
              <w:rPr>
                <w:rFonts w:ascii="Arial" w:cs="Arial" w:eastAsia="Arial" w:hAnsi="Arial"/>
                <w:sz w:val="18"/>
                <w:szCs w:val="18"/>
                <w:color w:val="auto"/>
              </w:rPr>
              <w:t>8,706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ind w:right="14"/>
              <w:spacing w:after="0" w:line="196" w:lineRule="exact"/>
              <w:rPr>
                <w:sz w:val="20"/>
                <w:szCs w:val="20"/>
                <w:color w:val="auto"/>
              </w:rPr>
            </w:pPr>
            <w:r>
              <w:rPr>
                <w:rFonts w:ascii="Arial" w:cs="Arial" w:eastAsia="Arial" w:hAnsi="Arial"/>
                <w:sz w:val="18"/>
                <w:szCs w:val="18"/>
                <w:color w:val="auto"/>
              </w:rPr>
              <w:t>7,711</w:t>
            </w:r>
          </w:p>
        </w:tc>
      </w:tr>
      <w:tr>
        <w:trPr>
          <w:trHeight w:val="203"/>
        </w:trPr>
        <w:tc>
          <w:tcPr>
            <w:tcW w:w="73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(2,202 )</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(1,860 )</w:t>
            </w:r>
          </w:p>
        </w:tc>
      </w:tr>
      <w:tr>
        <w:trPr>
          <w:trHeight w:val="196"/>
        </w:trPr>
        <w:tc>
          <w:tcPr>
            <w:tcW w:w="7320" w:type="dxa"/>
            <w:vAlign w:val="bottom"/>
          </w:tcPr>
          <w:p>
            <w:pPr>
              <w:ind w:left="200"/>
              <w:spacing w:after="0" w:line="182" w:lineRule="exact"/>
              <w:rPr>
                <w:sz w:val="20"/>
                <w:szCs w:val="20"/>
                <w:color w:val="auto"/>
              </w:rPr>
            </w:pPr>
            <w:r>
              <w:rPr>
                <w:rFonts w:ascii="Arial" w:cs="Arial" w:eastAsia="Arial" w:hAnsi="Arial"/>
                <w:sz w:val="18"/>
                <w:szCs w:val="18"/>
                <w:color w:val="auto"/>
              </w:rPr>
              <w:t>Property and equipment, net</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4"/>
              <w:spacing w:after="0" w:line="182" w:lineRule="exact"/>
              <w:rPr>
                <w:sz w:val="20"/>
                <w:szCs w:val="20"/>
                <w:color w:val="auto"/>
              </w:rPr>
            </w:pPr>
            <w:r>
              <w:rPr>
                <w:rFonts w:ascii="Arial" w:cs="Arial" w:eastAsia="Arial" w:hAnsi="Arial"/>
                <w:sz w:val="18"/>
                <w:szCs w:val="18"/>
                <w:color w:val="auto"/>
              </w:rPr>
              <w:t>6,504</w:t>
            </w:r>
          </w:p>
        </w:tc>
        <w:tc>
          <w:tcPr>
            <w:tcW w:w="40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14"/>
              <w:spacing w:after="0" w:line="182" w:lineRule="exact"/>
              <w:rPr>
                <w:sz w:val="20"/>
                <w:szCs w:val="20"/>
                <w:color w:val="auto"/>
              </w:rPr>
            </w:pPr>
            <w:r>
              <w:rPr>
                <w:rFonts w:ascii="Arial" w:cs="Arial" w:eastAsia="Arial" w:hAnsi="Arial"/>
                <w:sz w:val="18"/>
                <w:szCs w:val="18"/>
                <w:color w:val="auto"/>
              </w:rPr>
              <w:t>5,851</w:t>
            </w:r>
          </w:p>
        </w:tc>
      </w:tr>
      <w:tr>
        <w:trPr>
          <w:trHeight w:val="20"/>
        </w:trPr>
        <w:tc>
          <w:tcPr>
            <w:tcW w:w="7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-424815</wp:posOffset>
            </wp:positionV>
            <wp:extent cx="102870" cy="133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870" cy="13398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-159385</wp:posOffset>
            </wp:positionV>
            <wp:extent cx="102870" cy="160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160020"/>
                    </a:xfrm>
                    <a:prstGeom prst="rect">
                      <a:avLst/>
                    </a:prstGeom>
                    <a:noFill/>
                  </pic:spPr>
                </pic:pic>
              </a:graphicData>
            </a:graphic>
          </wp:anchor>
        </w:drawing>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depreciation expense for the three months ended March 31, 2022, and 2021 was $341,000 and $167,000, respectively.</w:t>
      </w:r>
    </w:p>
    <w:p>
      <w:pPr>
        <w:spacing w:after="0" w:line="200" w:lineRule="exact"/>
        <w:rPr>
          <w:sz w:val="20"/>
          <w:szCs w:val="20"/>
          <w:color w:val="auto"/>
        </w:rPr>
      </w:pPr>
    </w:p>
    <w:p>
      <w:pPr>
        <w:spacing w:after="0" w:line="237"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18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On November 2, 2021, the Company completed the acquisition of the reagents business of Tonbo Biotechnologies Corporation ("Tonbo") for an aggregate cash consideration of $17 million. The acquired assets include a portfolio of life science research reagents related to cell preparation, flow cytometry, molecular immunology/polymerase chain reaction and cell culture covering application areas across immunology, apoptosis and immunoprofiling.</w:t>
      </w:r>
    </w:p>
    <w:p>
      <w:pPr>
        <w:spacing w:after="0" w:line="14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acquisition was accounted for as a business combination in accordance with ASC 805. The tangible and intangible assets acquired were recorded at fair value on the acquisition date. The purchase price allocation is based upon preliminary valuations and estimates and assumptions which are subject to change within the purchase price allocation period, generally one year from the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18</w:t>
      </w:r>
    </w:p>
    <w:p>
      <w:pPr>
        <w:spacing w:after="0" w:line="1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acquisition date. The following table represents the allocation of the purchase price to the assets acquired by the Company as part of the acquisition included in the Company’s consolidated balance sheets, and is reconciled to the purchase price.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ind w:right="731"/>
              <w:spacing w:after="0"/>
              <w:rPr>
                <w:sz w:val="20"/>
                <w:szCs w:val="20"/>
                <w:color w:val="auto"/>
              </w:rPr>
            </w:pPr>
            <w:r>
              <w:rPr>
                <w:rFonts w:ascii="Arial" w:cs="Arial" w:eastAsia="Arial" w:hAnsi="Arial"/>
                <w:sz w:val="18"/>
                <w:szCs w:val="18"/>
                <w:b w:val="1"/>
                <w:bCs w:val="1"/>
                <w:color w:val="auto"/>
              </w:rPr>
              <w:t>Tonbo</w:t>
            </w:r>
          </w:p>
        </w:tc>
      </w:tr>
      <w:tr>
        <w:trPr>
          <w:trHeight w:val="209"/>
        </w:trPr>
        <w:tc>
          <w:tcPr>
            <w:tcW w:w="9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ind w:right="511"/>
              <w:spacing w:after="0"/>
              <w:rPr>
                <w:sz w:val="20"/>
                <w:szCs w:val="20"/>
                <w:color w:val="auto"/>
              </w:rPr>
            </w:pPr>
            <w:r>
              <w:rPr>
                <w:rFonts w:ascii="Arial" w:cs="Arial" w:eastAsia="Arial" w:hAnsi="Arial"/>
                <w:sz w:val="16"/>
                <w:szCs w:val="16"/>
                <w:color w:val="auto"/>
              </w:rPr>
              <w:t>(in thousands)</w:t>
            </w:r>
          </w:p>
        </w:tc>
      </w:tr>
      <w:tr>
        <w:trPr>
          <w:trHeight w:val="205"/>
        </w:trPr>
        <w:tc>
          <w:tcPr>
            <w:tcW w:w="9180" w:type="dxa"/>
            <w:vAlign w:val="bottom"/>
            <w:shd w:val="clear" w:color="auto" w:fill="CFF0FC"/>
          </w:tcPr>
          <w:p>
            <w:pPr>
              <w:ind w:left="20"/>
              <w:spacing w:after="0" w:line="206" w:lineRule="exact"/>
              <w:rPr>
                <w:sz w:val="20"/>
                <w:szCs w:val="20"/>
                <w:color w:val="auto"/>
              </w:rPr>
            </w:pPr>
            <w:r>
              <w:rPr>
                <w:rFonts w:ascii="Arial" w:cs="Arial" w:eastAsia="Arial" w:hAnsi="Arial"/>
                <w:sz w:val="18"/>
                <w:szCs w:val="18"/>
                <w:color w:val="auto"/>
              </w:rPr>
              <w:t>Current assets</w:t>
            </w:r>
          </w:p>
        </w:tc>
        <w:tc>
          <w:tcPr>
            <w:tcW w:w="320" w:type="dxa"/>
            <w:vAlign w:val="bottom"/>
            <w:shd w:val="clear" w:color="auto" w:fill="CFF0FC"/>
          </w:tcPr>
          <w:p>
            <w:pPr>
              <w:jc w:val="right"/>
              <w:ind w:right="130"/>
              <w:spacing w:after="0" w:line="206" w:lineRule="exact"/>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2,549</w:t>
            </w:r>
          </w:p>
        </w:tc>
      </w:tr>
      <w:tr>
        <w:trPr>
          <w:trHeight w:val="203"/>
        </w:trPr>
        <w:tc>
          <w:tcPr>
            <w:tcW w:w="9180" w:type="dxa"/>
            <w:vAlign w:val="bottom"/>
          </w:tcPr>
          <w:p>
            <w:pPr>
              <w:ind w:left="20"/>
              <w:spacing w:after="0" w:line="202" w:lineRule="exact"/>
              <w:rPr>
                <w:sz w:val="20"/>
                <w:szCs w:val="20"/>
                <w:color w:val="auto"/>
              </w:rPr>
            </w:pPr>
            <w:r>
              <w:rPr>
                <w:rFonts w:ascii="Arial" w:cs="Arial" w:eastAsia="Arial" w:hAnsi="Arial"/>
                <w:sz w:val="18"/>
                <w:szCs w:val="18"/>
                <w:color w:val="auto"/>
              </w:rPr>
              <w:t>Fixed Assets</w:t>
            </w:r>
          </w:p>
        </w:tc>
        <w:tc>
          <w:tcPr>
            <w:tcW w:w="32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r>
      <w:tr>
        <w:trPr>
          <w:trHeight w:val="203"/>
        </w:trPr>
        <w:tc>
          <w:tcPr>
            <w:tcW w:w="91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Reagent licenses</w:t>
            </w:r>
          </w:p>
        </w:tc>
        <w:tc>
          <w:tcPr>
            <w:tcW w:w="3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1,800</w:t>
            </w:r>
          </w:p>
        </w:tc>
      </w:tr>
      <w:tr>
        <w:trPr>
          <w:trHeight w:val="203"/>
        </w:trPr>
        <w:tc>
          <w:tcPr>
            <w:tcW w:w="9180" w:type="dxa"/>
            <w:vAlign w:val="bottom"/>
          </w:tcPr>
          <w:p>
            <w:pPr>
              <w:ind w:left="20"/>
              <w:spacing w:after="0" w:line="202" w:lineRule="exact"/>
              <w:rPr>
                <w:sz w:val="20"/>
                <w:szCs w:val="20"/>
                <w:color w:val="auto"/>
              </w:rPr>
            </w:pPr>
            <w:r>
              <w:rPr>
                <w:rFonts w:ascii="Arial" w:cs="Arial" w:eastAsia="Arial" w:hAnsi="Arial"/>
                <w:sz w:val="18"/>
                <w:szCs w:val="18"/>
                <w:color w:val="auto"/>
              </w:rPr>
              <w:t>Tradename</w:t>
            </w:r>
          </w:p>
        </w:tc>
        <w:tc>
          <w:tcPr>
            <w:tcW w:w="32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700</w:t>
            </w:r>
          </w:p>
        </w:tc>
      </w:tr>
      <w:tr>
        <w:trPr>
          <w:trHeight w:val="203"/>
        </w:trPr>
        <w:tc>
          <w:tcPr>
            <w:tcW w:w="91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2,200</w:t>
            </w:r>
          </w:p>
        </w:tc>
      </w:tr>
      <w:tr>
        <w:trPr>
          <w:trHeight w:val="196"/>
        </w:trPr>
        <w:tc>
          <w:tcPr>
            <w:tcW w:w="9180" w:type="dxa"/>
            <w:vAlign w:val="bottom"/>
          </w:tcPr>
          <w:p>
            <w:pPr>
              <w:ind w:left="20"/>
              <w:spacing w:after="0" w:line="196" w:lineRule="exact"/>
              <w:rPr>
                <w:sz w:val="20"/>
                <w:szCs w:val="20"/>
                <w:color w:val="auto"/>
              </w:rPr>
            </w:pPr>
            <w:r>
              <w:rPr>
                <w:rFonts w:ascii="Arial" w:cs="Arial" w:eastAsia="Arial" w:hAnsi="Arial"/>
                <w:sz w:val="18"/>
                <w:szCs w:val="18"/>
                <w:color w:val="auto"/>
              </w:rPr>
              <w:t>Total identifiable net assets acquired</w:t>
            </w:r>
          </w:p>
        </w:tc>
        <w:tc>
          <w:tcPr>
            <w:tcW w:w="320" w:type="dxa"/>
            <w:vAlign w:val="bottom"/>
          </w:tcPr>
          <w:p>
            <w:pPr>
              <w:spacing w:after="0"/>
              <w:rPr>
                <w:sz w:val="17"/>
                <w:szCs w:val="17"/>
                <w:color w:val="auto"/>
              </w:rPr>
            </w:pPr>
          </w:p>
        </w:tc>
        <w:tc>
          <w:tcPr>
            <w:tcW w:w="1740" w:type="dxa"/>
            <w:vAlign w:val="bottom"/>
          </w:tcPr>
          <w:p>
            <w:pPr>
              <w:jc w:val="right"/>
              <w:spacing w:after="0" w:line="196" w:lineRule="exact"/>
              <w:rPr>
                <w:sz w:val="20"/>
                <w:szCs w:val="20"/>
                <w:color w:val="auto"/>
              </w:rPr>
            </w:pPr>
            <w:r>
              <w:rPr>
                <w:rFonts w:ascii="Arial" w:cs="Arial" w:eastAsia="Arial" w:hAnsi="Arial"/>
                <w:sz w:val="18"/>
                <w:szCs w:val="18"/>
                <w:color w:val="auto"/>
              </w:rPr>
              <w:t>7,332</w:t>
            </w:r>
          </w:p>
        </w:tc>
      </w:tr>
      <w:tr>
        <w:trPr>
          <w:trHeight w:val="203"/>
        </w:trPr>
        <w:tc>
          <w:tcPr>
            <w:tcW w:w="91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32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9,668</w:t>
            </w:r>
          </w:p>
        </w:tc>
      </w:tr>
      <w:tr>
        <w:trPr>
          <w:trHeight w:val="196"/>
        </w:trPr>
        <w:tc>
          <w:tcPr>
            <w:tcW w:w="9180" w:type="dxa"/>
            <w:vAlign w:val="bottom"/>
          </w:tcPr>
          <w:p>
            <w:pPr>
              <w:ind w:left="200"/>
              <w:spacing w:after="0" w:line="182" w:lineRule="exact"/>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17,000</w:t>
            </w:r>
          </w:p>
        </w:tc>
      </w:tr>
      <w:tr>
        <w:trPr>
          <w:trHeight w:val="20"/>
        </w:trPr>
        <w:tc>
          <w:tcPr>
            <w:tcW w:w="9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$9.7 million of goodwill arising from the Tonbo acquisition is primarily attributed to significant time-to-market advantages, as the Company gained immediate access to Tonbo’s products, existing relationships and business infrastructure and Tonbo’s knowledgeable and experienced workforce. The goodwill is expected to be deductible for tax purposes.</w:t>
      </w:r>
    </w:p>
    <w:p>
      <w:pPr>
        <w:spacing w:after="0" w:line="141"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Intangible assets eligible for recognition separate from goodwill were those that satisfied either the contractual or legal criterion or the separability criterion in the accounting guidance. The identifiable intangible assets acquired and their estimated useful lives for amortization are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40" w:type="dxa"/>
            <w:vAlign w:val="bottom"/>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2"/>
          </w:tcPr>
          <w:p>
            <w:pPr>
              <w:jc w:val="center"/>
              <w:ind w:right="2830"/>
              <w:spacing w:after="0"/>
              <w:rPr>
                <w:sz w:val="20"/>
                <w:szCs w:val="20"/>
                <w:color w:val="auto"/>
              </w:rPr>
            </w:pPr>
            <w:r>
              <w:rPr>
                <w:rFonts w:ascii="Arial" w:cs="Arial" w:eastAsia="Arial" w:hAnsi="Arial"/>
                <w:sz w:val="18"/>
                <w:szCs w:val="18"/>
                <w:b w:val="1"/>
                <w:bCs w:val="1"/>
                <w:color w:val="auto"/>
                <w:w w:val="87"/>
              </w:rPr>
              <w:t>Tonbo</w:t>
            </w:r>
          </w:p>
        </w:tc>
      </w:tr>
      <w:tr>
        <w:trPr>
          <w:trHeight w:val="196"/>
        </w:trPr>
        <w:tc>
          <w:tcPr>
            <w:tcW w:w="4640" w:type="dxa"/>
            <w:vAlign w:val="bottom"/>
          </w:tcPr>
          <w:p>
            <w:pPr>
              <w:spacing w:after="0"/>
              <w:rPr>
                <w:sz w:val="17"/>
                <w:szCs w:val="17"/>
                <w:color w:val="auto"/>
              </w:rPr>
            </w:pPr>
          </w:p>
        </w:tc>
        <w:tc>
          <w:tcPr>
            <w:tcW w:w="206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Fair Value</w:t>
            </w:r>
          </w:p>
        </w:tc>
        <w:tc>
          <w:tcPr>
            <w:tcW w:w="8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34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9"/>
              </w:rPr>
              <w:t>Useful life (years)</w:t>
            </w:r>
          </w:p>
        </w:tc>
      </w:tr>
      <w:tr>
        <w:trPr>
          <w:trHeight w:val="183"/>
        </w:trPr>
        <w:tc>
          <w:tcPr>
            <w:tcW w:w="46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4540" w:type="dxa"/>
            <w:vAlign w:val="bottom"/>
            <w:gridSpan w:val="3"/>
          </w:tcPr>
          <w:p>
            <w:pPr>
              <w:jc w:val="center"/>
              <w:ind w:right="1970"/>
              <w:spacing w:after="0" w:line="183" w:lineRule="exact"/>
              <w:rPr>
                <w:sz w:val="20"/>
                <w:szCs w:val="20"/>
                <w:color w:val="auto"/>
              </w:rPr>
            </w:pPr>
            <w:r>
              <w:rPr>
                <w:rFonts w:ascii="Arial" w:cs="Arial" w:eastAsia="Arial" w:hAnsi="Arial"/>
                <w:sz w:val="16"/>
                <w:szCs w:val="16"/>
                <w:color w:val="auto"/>
                <w:w w:val="90"/>
              </w:rPr>
              <w:t>(In thousands, except for years)</w:t>
            </w:r>
          </w:p>
        </w:tc>
      </w:tr>
      <w:tr>
        <w:trPr>
          <w:trHeight w:val="203"/>
        </w:trPr>
        <w:tc>
          <w:tcPr>
            <w:tcW w:w="4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2060" w:type="dxa"/>
            <w:vAlign w:val="bottom"/>
            <w:shd w:val="clear" w:color="auto" w:fill="CFF0FC"/>
          </w:tcPr>
          <w:p>
            <w:pPr>
              <w:jc w:val="right"/>
              <w:ind w:right="187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2,200</w:t>
            </w:r>
          </w:p>
        </w:tc>
        <w:tc>
          <w:tcPr>
            <w:tcW w:w="3680" w:type="dxa"/>
            <w:vAlign w:val="bottom"/>
            <w:gridSpan w:val="2"/>
            <w:shd w:val="clear" w:color="auto" w:fill="CFF0FC"/>
          </w:tcPr>
          <w:p>
            <w:pPr>
              <w:jc w:val="center"/>
              <w:ind w:left="250"/>
              <w:spacing w:after="0" w:line="202" w:lineRule="exact"/>
              <w:rPr>
                <w:sz w:val="20"/>
                <w:szCs w:val="20"/>
                <w:color w:val="auto"/>
              </w:rPr>
            </w:pPr>
            <w:r>
              <w:rPr>
                <w:rFonts w:ascii="Arial" w:cs="Arial" w:eastAsia="Arial" w:hAnsi="Arial"/>
                <w:sz w:val="18"/>
                <w:szCs w:val="18"/>
                <w:color w:val="auto"/>
                <w:w w:val="99"/>
              </w:rPr>
              <w:t>7</w:t>
            </w:r>
          </w:p>
        </w:tc>
      </w:tr>
      <w:tr>
        <w:trPr>
          <w:trHeight w:val="203"/>
        </w:trPr>
        <w:tc>
          <w:tcPr>
            <w:tcW w:w="4640" w:type="dxa"/>
            <w:vAlign w:val="bottom"/>
          </w:tcPr>
          <w:p>
            <w:pPr>
              <w:ind w:left="20"/>
              <w:spacing w:after="0" w:line="202" w:lineRule="exact"/>
              <w:rPr>
                <w:sz w:val="20"/>
                <w:szCs w:val="20"/>
                <w:color w:val="auto"/>
              </w:rPr>
            </w:pPr>
            <w:r>
              <w:rPr>
                <w:rFonts w:ascii="Arial" w:cs="Arial" w:eastAsia="Arial" w:hAnsi="Arial"/>
                <w:sz w:val="18"/>
                <w:szCs w:val="18"/>
                <w:color w:val="auto"/>
              </w:rPr>
              <w:t>Reagent licenses</w:t>
            </w:r>
          </w:p>
        </w:tc>
        <w:tc>
          <w:tcPr>
            <w:tcW w:w="20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1,800</w:t>
            </w:r>
          </w:p>
        </w:tc>
        <w:tc>
          <w:tcPr>
            <w:tcW w:w="3680" w:type="dxa"/>
            <w:vAlign w:val="bottom"/>
            <w:gridSpan w:val="2"/>
          </w:tcPr>
          <w:p>
            <w:pPr>
              <w:jc w:val="center"/>
              <w:ind w:left="250"/>
              <w:spacing w:after="0" w:line="202" w:lineRule="exact"/>
              <w:rPr>
                <w:sz w:val="20"/>
                <w:szCs w:val="20"/>
                <w:color w:val="auto"/>
              </w:rPr>
            </w:pPr>
            <w:r>
              <w:rPr>
                <w:rFonts w:ascii="Arial" w:cs="Arial" w:eastAsia="Arial" w:hAnsi="Arial"/>
                <w:sz w:val="18"/>
                <w:szCs w:val="18"/>
                <w:color w:val="auto"/>
                <w:w w:val="99"/>
              </w:rPr>
              <w:t>7</w:t>
            </w:r>
          </w:p>
        </w:tc>
      </w:tr>
      <w:tr>
        <w:trPr>
          <w:trHeight w:val="203"/>
        </w:trPr>
        <w:tc>
          <w:tcPr>
            <w:tcW w:w="46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Tradename</w:t>
            </w:r>
          </w:p>
        </w:tc>
        <w:tc>
          <w:tcPr>
            <w:tcW w:w="20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700</w:t>
            </w:r>
          </w:p>
        </w:tc>
        <w:tc>
          <w:tcPr>
            <w:tcW w:w="3680" w:type="dxa"/>
            <w:vAlign w:val="bottom"/>
            <w:tcBorders>
              <w:bottom w:val="single" w:sz="8" w:color="CFF0FC"/>
            </w:tcBorders>
            <w:gridSpan w:val="2"/>
            <w:shd w:val="clear" w:color="auto" w:fill="CFF0FC"/>
          </w:tcPr>
          <w:p>
            <w:pPr>
              <w:jc w:val="center"/>
              <w:ind w:left="250"/>
              <w:spacing w:after="0" w:line="202" w:lineRule="exact"/>
              <w:rPr>
                <w:sz w:val="20"/>
                <w:szCs w:val="20"/>
                <w:color w:val="auto"/>
              </w:rPr>
            </w:pPr>
            <w:r>
              <w:rPr>
                <w:rFonts w:ascii="Arial" w:cs="Arial" w:eastAsia="Arial" w:hAnsi="Arial"/>
                <w:sz w:val="18"/>
                <w:szCs w:val="18"/>
                <w:color w:val="auto"/>
                <w:w w:val="99"/>
              </w:rPr>
              <w:t>4</w:t>
            </w:r>
          </w:p>
        </w:tc>
      </w:tr>
      <w:tr>
        <w:trPr>
          <w:trHeight w:val="196"/>
        </w:trPr>
        <w:tc>
          <w:tcPr>
            <w:tcW w:w="4640" w:type="dxa"/>
            <w:vAlign w:val="bottom"/>
          </w:tcPr>
          <w:p>
            <w:pPr>
              <w:ind w:left="200"/>
              <w:spacing w:after="0" w:line="182" w:lineRule="exact"/>
              <w:rPr>
                <w:sz w:val="20"/>
                <w:szCs w:val="20"/>
                <w:color w:val="auto"/>
              </w:rPr>
            </w:pPr>
            <w:r>
              <w:rPr>
                <w:rFonts w:ascii="Arial" w:cs="Arial" w:eastAsia="Arial" w:hAnsi="Arial"/>
                <w:sz w:val="18"/>
                <w:szCs w:val="18"/>
                <w:color w:val="auto"/>
              </w:rPr>
              <w:t>Total</w:t>
            </w:r>
          </w:p>
        </w:tc>
        <w:tc>
          <w:tcPr>
            <w:tcW w:w="2060" w:type="dxa"/>
            <w:vAlign w:val="bottom"/>
            <w:tcBorders>
              <w:bottom w:val="single" w:sz="8" w:color="auto"/>
            </w:tcBorders>
          </w:tcPr>
          <w:p>
            <w:pPr>
              <w:jc w:val="right"/>
              <w:ind w:right="1870"/>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4,700</w:t>
            </w:r>
          </w:p>
        </w:tc>
        <w:tc>
          <w:tcPr>
            <w:tcW w:w="340" w:type="dxa"/>
            <w:vAlign w:val="bottom"/>
          </w:tcPr>
          <w:p>
            <w:pPr>
              <w:spacing w:after="0"/>
              <w:rPr>
                <w:sz w:val="17"/>
                <w:szCs w:val="17"/>
                <w:color w:val="auto"/>
              </w:rPr>
            </w:pPr>
          </w:p>
        </w:tc>
        <w:tc>
          <w:tcPr>
            <w:tcW w:w="3340" w:type="dxa"/>
            <w:vAlign w:val="bottom"/>
          </w:tcPr>
          <w:p>
            <w:pPr>
              <w:spacing w:after="0"/>
              <w:rPr>
                <w:sz w:val="17"/>
                <w:szCs w:val="17"/>
                <w:color w:val="auto"/>
              </w:rPr>
            </w:pPr>
          </w:p>
        </w:tc>
      </w:tr>
      <w:tr>
        <w:trPr>
          <w:trHeight w:val="20"/>
        </w:trPr>
        <w:tc>
          <w:tcPr>
            <w:tcW w:w="46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-159385</wp:posOffset>
            </wp:positionV>
            <wp:extent cx="22288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2885" cy="5715"/>
                    </a:xfrm>
                    <a:prstGeom prst="rect">
                      <a:avLst/>
                    </a:prstGeom>
                    <a:noFill/>
                  </pic:spPr>
                </pic:pic>
              </a:graphicData>
            </a:graphic>
          </wp:anchor>
        </w:drawing>
      </w:r>
    </w:p>
    <w:p>
      <w:pPr>
        <w:spacing w:after="0" w:line="27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customer relationships intangible asset represents the fair value of the underlying relationships with Tonbo’s customers. The tradename intangible asset represents the fair value of brand and name recognition associated with the marketing of Tonbo's reagents. The reagent license intangible asset represents the fair value of access to certain antibodies to manufacture reagents.</w:t>
      </w:r>
    </w:p>
    <w:p>
      <w:pPr>
        <w:spacing w:after="0" w:line="14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fair value of the customer relationships intangible asset was determined based on the excess earnings method; the fair values of the tradename intangible assets were determined based on the relief-from-royalty method; and the fair value of the reagent license intangible asset was determined based on the cost approach method. The key assumptions used in estimating the fair values of intangible assets included forecasted financial information; customer retention rates; royalty rate of 2.0% for the tradename intangible assets; discount rate of 13.0% for all intangible assets; and certain other assumptions.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acquired intangibles are being amortized over their estimated useful lives using the straight-line method of amortization.</w:t>
      </w:r>
    </w:p>
    <w:p>
      <w:pPr>
        <w:spacing w:after="0" w:line="17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fair value assigned to the assets acquired are based on reasonable assumptions and estimates that market participants would use. Actual results may differ from these estimates and assumptions.</w:t>
      </w:r>
    </w:p>
    <w:p>
      <w:pPr>
        <w:spacing w:after="0" w:line="144"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results of operations for the acquisition are included in the consolidated financial statements of the Company from the date of the acquisition and net revenues and operating loss are not material. The Company has not included pro forma financial information related to the acquisition as the overall impact to the financial statements was not material. Transaction costs incurred by the Company related to the acquisition totaled approximately $230,000 for the year ended December 31, 2021, which were expensed and recorded as a component of general and administrative expenses in the consolidated statement of operations.</w:t>
      </w:r>
    </w:p>
    <w:p>
      <w:pPr>
        <w:spacing w:after="0" w:line="145"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w:t>
      </w:r>
    </w:p>
    <w:p>
      <w:pPr>
        <w:spacing w:after="0" w:line="189"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auto"/>
        </w:rPr>
        <w:t>The addition of goodwill for the year ended December 31, 2021 is discussed in Note 8. There were no changes in goodwill for the three months ended March 31, 2022.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19</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components of intangible assets, net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37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80" w:type="dxa"/>
            <w:vAlign w:val="bottom"/>
          </w:tcPr>
          <w:p>
            <w:pPr>
              <w:spacing w:after="0"/>
              <w:rPr>
                <w:sz w:val="16"/>
                <w:szCs w:val="16"/>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2021</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Patents and trademarks</w:t>
            </w:r>
          </w:p>
        </w:tc>
        <w:tc>
          <w:tcPr>
            <w:tcW w:w="1140" w:type="dxa"/>
            <w:vAlign w:val="bottom"/>
            <w:shd w:val="clear" w:color="auto" w:fill="CFF0FC"/>
          </w:tcPr>
          <w:p>
            <w:pPr>
              <w:jc w:val="right"/>
              <w:ind w:right="939"/>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429</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387</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Tradename</w:t>
            </w:r>
          </w:p>
        </w:tc>
        <w:tc>
          <w:tcPr>
            <w:tcW w:w="1140" w:type="dxa"/>
            <w:vAlign w:val="bottom"/>
          </w:tcPr>
          <w:p>
            <w:pPr>
              <w:spacing w:after="0"/>
              <w:rPr>
                <w:sz w:val="17"/>
                <w:szCs w:val="17"/>
                <w:color w:val="auto"/>
              </w:rPr>
            </w:pPr>
          </w:p>
        </w:tc>
        <w:tc>
          <w:tcPr>
            <w:tcW w:w="5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700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700</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IP license</w:t>
            </w:r>
          </w:p>
        </w:tc>
        <w:tc>
          <w:tcPr>
            <w:tcW w:w="114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476</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476</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1140" w:type="dxa"/>
            <w:vAlign w:val="bottom"/>
          </w:tcPr>
          <w:p>
            <w:pPr>
              <w:spacing w:after="0"/>
              <w:rPr>
                <w:sz w:val="17"/>
                <w:szCs w:val="17"/>
                <w:color w:val="auto"/>
              </w:rPr>
            </w:pPr>
          </w:p>
        </w:tc>
        <w:tc>
          <w:tcPr>
            <w:tcW w:w="56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7"/>
              </w:rPr>
              <w:t>2,200</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2,200</w:t>
            </w: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Reagent license</w:t>
            </w:r>
          </w:p>
        </w:tc>
        <w:tc>
          <w:tcPr>
            <w:tcW w:w="11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97"/>
              </w:rPr>
              <w:t>1,800</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1,800</w:t>
            </w:r>
          </w:p>
        </w:tc>
      </w:tr>
      <w:tr>
        <w:trPr>
          <w:trHeight w:val="196"/>
        </w:trPr>
        <w:tc>
          <w:tcPr>
            <w:tcW w:w="7680" w:type="dxa"/>
            <w:vAlign w:val="bottom"/>
          </w:tcPr>
          <w:p>
            <w:pPr>
              <w:ind w:left="200"/>
              <w:spacing w:after="0" w:line="196" w:lineRule="exact"/>
              <w:rPr>
                <w:sz w:val="20"/>
                <w:szCs w:val="20"/>
                <w:color w:val="auto"/>
              </w:rPr>
            </w:pPr>
            <w:r>
              <w:rPr>
                <w:rFonts w:ascii="Arial" w:cs="Arial" w:eastAsia="Arial" w:hAnsi="Arial"/>
                <w:sz w:val="18"/>
                <w:szCs w:val="18"/>
                <w:color w:val="auto"/>
              </w:rPr>
              <w:t>Total intangible assets</w:t>
            </w:r>
          </w:p>
        </w:tc>
        <w:tc>
          <w:tcPr>
            <w:tcW w:w="1140" w:type="dxa"/>
            <w:vAlign w:val="bottom"/>
          </w:tcPr>
          <w:p>
            <w:pPr>
              <w:spacing w:after="0"/>
              <w:rPr>
                <w:sz w:val="17"/>
                <w:szCs w:val="17"/>
                <w:color w:val="auto"/>
              </w:rPr>
            </w:pPr>
          </w:p>
        </w:tc>
        <w:tc>
          <w:tcPr>
            <w:tcW w:w="56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7"/>
              </w:rPr>
              <w:t>5,605</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14"/>
              <w:spacing w:after="0" w:line="196" w:lineRule="exact"/>
              <w:rPr>
                <w:sz w:val="20"/>
                <w:szCs w:val="20"/>
                <w:color w:val="auto"/>
              </w:rPr>
            </w:pPr>
            <w:r>
              <w:rPr>
                <w:rFonts w:ascii="Arial" w:cs="Arial" w:eastAsia="Arial" w:hAnsi="Arial"/>
                <w:sz w:val="18"/>
                <w:szCs w:val="18"/>
                <w:color w:val="auto"/>
              </w:rPr>
              <w:t>5,563</w:t>
            </w: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Less: accumulated amortization</w:t>
            </w:r>
          </w:p>
        </w:tc>
        <w:tc>
          <w:tcPr>
            <w:tcW w:w="11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83"/>
              </w:rPr>
              <w:t>(1,277 )</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(824 )</w:t>
            </w:r>
          </w:p>
        </w:tc>
      </w:tr>
      <w:tr>
        <w:trPr>
          <w:trHeight w:val="196"/>
        </w:trPr>
        <w:tc>
          <w:tcPr>
            <w:tcW w:w="7680" w:type="dxa"/>
            <w:vAlign w:val="bottom"/>
          </w:tcPr>
          <w:p>
            <w:pPr>
              <w:ind w:left="200"/>
              <w:spacing w:after="0" w:line="182" w:lineRule="exact"/>
              <w:rPr>
                <w:sz w:val="20"/>
                <w:szCs w:val="20"/>
                <w:color w:val="auto"/>
              </w:rPr>
            </w:pPr>
            <w:r>
              <w:rPr>
                <w:rFonts w:ascii="Arial" w:cs="Arial" w:eastAsia="Arial" w:hAnsi="Arial"/>
                <w:sz w:val="18"/>
                <w:szCs w:val="18"/>
                <w:color w:val="auto"/>
              </w:rPr>
              <w:t>Intangible assets, net</w:t>
            </w:r>
          </w:p>
        </w:tc>
        <w:tc>
          <w:tcPr>
            <w:tcW w:w="1140" w:type="dxa"/>
            <w:vAlign w:val="bottom"/>
          </w:tcPr>
          <w:p>
            <w:pPr>
              <w:jc w:val="right"/>
              <w:ind w:right="939"/>
              <w:spacing w:after="0" w:line="182" w:lineRule="exact"/>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line="182" w:lineRule="exact"/>
              <w:rPr>
                <w:sz w:val="20"/>
                <w:szCs w:val="20"/>
                <w:color w:val="auto"/>
              </w:rPr>
            </w:pPr>
            <w:r>
              <w:rPr>
                <w:rFonts w:ascii="Arial" w:cs="Arial" w:eastAsia="Arial" w:hAnsi="Arial"/>
                <w:sz w:val="18"/>
                <w:szCs w:val="18"/>
                <w:color w:val="auto"/>
                <w:w w:val="97"/>
              </w:rPr>
              <w:t>4,328</w:t>
            </w:r>
          </w:p>
        </w:tc>
        <w:tc>
          <w:tcPr>
            <w:tcW w:w="42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line="182" w:lineRule="exact"/>
              <w:rPr>
                <w:sz w:val="20"/>
                <w:szCs w:val="20"/>
                <w:color w:val="auto"/>
              </w:rPr>
            </w:pPr>
            <w:r>
              <w:rPr>
                <w:rFonts w:ascii="Arial" w:cs="Arial" w:eastAsia="Arial" w:hAnsi="Arial"/>
                <w:sz w:val="18"/>
                <w:szCs w:val="18"/>
                <w:color w:val="auto"/>
              </w:rPr>
              <w:t>4,739</w:t>
            </w:r>
          </w:p>
        </w:tc>
      </w:tr>
      <w:tr>
        <w:trPr>
          <w:trHeight w:val="20"/>
        </w:trPr>
        <w:tc>
          <w:tcPr>
            <w:tcW w:w="76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-424815</wp:posOffset>
            </wp:positionV>
            <wp:extent cx="11112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-159385</wp:posOffset>
            </wp:positionV>
            <wp:extent cx="111125"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195"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Total amortization expense for the three months ended March 31, 2022 was approximately $453,000. The Company did not record any amortization expense for the three months ended March 31, 2021.</w:t>
      </w:r>
    </w:p>
    <w:p>
      <w:pPr>
        <w:spacing w:after="0" w:line="126"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Legal settlement liability</w:t>
      </w:r>
    </w:p>
    <w:p>
      <w:pPr>
        <w:spacing w:after="0" w:line="175"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On February 13, 2018, Becton, Dickinson, and Company (“BD”) filed a lawsuit against the Company alleging trade secret misappropriation and copyright infringement. On October 6, 2020, the Company entered into a Settlement, License and Equity Issuance Agreement with BD pursuant to which the Company and BD agreed to a mutual release of all claims against each other as of the date thereof (the “BD Agreement”). Additionally, BD granted Cytek a non-exclusive, irrevocable, perpetual, worldwide and non-transferrable license to certain BD patents and covenanted that it would not enforce or permit or encourage the enforcement of BD patents against Cytek or its affiliates in connection with the development, manufacture, use, importation, offer for sale or sale of its then-current instruments. In exchange, the Company agreed that Cytek and its affiliates would not dispute or challenge in a legal proceeding the validity, enforceability or scope of the applicable BD patent claims and agreed to make certain payments to BD, including (i) a one-time upfront payment of $2.0 million, (ii) a low single digit royalty payment for ten years, based on net sales of certain of its products, (iii) $6.0 million milestone payment upon the occurrence of a certain sales threshold, and (iv) a specified payment upon the closing of a change of control transaction, if any. The Company also issued 2,087,545 shares of the Company’s common stock to BD during the year ended December 31, 2020 in connection with the BD settlement. In the fourth quarter of 2021, the Company achieved the milestone and made the payment.</w:t>
      </w:r>
    </w:p>
    <w:p>
      <w:pPr>
        <w:spacing w:after="0" w:line="15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The Company separated the settlement agreement into two elements, the litigation settlement and future licensing rights. The Company could not readily determine the fair value of the litigation settlement of prior infringement claims between the Company and BD. Therefore, the Company applied the residual method and allocated the difference between the total present value consideration payable under the BD Agreement and the estimated fair value of the future licensing rights to the litigation settlement element. The Company determined the estimated fair value of the future licensing rights based on the relief from royalty method. The significant assumptions used were the market royalty rate estimated as a royalty rate that a market participant would pay to license the BD intellectual property, forecasted sales subject to the market royalty rate and the discount rate.</w:t>
      </w:r>
    </w:p>
    <w:p>
      <w:pPr>
        <w:spacing w:after="0" w:line="13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The Company recorded $0.8 million and $0.7 million product cost of sales related to royalty expense for the three months ended March 31, 2022 and 2021, respectively. The Company recorded $0.5 million and $0.4 million of interest expense for the three months ended March 31, 2022 and 2021, respectively, to accrete the present value discount of the payment streams over the payment period of ten years from the settlement date using the effective interest rate method. The Company made a one-time upfront payment and issued 2,087,545 shares of the Company’s common stock to BD during the year ended December 31, 2020. The Company recorded legal settlement liability on the consolidated balance sheets of $16.2 million and $15.2 million as of March 31, 2022 and December 31, 2021, respectively, and will record licensing expense in future periods.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components of the legal settlement liability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right"/>
              <w:ind w:right="477"/>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jc w:val="right"/>
              <w:ind w:right="357"/>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r>
      <w:tr>
        <w:trPr>
          <w:trHeight w:val="185"/>
        </w:trPr>
        <w:tc>
          <w:tcPr>
            <w:tcW w:w="38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6"/>
                <w:szCs w:val="16"/>
                <w:color w:val="auto"/>
              </w:rPr>
            </w:pPr>
          </w:p>
        </w:tc>
      </w:tr>
      <w:tr>
        <w:trPr>
          <w:trHeight w:val="196"/>
        </w:trPr>
        <w:tc>
          <w:tcPr>
            <w:tcW w:w="3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Current:</w:t>
            </w:r>
          </w:p>
        </w:tc>
        <w:tc>
          <w:tcPr>
            <w:tcW w:w="3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860" w:type="dxa"/>
            <w:vAlign w:val="bottom"/>
          </w:tcPr>
          <w:p>
            <w:pPr>
              <w:ind w:left="200"/>
              <w:spacing w:after="0" w:line="202" w:lineRule="exact"/>
              <w:rPr>
                <w:sz w:val="20"/>
                <w:szCs w:val="20"/>
                <w:color w:val="auto"/>
              </w:rPr>
            </w:pPr>
            <w:r>
              <w:rPr>
                <w:rFonts w:ascii="Arial" w:cs="Arial" w:eastAsia="Arial" w:hAnsi="Arial"/>
                <w:sz w:val="18"/>
                <w:szCs w:val="18"/>
                <w:color w:val="auto"/>
              </w:rPr>
              <w:t>Legal settlement liability</w:t>
            </w:r>
          </w:p>
        </w:tc>
        <w:tc>
          <w:tcPr>
            <w:tcW w:w="37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1,554</w:t>
            </w:r>
          </w:p>
        </w:tc>
        <w:tc>
          <w:tcPr>
            <w:tcW w:w="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1,463</w:t>
            </w:r>
          </w:p>
        </w:tc>
        <w:tc>
          <w:tcPr>
            <w:tcW w:w="460" w:type="dxa"/>
            <w:vAlign w:val="bottom"/>
          </w:tcPr>
          <w:p>
            <w:pPr>
              <w:spacing w:after="0"/>
              <w:rPr>
                <w:sz w:val="17"/>
                <w:szCs w:val="17"/>
                <w:color w:val="auto"/>
              </w:rPr>
            </w:pPr>
          </w:p>
        </w:tc>
      </w:tr>
      <w:tr>
        <w:trPr>
          <w:trHeight w:val="203"/>
        </w:trPr>
        <w:tc>
          <w:tcPr>
            <w:tcW w:w="3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Noncurrent:</w:t>
            </w:r>
          </w:p>
        </w:tc>
        <w:tc>
          <w:tcPr>
            <w:tcW w:w="3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r>
      <w:tr>
        <w:trPr>
          <w:trHeight w:val="203"/>
        </w:trPr>
        <w:tc>
          <w:tcPr>
            <w:tcW w:w="3860" w:type="dxa"/>
            <w:vAlign w:val="bottom"/>
          </w:tcPr>
          <w:p>
            <w:pPr>
              <w:ind w:left="200"/>
              <w:spacing w:after="0" w:line="202" w:lineRule="exact"/>
              <w:rPr>
                <w:sz w:val="20"/>
                <w:szCs w:val="20"/>
                <w:color w:val="auto"/>
              </w:rPr>
            </w:pPr>
            <w:r>
              <w:rPr>
                <w:rFonts w:ascii="Arial" w:cs="Arial" w:eastAsia="Arial" w:hAnsi="Arial"/>
                <w:sz w:val="18"/>
                <w:szCs w:val="18"/>
                <w:color w:val="auto"/>
              </w:rPr>
              <w:t>Legal settlement liability</w:t>
            </w:r>
          </w:p>
        </w:tc>
        <w:tc>
          <w:tcPr>
            <w:tcW w:w="3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14,635</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13,745</w:t>
            </w:r>
          </w:p>
        </w:tc>
        <w:tc>
          <w:tcPr>
            <w:tcW w:w="460" w:type="dxa"/>
            <w:vAlign w:val="bottom"/>
          </w:tcPr>
          <w:p>
            <w:pPr>
              <w:spacing w:after="0"/>
              <w:rPr>
                <w:sz w:val="17"/>
                <w:szCs w:val="17"/>
                <w:color w:val="auto"/>
              </w:rPr>
            </w:pPr>
          </w:p>
        </w:tc>
      </w:tr>
      <w:tr>
        <w:trPr>
          <w:trHeight w:val="236"/>
        </w:trPr>
        <w:tc>
          <w:tcPr>
            <w:tcW w:w="38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legal settlement liability</w:t>
            </w:r>
          </w:p>
        </w:tc>
        <w:tc>
          <w:tcPr>
            <w:tcW w:w="34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16,189</w:t>
            </w:r>
          </w:p>
        </w:tc>
        <w:tc>
          <w:tcPr>
            <w:tcW w:w="1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15,208</w:t>
            </w:r>
          </w:p>
        </w:tc>
        <w:tc>
          <w:tcPr>
            <w:tcW w:w="460" w:type="dxa"/>
            <w:vAlign w:val="bottom"/>
          </w:tcPr>
          <w:p>
            <w:pPr>
              <w:spacing w:after="0"/>
              <w:rPr>
                <w:sz w:val="20"/>
                <w:szCs w:val="20"/>
                <w:color w:val="auto"/>
              </w:rPr>
            </w:pPr>
          </w:p>
        </w:tc>
      </w:tr>
      <w:tr>
        <w:trPr>
          <w:trHeight w:val="534"/>
        </w:trPr>
        <w:tc>
          <w:tcPr>
            <w:tcW w:w="3860" w:type="dxa"/>
            <w:vAlign w:val="bottom"/>
          </w:tcPr>
          <w:p>
            <w:pPr>
              <w:spacing w:after="0"/>
              <w:rPr>
                <w:sz w:val="24"/>
                <w:szCs w:val="24"/>
                <w:color w:val="auto"/>
              </w:rPr>
            </w:pPr>
          </w:p>
        </w:tc>
        <w:tc>
          <w:tcPr>
            <w:tcW w:w="3420" w:type="dxa"/>
            <w:vAlign w:val="bottom"/>
          </w:tcPr>
          <w:p>
            <w:pPr>
              <w:jc w:val="right"/>
              <w:ind w:right="147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01"/>
        </w:trPr>
        <w:tc>
          <w:tcPr>
            <w:tcW w:w="3860" w:type="dxa"/>
            <w:vAlign w:val="bottom"/>
            <w:tcBorders>
              <w:bottom w:val="single" w:sz="8" w:color="9A9A9A"/>
            </w:tcBorders>
          </w:tcPr>
          <w:p>
            <w:pPr>
              <w:spacing w:after="0"/>
              <w:rPr>
                <w:sz w:val="8"/>
                <w:szCs w:val="8"/>
                <w:color w:val="auto"/>
              </w:rPr>
            </w:pPr>
          </w:p>
        </w:tc>
        <w:tc>
          <w:tcPr>
            <w:tcW w:w="34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-453390</wp:posOffset>
            </wp:positionV>
            <wp:extent cx="1028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-436245</wp:posOffset>
            </wp:positionV>
            <wp:extent cx="1028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20</w:t>
      </w:r>
    </w:p>
    <w:p>
      <w:pPr>
        <w:spacing w:after="0" w:line="100"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8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March 2015, the Company entered into a Series A Preferred Stock Purchase Agreement (“Series A Agreement”) with certain investors pursuant to which it sold and issued 9,799,755 shares of Series A redeemable convertible preferred stock (“Series A shares”) at a purchase price of $0.38 per share in the initial closing. In July 2015, the Company sold and issued an additional 8,166,462 Series A shares at a purchase price of $0.38 per share pursuant to a subsequent closing under the Series A Agreement. In October 2015, the Company sold and issued an additional 14,699,632 Series A shares at a purchase price of $0.38 per share pursuant to a milestone closing under the Series A Agreement. A total of 32,665,849 Series A shares were issued for $12.2 million, net of issuance costs of $89,000.</w:t>
      </w:r>
    </w:p>
    <w:p>
      <w:pPr>
        <w:spacing w:after="0" w:line="14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December 2016, the Company entered into a Series B Preferred Stock Purchase Agreement (“Series B Agreement”) with certain investors pursuant to which it sold and issued 9,888,639 shares of Series B convertible redeemable preferred stock (“Series B shares”) at a purchase price of $0.75 per share in the initial closing. In January 2018, the Company sold and issued an additional 6,110,957 Series B shares at a purchase price of $0.75 per share pursuant to a milestone closing under the Series B Agreement.</w:t>
      </w:r>
    </w:p>
    <w:p>
      <w:pPr>
        <w:spacing w:after="0" w:line="16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September 2018, the Company entered into a Series C Preferred Stock Purchase Agreement (“Series C Agreement”) with certain investors pursuant to which it sold and issued 18,717,804 shares of Series C convertible redeemable preferred stock (“Series C shares” and together with Series A shares, Series B shares and Series C shares, the “2018 Preferred Stock”) at a purchase price of $2.40 per share in the initial closing. In November and December 2018, the Company sold and issued an additional 2,501,265 and 2,084,387 Series C shares, respectively, at a purchase price of $2.40 per share pursuant to subsequent closings under the Series C Agreement.</w:t>
      </w:r>
    </w:p>
    <w:p>
      <w:pPr>
        <w:spacing w:after="0" w:line="14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October 2018, the Company repurchased 2,452,270 Series A shares at a price per share of $2.04 (“Series A Repurchase”), for an aggregate purchase price of $5.0 million. In connection with the Series A Repurchase, the Company filed a Certificate of Retirement with the Secretary of State in the State of Delaware to (i) cancel and retire the repurchased shares as required by the Company’s Amended and Restated Certificate of Incorporation, (ii) reduce the number of 2018 Preferred Stock authorized under the Company’s Amended and Restated Certificate of Incorporation to 70,212,570 from 72,664,850 and (iii) reduce the number of Series A shares authorized under the Company’s Amended and Restated Certificate of Incorporation 30,213,574 from 32,665,849.</w:t>
      </w:r>
    </w:p>
    <w:p>
      <w:pPr>
        <w:spacing w:after="0" w:line="162"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October 2020, under the amended and restated certificate of incorporation dated October 22, 2020 (“October COI”), the Company issued 17,752,068 shares of Series D redeemable convertible preferred stock (“Series D shares” and together with Series A shares, Series B shares, Series C shares, the “Preferred Stock”) at a purchase price of $6.76 per share for net proceeds of $119.7 million and authorized the reduction of the Series C to 23,303,456.</w:t>
      </w:r>
    </w:p>
    <w:p>
      <w:pPr>
        <w:spacing w:after="0" w:line="14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In July 2021, all of the then-outstanding shares of Preferred Stock automatically converted into 87,268,694 shares of common stock immediately upon the closing of Company’s IPO.</w:t>
      </w:r>
    </w:p>
    <w:p>
      <w:pPr>
        <w:spacing w:after="0" w:line="14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Company classified its Preferred Stock as temporary equity in the accompanying unaudited interim consolidated balance sheets due to terms that allow for redemption of the shares upon certain change in control events that are outside of the Company’s control, including sale or transfer of control of the Company, as holders of the Preferred Stock could cause redemption of the shares in these situations.</w:t>
      </w:r>
    </w:p>
    <w:p>
      <w:pPr>
        <w:spacing w:after="0" w:line="119"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jc w:val="both"/>
        <w:ind w:left="20" w:right="20" w:firstLine="509"/>
        <w:spacing w:after="0" w:line="241" w:lineRule="auto"/>
        <w:rPr>
          <w:sz w:val="20"/>
          <w:szCs w:val="20"/>
          <w:color w:val="auto"/>
        </w:rPr>
      </w:pPr>
      <w:r>
        <w:rPr>
          <w:rFonts w:ascii="Arial" w:cs="Arial" w:eastAsia="Arial" w:hAnsi="Arial"/>
          <w:sz w:val="18"/>
          <w:szCs w:val="18"/>
          <w:color w:val="auto"/>
        </w:rPr>
        <w:t>As of March 31, 2022, the Company has authorized 1,000,000,000 shares of common stock at $0.001 par value. Holders of common stock are entitled to one vote per share, and to receive dividends, only and if declared by the Board of Directors and, upon liquidation or dissolution, are entitled to receive all assets available for distribution to stockholders, subordinate to the rights, preferences and privileges of any outstanding Preferred Stock with respect to dividends and in connection with a liquidation, winding up and dissolution of the Company. The holders have no preemptive or other subscription rights.</w:t>
      </w:r>
    </w:p>
    <w:p>
      <w:pPr>
        <w:spacing w:after="0" w:line="142" w:lineRule="exact"/>
        <w:rPr>
          <w:sz w:val="20"/>
          <w:szCs w:val="20"/>
          <w:color w:val="auto"/>
        </w:rPr>
      </w:pPr>
    </w:p>
    <w:p>
      <w:pPr>
        <w:jc w:val="both"/>
        <w:ind w:left="20" w:right="20" w:firstLine="509"/>
        <w:spacing w:after="0" w:line="250" w:lineRule="auto"/>
        <w:rPr>
          <w:sz w:val="20"/>
          <w:szCs w:val="20"/>
          <w:color w:val="auto"/>
        </w:rPr>
      </w:pPr>
      <w:r>
        <w:rPr>
          <w:rFonts w:ascii="Arial" w:cs="Arial" w:eastAsia="Arial" w:hAnsi="Arial"/>
          <w:sz w:val="22"/>
          <w:szCs w:val="22"/>
          <w:color w:val="auto"/>
        </w:rPr>
        <w:t>O</w:t>
      </w:r>
      <w:r>
        <w:rPr>
          <w:rFonts w:ascii="Arial" w:cs="Arial" w:eastAsia="Arial" w:hAnsi="Arial"/>
          <w:sz w:val="17"/>
          <w:szCs w:val="17"/>
          <w:color w:val="auto"/>
        </w:rPr>
        <w:t>n July 16, 2021, the Board and the Company’s stockholders approved an amendment and restatement of the Company’s certificate of</w:t>
      </w:r>
      <w:r>
        <w:rPr>
          <w:rFonts w:ascii="Arial" w:cs="Arial" w:eastAsia="Arial" w:hAnsi="Arial"/>
          <w:sz w:val="22"/>
          <w:szCs w:val="22"/>
          <w:color w:val="auto"/>
        </w:rPr>
        <w:t xml:space="preserve"> </w:t>
      </w:r>
      <w:r>
        <w:rPr>
          <w:rFonts w:ascii="Arial" w:cs="Arial" w:eastAsia="Arial" w:hAnsi="Arial"/>
          <w:sz w:val="17"/>
          <w:szCs w:val="17"/>
          <w:color w:val="auto"/>
        </w:rPr>
        <w:t>incorporation to effect the Stock Split, which became effective upon filing with the Secretary of State of the State of Delaware on July 16, 2021</w:t>
      </w:r>
      <w:r>
        <w:rPr>
          <w:rFonts w:ascii="Arial" w:cs="Arial" w:eastAsia="Arial" w:hAnsi="Arial"/>
          <w:sz w:val="21"/>
          <w:szCs w:val="21"/>
          <w:color w:val="auto"/>
        </w:rPr>
        <w:t>.</w:t>
      </w:r>
    </w:p>
    <w:p>
      <w:pPr>
        <w:spacing w:after="0" w:line="155" w:lineRule="exact"/>
        <w:rPr>
          <w:sz w:val="20"/>
          <w:szCs w:val="20"/>
          <w:color w:val="auto"/>
        </w:rPr>
      </w:pPr>
    </w:p>
    <w:p>
      <w:pPr>
        <w:jc w:val="both"/>
        <w:ind w:left="20" w:right="20" w:firstLine="509"/>
        <w:spacing w:after="0" w:line="248" w:lineRule="auto"/>
        <w:rPr>
          <w:sz w:val="20"/>
          <w:szCs w:val="20"/>
          <w:color w:val="auto"/>
        </w:rPr>
      </w:pPr>
      <w:r>
        <w:rPr>
          <w:rFonts w:ascii="Arial" w:cs="Arial" w:eastAsia="Arial" w:hAnsi="Arial"/>
          <w:sz w:val="18"/>
          <w:szCs w:val="18"/>
          <w:color w:val="auto"/>
        </w:rPr>
        <w:t>On July 16, 2021, the Board and the Company’s stockholders approved an amendment and restatement of the Company’s certificate of incorporation, which became effective immediately following the closing of the IPO on July 27, 2021 and filing with the Secretary of State of the State of Delaware.</w:t>
      </w:r>
    </w:p>
    <w:p>
      <w:pPr>
        <w:spacing w:after="0" w:line="137"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Plans</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March 31, 2022, the Company had three stock-based compensation plans (the “Plans”) which are described below.</w:t>
      </w:r>
    </w:p>
    <w:p>
      <w:pPr>
        <w:spacing w:after="0" w:line="18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Equity Incentive Plan</w:t>
      </w:r>
    </w:p>
    <w:p>
      <w:pPr>
        <w:spacing w:after="0" w:line="185" w:lineRule="exact"/>
        <w:rPr>
          <w:sz w:val="20"/>
          <w:szCs w:val="20"/>
          <w:color w:val="auto"/>
        </w:rPr>
      </w:pPr>
    </w:p>
    <w:p>
      <w:pPr>
        <w:jc w:val="both"/>
        <w:ind w:left="20" w:right="20" w:firstLine="509"/>
        <w:spacing w:after="0" w:line="243" w:lineRule="auto"/>
        <w:rPr>
          <w:sz w:val="20"/>
          <w:szCs w:val="20"/>
          <w:color w:val="auto"/>
        </w:rPr>
      </w:pPr>
      <w:r>
        <w:rPr>
          <w:rFonts w:ascii="Arial" w:cs="Arial" w:eastAsia="Arial" w:hAnsi="Arial"/>
          <w:sz w:val="18"/>
          <w:szCs w:val="18"/>
          <w:color w:val="auto"/>
        </w:rPr>
        <w:t>In March 2015, the Board approved the 2015 Equity Incentive Plan (“2015 Plan”), which provided for the granting of stock options to employees, directors and consultants of the Company. As of the effective date of the 2021 Plan described below, the 2015 Plan was terminated and no further equity awards may be granted pursuant to the 2015 Plan. Outstanding stock options granted under the 2015 Plan will continue to be governed by the provisions of the 2015 Plan until expiration or exercise, whichever is earlier.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Equity Incentive Plan</w:t>
      </w:r>
    </w:p>
    <w:p>
      <w:pPr>
        <w:spacing w:after="0" w:line="185" w:lineRule="exact"/>
        <w:rPr>
          <w:sz w:val="20"/>
          <w:szCs w:val="20"/>
          <w:color w:val="auto"/>
        </w:rPr>
      </w:pPr>
    </w:p>
    <w:p>
      <w:pPr>
        <w:jc w:val="both"/>
        <w:ind w:left="20" w:right="20" w:firstLine="509"/>
        <w:spacing w:after="0" w:line="272" w:lineRule="auto"/>
        <w:rPr>
          <w:sz w:val="20"/>
          <w:szCs w:val="20"/>
          <w:color w:val="auto"/>
        </w:rPr>
      </w:pPr>
      <w:r>
        <w:rPr>
          <w:rFonts w:ascii="Arial" w:cs="Arial" w:eastAsia="Arial" w:hAnsi="Arial"/>
          <w:sz w:val="16"/>
          <w:szCs w:val="16"/>
          <w:color w:val="auto"/>
        </w:rPr>
        <w:t>In July 2021, the Board approved the 2021 Equity Incentive Plan (the “2021 Plan”), which provides for the granting of stock options, stock appreciation rights, restricted stock awards, restricted stock unit ("RSU") awards, performance awards, and other awards to employees, directors and consultants of the Company. The 2021 Plan became effective on July 22, 2021 in connection with the IPO. Upon the 2021 Plan’s effective date, there were 18,000,000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2021 Plan will increase automatically by an amount equal to 4% of the number of shares of the Company’s common stock outstanding on the preceding December 31, unless the Company’s Board of Directors elects to authorize a lesser number of shares prior to the applicable January 1. As of March 31, 2022, the total number of shares of common stock available for issuance under the 2021 Plan was 19,166,790 shares.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Employee Stock Purchase Plan</w:t>
      </w:r>
    </w:p>
    <w:p>
      <w:pPr>
        <w:spacing w:after="0" w:line="185" w:lineRule="exact"/>
        <w:rPr>
          <w:sz w:val="20"/>
          <w:szCs w:val="20"/>
          <w:color w:val="auto"/>
        </w:rPr>
      </w:pPr>
    </w:p>
    <w:p>
      <w:pPr>
        <w:jc w:val="both"/>
        <w:ind w:left="20" w:right="20" w:firstLine="509"/>
        <w:spacing w:after="0" w:line="257" w:lineRule="auto"/>
        <w:rPr>
          <w:sz w:val="20"/>
          <w:szCs w:val="20"/>
          <w:color w:val="auto"/>
        </w:rPr>
      </w:pPr>
      <w:r>
        <w:rPr>
          <w:rFonts w:ascii="Arial" w:cs="Arial" w:eastAsia="Arial" w:hAnsi="Arial"/>
          <w:sz w:val="17"/>
          <w:szCs w:val="17"/>
          <w:color w:val="auto"/>
        </w:rPr>
        <w:t>In July 2021, the Board approved the 2021 Employee Stock Purchase Plan (the “ESPP”). The ESPP became effective on July 22, 2021 in connection with the IPO. Upon the ESPP’s effective date, there were 2,000,000 shares of the Company’s common stock reserved for issuance thereunder. On January 1 of each year commencing after the effective date of the IPO and continuing through and including January 1, 2031, the number of shares of the Company’s common stock reserved for issuance under the ESPP will increase automatically by an amount equal to the lesser of (1) 1% of the number of shares of the Company’s common stock outstanding on the preceding December 31, (2) 5,000,000 shares and (3) a number of shares determined by the Board. As of March 31, 2022, none of the shares have been purchased under the ESPP plan.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valuation assumptions</w:t>
      </w:r>
    </w:p>
    <w:p>
      <w:pPr>
        <w:spacing w:after="0" w:line="185" w:lineRule="exact"/>
        <w:rPr>
          <w:sz w:val="20"/>
          <w:szCs w:val="20"/>
          <w:color w:val="auto"/>
        </w:rPr>
      </w:pPr>
    </w:p>
    <w:p>
      <w:pPr>
        <w:jc w:val="both"/>
        <w:ind w:left="20" w:right="20" w:firstLine="509"/>
        <w:spacing w:after="0" w:line="255" w:lineRule="auto"/>
        <w:rPr>
          <w:sz w:val="20"/>
          <w:szCs w:val="20"/>
          <w:color w:val="auto"/>
        </w:rPr>
      </w:pPr>
      <w:r>
        <w:rPr>
          <w:rFonts w:ascii="Arial" w:cs="Arial" w:eastAsia="Arial" w:hAnsi="Arial"/>
          <w:sz w:val="17"/>
          <w:szCs w:val="17"/>
          <w:color w:val="auto"/>
        </w:rPr>
        <w:t>The Company estimates the fair value of each stock option grant on the date of grant using the Black-Scholes option pricing model. The model assumptions include expected volatility, expected term, dividend yield, and the risk-free interest rate. The expected volatility was based on the volatility of a group of similar entities. The Company derived expected term by using the “simplified” method (the expected term is determined as the average of the time-to-vesting and contractual life of the option), as the Company has limited historical information to develop expectations about future exercise patterns and post vesting employment termination behavior. The Company based the risk-free rate on U.S. Treasury zero-coupon issues with remaining terms similar to the expected term of the option. The Company has never paid any dividends and does not anticipate paying dividends in the foreseeable future, and therefore used an expected dividend yield of zero in the valuation model.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stock option activity during the periods indicated (in thousands except share and per 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ind w:right="2"/>
              <w:spacing w:after="0"/>
              <w:rPr>
                <w:sz w:val="20"/>
                <w:szCs w:val="20"/>
                <w:color w:val="auto"/>
              </w:rPr>
            </w:pPr>
            <w:r>
              <w:rPr>
                <w:rFonts w:ascii="Arial" w:cs="Arial" w:eastAsia="Arial" w:hAnsi="Arial"/>
                <w:sz w:val="14"/>
                <w:szCs w:val="14"/>
                <w:b w:val="1"/>
                <w:bCs w:val="1"/>
                <w:color w:val="auto"/>
                <w:w w:val="91"/>
              </w:rPr>
              <w:t>Weighted-average</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4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7"/>
              </w:rPr>
              <w:t>Number of options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1"/>
              </w:rPr>
              <w:t>Weighted-average</w:t>
            </w:r>
          </w:p>
        </w:tc>
        <w:tc>
          <w:tcPr>
            <w:tcW w:w="160" w:type="dxa"/>
            <w:vAlign w:val="bottom"/>
          </w:tcPr>
          <w:p>
            <w:pPr>
              <w:spacing w:after="0"/>
              <w:rPr>
                <w:sz w:val="12"/>
                <w:szCs w:val="12"/>
                <w:color w:val="auto"/>
              </w:rPr>
            </w:pPr>
          </w:p>
        </w:tc>
        <w:tc>
          <w:tcPr>
            <w:tcW w:w="142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440" w:type="dxa"/>
            <w:vAlign w:val="bottom"/>
            <w:gridSpan w:val="2"/>
            <w:vMerge w:val="restart"/>
          </w:tcPr>
          <w:p>
            <w:pPr>
              <w:jc w:val="right"/>
              <w:ind w:right="95"/>
              <w:spacing w:after="0"/>
              <w:rPr>
                <w:sz w:val="20"/>
                <w:szCs w:val="20"/>
                <w:color w:val="auto"/>
              </w:rPr>
            </w:pPr>
            <w:r>
              <w:rPr>
                <w:rFonts w:ascii="Arial" w:cs="Arial" w:eastAsia="Arial" w:hAnsi="Arial"/>
                <w:sz w:val="14"/>
                <w:szCs w:val="14"/>
                <w:b w:val="1"/>
                <w:bCs w:val="1"/>
                <w:color w:val="auto"/>
                <w:w w:val="97"/>
              </w:rPr>
              <w:t>Aggregate intrinsic</w:t>
            </w:r>
          </w:p>
        </w:tc>
        <w:tc>
          <w:tcPr>
            <w:tcW w:w="0" w:type="dxa"/>
            <w:vAlign w:val="bottom"/>
          </w:tcPr>
          <w:p>
            <w:pPr>
              <w:spacing w:after="0"/>
              <w:rPr>
                <w:sz w:val="1"/>
                <w:szCs w:val="1"/>
                <w:color w:val="auto"/>
              </w:rPr>
            </w:pPr>
          </w:p>
        </w:tc>
      </w:tr>
      <w:tr>
        <w:trPr>
          <w:trHeight w:val="148"/>
        </w:trPr>
        <w:tc>
          <w:tcPr>
            <w:tcW w:w="49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contractual term (in</w:t>
            </w: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80" w:type="dxa"/>
            <w:vAlign w:val="bottom"/>
          </w:tcPr>
          <w:p>
            <w:pPr>
              <w:spacing w:after="0"/>
              <w:rPr>
                <w:sz w:val="16"/>
                <w:szCs w:val="16"/>
                <w:color w:val="auto"/>
              </w:rPr>
            </w:pPr>
          </w:p>
        </w:tc>
        <w:tc>
          <w:tcPr>
            <w:tcW w:w="14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exercise price</w:t>
            </w:r>
          </w:p>
        </w:tc>
        <w:tc>
          <w:tcPr>
            <w:tcW w:w="16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as of December 31, 2021</w:t>
            </w:r>
          </w:p>
        </w:tc>
        <w:tc>
          <w:tcPr>
            <w:tcW w:w="14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8,805,850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6.56</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8.03</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6"/>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147,623</w:t>
            </w:r>
          </w:p>
        </w:tc>
        <w:tc>
          <w:tcPr>
            <w:tcW w:w="0" w:type="dxa"/>
            <w:vAlign w:val="bottom"/>
          </w:tcPr>
          <w:p>
            <w:pPr>
              <w:spacing w:after="0"/>
              <w:rPr>
                <w:sz w:val="1"/>
                <w:szCs w:val="1"/>
                <w:color w:val="auto"/>
              </w:rPr>
            </w:pPr>
          </w:p>
        </w:tc>
      </w:tr>
      <w:tr>
        <w:trPr>
          <w:trHeight w:val="203"/>
        </w:trPr>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Options granted</w:t>
            </w:r>
          </w:p>
        </w:tc>
        <w:tc>
          <w:tcPr>
            <w:tcW w:w="14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458,359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13.64</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Options exercised</w:t>
            </w: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(493,267 )</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0.75</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00"/>
              <w:spacing w:after="0" w:line="202" w:lineRule="exact"/>
              <w:rPr>
                <w:sz w:val="20"/>
                <w:szCs w:val="20"/>
                <w:color w:val="auto"/>
              </w:rPr>
            </w:pPr>
            <w:r>
              <w:rPr>
                <w:rFonts w:ascii="Arial" w:cs="Arial" w:eastAsia="Arial" w:hAnsi="Arial"/>
                <w:sz w:val="18"/>
                <w:szCs w:val="18"/>
                <w:color w:val="auto"/>
              </w:rPr>
              <w:t>Options forfeited</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(437,588 )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9.49</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Options expired</w:t>
            </w: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(25,664 )</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w:t>
            </w:r>
          </w:p>
        </w:tc>
        <w:tc>
          <w:tcPr>
            <w:tcW w:w="16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Pr>
          <w:p>
            <w:pPr>
              <w:ind w:left="20"/>
              <w:spacing w:after="0" w:line="196" w:lineRule="exact"/>
              <w:rPr>
                <w:sz w:val="20"/>
                <w:szCs w:val="20"/>
                <w:color w:val="auto"/>
              </w:rPr>
            </w:pPr>
            <w:r>
              <w:rPr>
                <w:rFonts w:ascii="Arial" w:cs="Arial" w:eastAsia="Arial" w:hAnsi="Arial"/>
                <w:sz w:val="18"/>
                <w:szCs w:val="18"/>
                <w:color w:val="auto"/>
              </w:rPr>
              <w:t>Balance as of March 31, 2022</w:t>
            </w:r>
          </w:p>
        </w:tc>
        <w:tc>
          <w:tcPr>
            <w:tcW w:w="1460" w:type="dxa"/>
            <w:vAlign w:val="bottom"/>
          </w:tcPr>
          <w:p>
            <w:pPr>
              <w:jc w:val="right"/>
              <w:ind w:right="34"/>
              <w:spacing w:after="0" w:line="196" w:lineRule="exact"/>
              <w:rPr>
                <w:sz w:val="20"/>
                <w:szCs w:val="20"/>
                <w:color w:val="auto"/>
              </w:rPr>
            </w:pPr>
            <w:r>
              <w:rPr>
                <w:rFonts w:ascii="Arial" w:cs="Arial" w:eastAsia="Arial" w:hAnsi="Arial"/>
                <w:sz w:val="18"/>
                <w:szCs w:val="18"/>
                <w:color w:val="auto"/>
              </w:rPr>
              <w:t>8,307,690</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7.15</w:t>
            </w:r>
          </w:p>
        </w:tc>
        <w:tc>
          <w:tcPr>
            <w:tcW w:w="15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7.89</w:t>
            </w:r>
          </w:p>
        </w:tc>
        <w:tc>
          <w:tcPr>
            <w:tcW w:w="480" w:type="dxa"/>
            <w:vAlign w:val="bottom"/>
            <w:gridSpan w:val="2"/>
          </w:tcPr>
          <w:p>
            <w:pPr>
              <w:jc w:val="right"/>
              <w:ind w:right="116"/>
              <w:spacing w:after="0" w:line="196"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47,674,457</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Options exercisable as of March 31, 2022</w:t>
            </w:r>
          </w:p>
        </w:tc>
        <w:tc>
          <w:tcPr>
            <w:tcW w:w="1460" w:type="dxa"/>
            <w:vAlign w:val="bottom"/>
            <w:tcBorders>
              <w:bottom w:val="single" w:sz="8" w:color="auto"/>
            </w:tcBorders>
            <w:shd w:val="clear" w:color="auto" w:fill="CFF0FC"/>
          </w:tcPr>
          <w:p>
            <w:pPr>
              <w:jc w:val="right"/>
              <w:ind w:right="34"/>
              <w:spacing w:after="0" w:line="183" w:lineRule="exact"/>
              <w:rPr>
                <w:sz w:val="20"/>
                <w:szCs w:val="20"/>
                <w:color w:val="auto"/>
              </w:rPr>
            </w:pPr>
            <w:r>
              <w:rPr>
                <w:rFonts w:ascii="Arial" w:cs="Arial" w:eastAsia="Arial" w:hAnsi="Arial"/>
                <w:sz w:val="18"/>
                <w:szCs w:val="18"/>
                <w:color w:val="auto"/>
              </w:rPr>
              <w:t>3,156,445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0.99</w:t>
            </w: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6.25</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6"/>
              <w:spacing w:after="0" w:line="18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30,969,411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-313690</wp:posOffset>
            </wp:positionV>
            <wp:extent cx="11176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-313690</wp:posOffset>
            </wp:positionV>
            <wp:extent cx="10287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-313690</wp:posOffset>
            </wp:positionV>
            <wp:extent cx="10287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1117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1117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1028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1028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1028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1028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76" w:lineRule="exact"/>
        <w:rPr>
          <w:sz w:val="20"/>
          <w:szCs w:val="20"/>
          <w:color w:val="auto"/>
        </w:rPr>
      </w:pPr>
    </w:p>
    <w:p>
      <w:pPr>
        <w:ind w:right="260" w:firstLine="581"/>
        <w:spacing w:after="0" w:line="261" w:lineRule="auto"/>
        <w:rPr>
          <w:sz w:val="20"/>
          <w:szCs w:val="20"/>
          <w:color w:val="auto"/>
        </w:rPr>
      </w:pPr>
      <w:r>
        <w:rPr>
          <w:rFonts w:ascii="Arial" w:cs="Arial" w:eastAsia="Arial" w:hAnsi="Arial"/>
          <w:sz w:val="18"/>
          <w:szCs w:val="18"/>
          <w:color w:val="auto"/>
        </w:rPr>
        <w:t>The weighted-average grant date fair value of options granted during the three months ended March 31, 2022 and 2021 was $9.04 and $3.49 per share,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22</w:t>
      </w:r>
    </w:p>
    <w:p>
      <w:pPr>
        <w:spacing w:after="0" w:line="104" w:lineRule="exact"/>
        <w:rPr>
          <w:sz w:val="20"/>
          <w:szCs w:val="20"/>
          <w:color w:val="auto"/>
        </w:rPr>
      </w:pPr>
    </w:p>
    <w:p>
      <w:pPr>
        <w:ind w:right="800" w:firstLine="554"/>
        <w:spacing w:after="0" w:line="324" w:lineRule="auto"/>
        <w:rPr>
          <w:sz w:val="20"/>
          <w:szCs w:val="20"/>
          <w:color w:val="auto"/>
        </w:rPr>
      </w:pPr>
      <w:r>
        <w:rPr>
          <w:rFonts w:ascii="Arial" w:cs="Arial" w:eastAsia="Arial" w:hAnsi="Arial"/>
          <w:sz w:val="16"/>
          <w:szCs w:val="16"/>
          <w:color w:val="auto"/>
        </w:rPr>
        <w:t>There was $37.1 million of unrecognized stock-based compensation expense related to unvested stock options as of March 31, 2022. The unrecognized stock-based compensation expense is estimated to be recognized over a period of 2.86 years as of March 31, 2022.</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currently uses authorized and unissued shares to satisfy option exercises</w:t>
      </w:r>
      <w:r>
        <w:rPr>
          <w:rFonts w:ascii="Arial" w:cs="Arial" w:eastAsia="Arial" w:hAnsi="Arial"/>
          <w:sz w:val="21"/>
          <w:szCs w:val="21"/>
          <w:color w:val="auto"/>
        </w:rPr>
        <w:t>.</w:t>
      </w:r>
    </w:p>
    <w:p>
      <w:pPr>
        <w:spacing w:after="0" w:line="225" w:lineRule="exact"/>
        <w:rPr>
          <w:sz w:val="20"/>
          <w:szCs w:val="20"/>
          <w:color w:val="auto"/>
        </w:rPr>
      </w:pPr>
    </w:p>
    <w:p>
      <w:pPr>
        <w:ind w:firstLine="563"/>
        <w:spacing w:after="0" w:line="274" w:lineRule="auto"/>
        <w:rPr>
          <w:sz w:val="20"/>
          <w:szCs w:val="20"/>
          <w:color w:val="auto"/>
        </w:rPr>
      </w:pPr>
      <w:r>
        <w:rPr>
          <w:rFonts w:ascii="Arial" w:cs="Arial" w:eastAsia="Arial" w:hAnsi="Arial"/>
          <w:sz w:val="18"/>
          <w:szCs w:val="18"/>
          <w:color w:val="auto"/>
        </w:rPr>
        <w:t>The aggregate intrinsic value is calculated as the difference between the exercise price and the estimated fair value of the Company’s common stock as of March 31, 2022</w:t>
      </w:r>
      <w:r>
        <w:rPr>
          <w:rFonts w:ascii="Arial" w:cs="Arial" w:eastAsia="Arial" w:hAnsi="Arial"/>
          <w:sz w:val="21"/>
          <w:szCs w:val="21"/>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 Awards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RSU awards activity during the periods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680" w:type="dxa"/>
            <w:vAlign w:val="bottom"/>
            <w:vMerge w:val="restart"/>
          </w:tcPr>
          <w:p>
            <w:pPr>
              <w:jc w:val="right"/>
              <w:ind w:right="593"/>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16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w w:val="94"/>
              </w:rPr>
              <w:t>Weighted-average grant</w:t>
            </w: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5"/>
              </w:rPr>
              <w:t>date fair value per share</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balance at December 31, 2021</w:t>
            </w:r>
          </w:p>
        </w:tc>
        <w:tc>
          <w:tcPr>
            <w:tcW w:w="168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104,876</w:t>
            </w: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59"/>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6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1,025,743</w:t>
            </w:r>
          </w:p>
        </w:tc>
        <w:tc>
          <w:tcPr>
            <w:tcW w:w="840" w:type="dxa"/>
            <w:vAlign w:val="bottom"/>
            <w:gridSpan w:val="2"/>
          </w:tcPr>
          <w:p>
            <w:pPr>
              <w:jc w:val="right"/>
              <w:ind w:right="459"/>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Forfeited</w:t>
            </w:r>
          </w:p>
        </w:tc>
        <w:tc>
          <w:tcPr>
            <w:tcW w:w="1680" w:type="dxa"/>
            <w:vAlign w:val="bottom"/>
          </w:tcPr>
          <w:p>
            <w:pPr>
              <w:jc w:val="right"/>
              <w:spacing w:after="0" w:line="202" w:lineRule="exact"/>
              <w:rPr>
                <w:sz w:val="20"/>
                <w:szCs w:val="20"/>
                <w:color w:val="auto"/>
              </w:rPr>
            </w:pPr>
            <w:r>
              <w:rPr>
                <w:rFonts w:ascii="Arial" w:cs="Arial" w:eastAsia="Arial" w:hAnsi="Arial"/>
                <w:sz w:val="18"/>
                <w:szCs w:val="18"/>
                <w:color w:val="auto"/>
              </w:rPr>
              <w:t>(9,802 )</w:t>
            </w:r>
          </w:p>
        </w:tc>
        <w:tc>
          <w:tcPr>
            <w:tcW w:w="840" w:type="dxa"/>
            <w:vAlign w:val="bottom"/>
            <w:gridSpan w:val="2"/>
          </w:tcPr>
          <w:p>
            <w:pPr>
              <w:jc w:val="right"/>
              <w:ind w:right="459"/>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balance at March 31, 2022</w:t>
            </w:r>
          </w:p>
        </w:tc>
        <w:tc>
          <w:tcPr>
            <w:tcW w:w="1680" w:type="dxa"/>
            <w:vAlign w:val="bottom"/>
            <w:tcBorders>
              <w:top w:val="single" w:sz="8" w:color="auto"/>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1,120,817</w:t>
            </w:r>
          </w:p>
        </w:tc>
        <w:tc>
          <w:tcPr>
            <w:tcW w:w="20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ind w:right="459"/>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-25400</wp:posOffset>
            </wp:positionV>
            <wp:extent cx="1200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200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74" w:lineRule="exact"/>
        <w:rPr>
          <w:sz w:val="20"/>
          <w:szCs w:val="20"/>
          <w:color w:val="auto"/>
        </w:rPr>
      </w:pPr>
    </w:p>
    <w:p>
      <w:pPr>
        <w:ind w:right="900" w:firstLine="509"/>
        <w:spacing w:after="0" w:line="324" w:lineRule="auto"/>
        <w:rPr>
          <w:sz w:val="20"/>
          <w:szCs w:val="20"/>
          <w:color w:val="auto"/>
        </w:rPr>
      </w:pPr>
      <w:r>
        <w:rPr>
          <w:rFonts w:ascii="Arial" w:cs="Arial" w:eastAsia="Arial" w:hAnsi="Arial"/>
          <w:sz w:val="16"/>
          <w:szCs w:val="16"/>
          <w:color w:val="auto"/>
        </w:rPr>
        <w:t>There was $15.0 million of unrecognized stock-based compensation expense related to unvested RSU awards as of March 31, 2022. The unrecognized stock-based compensation expense is estimated to be recognized over a period of 3.87 years as of March 31, 2022.</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shows the allocation of stock-based compensation expense related to the Company’s stock-based awards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r>
      <w:tr>
        <w:trPr>
          <w:trHeight w:val="169"/>
        </w:trPr>
        <w:tc>
          <w:tcPr>
            <w:tcW w:w="7680" w:type="dxa"/>
            <w:vAlign w:val="bottom"/>
          </w:tcPr>
          <w:p>
            <w:pPr>
              <w:spacing w:after="0"/>
              <w:rPr>
                <w:sz w:val="14"/>
                <w:szCs w:val="14"/>
                <w:color w:val="auto"/>
              </w:rPr>
            </w:pPr>
          </w:p>
        </w:tc>
        <w:tc>
          <w:tcPr>
            <w:tcW w:w="1080" w:type="dxa"/>
            <w:vAlign w:val="bottom"/>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4"/>
                <w:szCs w:val="14"/>
                <w:color w:val="auto"/>
              </w:rPr>
            </w:pPr>
          </w:p>
        </w:tc>
        <w:tc>
          <w:tcPr>
            <w:tcW w:w="13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4"/>
                <w:szCs w:val="14"/>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Cost of sales</w:t>
            </w:r>
          </w:p>
        </w:tc>
        <w:tc>
          <w:tcPr>
            <w:tcW w:w="1080" w:type="dxa"/>
            <w:vAlign w:val="bottom"/>
            <w:tcBorders>
              <w:top w:val="single" w:sz="8" w:color="auto"/>
            </w:tcBorders>
            <w:shd w:val="clear" w:color="auto" w:fill="CFF0FC"/>
          </w:tcPr>
          <w:p>
            <w:pPr>
              <w:jc w:val="right"/>
              <w:ind w:right="899"/>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707</w:t>
            </w:r>
          </w:p>
        </w:tc>
        <w:tc>
          <w:tcPr>
            <w:tcW w:w="20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ind w:right="95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10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1,265</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119</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Sales and marketing</w:t>
            </w:r>
          </w:p>
        </w:tc>
        <w:tc>
          <w:tcPr>
            <w:tcW w:w="10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778</w:t>
            </w: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130</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10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1,087</w:t>
            </w:r>
          </w:p>
        </w:tc>
        <w:tc>
          <w:tcPr>
            <w:tcW w:w="2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95</w:t>
            </w:r>
          </w:p>
        </w:tc>
      </w:tr>
      <w:tr>
        <w:trPr>
          <w:trHeight w:val="236"/>
        </w:trPr>
        <w:tc>
          <w:tcPr>
            <w:tcW w:w="76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stock-based compensation</w:t>
            </w:r>
          </w:p>
        </w:tc>
        <w:tc>
          <w:tcPr>
            <w:tcW w:w="1080" w:type="dxa"/>
            <w:vAlign w:val="bottom"/>
            <w:tcBorders>
              <w:bottom w:val="single" w:sz="8" w:color="auto"/>
            </w:tcBorders>
            <w:shd w:val="clear" w:color="auto" w:fill="CFF0FC"/>
          </w:tcPr>
          <w:p>
            <w:pPr>
              <w:jc w:val="right"/>
              <w:ind w:right="899"/>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3,837</w:t>
            </w:r>
          </w:p>
        </w:tc>
        <w:tc>
          <w:tcPr>
            <w:tcW w:w="2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95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200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the weighted-average valuation assumptions used in determining the fair value of employee stock options: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b w:val="1"/>
                <w:bCs w:val="1"/>
                <w:color w:val="auto"/>
              </w:rPr>
              <w:t>2022</w:t>
            </w:r>
          </w:p>
        </w:tc>
        <w:tc>
          <w:tcPr>
            <w:tcW w:w="18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spacing w:after="0"/>
              <w:rPr>
                <w:sz w:val="14"/>
                <w:szCs w:val="14"/>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Expected term (in years)</w:t>
            </w:r>
          </w:p>
        </w:tc>
        <w:tc>
          <w:tcPr>
            <w:tcW w:w="10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ind w:right="134"/>
              <w:spacing w:after="0" w:line="196" w:lineRule="exact"/>
              <w:rPr>
                <w:sz w:val="20"/>
                <w:szCs w:val="20"/>
                <w:color w:val="auto"/>
              </w:rPr>
            </w:pPr>
            <w:r>
              <w:rPr>
                <w:rFonts w:ascii="Arial" w:cs="Arial" w:eastAsia="Arial" w:hAnsi="Arial"/>
                <w:sz w:val="18"/>
                <w:szCs w:val="18"/>
                <w:color w:val="auto"/>
              </w:rPr>
              <w:t>6.02</w:t>
            </w:r>
          </w:p>
        </w:tc>
        <w:tc>
          <w:tcPr>
            <w:tcW w:w="200" w:type="dxa"/>
            <w:vAlign w:val="bottom"/>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rPr>
              <w:t>5.98</w:t>
            </w:r>
          </w:p>
        </w:tc>
      </w:tr>
      <w:tr>
        <w:trPr>
          <w:trHeight w:val="203"/>
        </w:trPr>
        <w:tc>
          <w:tcPr>
            <w:tcW w:w="86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75 %</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91 %</w:t>
            </w:r>
          </w:p>
        </w:tc>
      </w:tr>
      <w:tr>
        <w:trPr>
          <w:trHeight w:val="203"/>
        </w:trPr>
        <w:tc>
          <w:tcPr>
            <w:tcW w:w="86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r>
      <w:tr>
        <w:trPr>
          <w:trHeight w:val="230"/>
        </w:trPr>
        <w:tc>
          <w:tcPr>
            <w:tcW w:w="868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1880" w:type="dxa"/>
            <w:vAlign w:val="bottom"/>
            <w:gridSpan w:val="3"/>
          </w:tcPr>
          <w:p>
            <w:pPr>
              <w:jc w:val="right"/>
              <w:ind w:right="14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r>
    </w:tbl>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stock-based compensation recorded for the ESPP was $163,000 for the three months ended March 31, 2022.</w:t>
      </w:r>
    </w:p>
    <w:p>
      <w:pPr>
        <w:spacing w:after="0" w:line="12" w:lineRule="exact"/>
        <w:rPr>
          <w:sz w:val="20"/>
          <w:szCs w:val="20"/>
          <w:color w:val="auto"/>
        </w:rPr>
      </w:pPr>
    </w:p>
    <w:p>
      <w:pPr>
        <w:ind w:right="300" w:firstLine="45"/>
        <w:spacing w:after="0" w:line="303" w:lineRule="auto"/>
        <w:rPr>
          <w:sz w:val="20"/>
          <w:szCs w:val="20"/>
          <w:color w:val="auto"/>
        </w:rPr>
      </w:pPr>
      <w:r>
        <w:rPr>
          <w:rFonts w:ascii="Arial" w:cs="Arial" w:eastAsia="Arial" w:hAnsi="Arial"/>
          <w:sz w:val="16"/>
          <w:szCs w:val="16"/>
          <w:color w:val="auto"/>
        </w:rPr>
        <w:t>The Company's first offering under the ESPP to qualified employees commenced on December 1, 2021. The following table summarizes the weighted-average assumptions used in estimating the fair value of the ESPP for the initial offering period using the Black-Scholes option-pricing model:</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gridSpan w:val="2"/>
            <w:vMerge w:val="restart"/>
          </w:tcPr>
          <w:p>
            <w:pPr>
              <w:ind w:left="7720"/>
              <w:spacing w:after="0"/>
              <w:rPr>
                <w:sz w:val="20"/>
                <w:szCs w:val="20"/>
                <w:color w:val="auto"/>
              </w:rPr>
            </w:pPr>
            <w:r>
              <w:rPr>
                <w:rFonts w:ascii="Arial" w:cs="Arial" w:eastAsia="Arial" w:hAnsi="Arial"/>
                <w:sz w:val="14"/>
                <w:szCs w:val="14"/>
                <w:b w:val="1"/>
                <w:bCs w:val="1"/>
                <w:color w:val="auto"/>
                <w:w w:val="89"/>
              </w:rPr>
              <w:t>2022</w:t>
            </w:r>
          </w:p>
        </w:tc>
        <w:tc>
          <w:tcPr>
            <w:tcW w:w="1940" w:type="dxa"/>
            <w:vAlign w:val="bottom"/>
          </w:tcPr>
          <w:p>
            <w:pPr>
              <w:jc w:val="right"/>
              <w:spacing w:after="0"/>
              <w:rPr>
                <w:sz w:val="20"/>
                <w:szCs w:val="20"/>
                <w:color w:val="auto"/>
              </w:rPr>
            </w:pPr>
            <w:r>
              <w:rPr>
                <w:rFonts w:ascii="Arial" w:cs="Arial" w:eastAsia="Arial" w:hAnsi="Arial"/>
                <w:sz w:val="14"/>
                <w:szCs w:val="14"/>
                <w:b w:val="1"/>
                <w:bCs w:val="1"/>
                <w:color w:val="auto"/>
                <w:w w:val="93"/>
              </w:rPr>
              <w:t>Three months ended March 31,</w:t>
            </w:r>
          </w:p>
        </w:tc>
        <w:tc>
          <w:tcPr>
            <w:tcW w:w="1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4"/>
        </w:trPr>
        <w:tc>
          <w:tcPr>
            <w:tcW w:w="8020" w:type="dxa"/>
            <w:vAlign w:val="bottom"/>
            <w:gridSpan w:val="2"/>
            <w:vMerge w:val="continue"/>
          </w:tcPr>
          <w:p>
            <w:pPr>
              <w:spacing w:after="0"/>
              <w:rPr>
                <w:sz w:val="15"/>
                <w:szCs w:val="15"/>
                <w:color w:val="auto"/>
              </w:rPr>
            </w:pPr>
          </w:p>
        </w:tc>
        <w:tc>
          <w:tcPr>
            <w:tcW w:w="19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Expected term (in years)</w:t>
            </w:r>
          </w:p>
        </w:tc>
        <w:tc>
          <w:tcPr>
            <w:tcW w:w="1060" w:type="dxa"/>
            <w:vAlign w:val="bottom"/>
            <w:tcBorders>
              <w:top w:val="single" w:sz="8" w:color="auto"/>
            </w:tcBorders>
            <w:shd w:val="clear" w:color="auto" w:fill="CFF0FC"/>
          </w:tcPr>
          <w:p>
            <w:pPr>
              <w:spacing w:after="0"/>
              <w:rPr>
                <w:sz w:val="17"/>
                <w:szCs w:val="17"/>
                <w:color w:val="auto"/>
              </w:rPr>
            </w:pPr>
          </w:p>
        </w:tc>
        <w:tc>
          <w:tcPr>
            <w:tcW w:w="1940" w:type="dxa"/>
            <w:vAlign w:val="bottom"/>
            <w:tcBorders>
              <w:top w:val="single" w:sz="8" w:color="auto"/>
            </w:tcBorders>
            <w:shd w:val="clear" w:color="auto" w:fill="CFF0FC"/>
          </w:tcPr>
          <w:p>
            <w:pPr>
              <w:jc w:val="right"/>
              <w:ind w:right="1114"/>
              <w:spacing w:after="0" w:line="196" w:lineRule="exact"/>
              <w:rPr>
                <w:sz w:val="20"/>
                <w:szCs w:val="20"/>
                <w:color w:val="auto"/>
              </w:rPr>
            </w:pPr>
            <w:r>
              <w:rPr>
                <w:rFonts w:ascii="Arial" w:cs="Arial" w:eastAsia="Arial" w:hAnsi="Arial"/>
                <w:sz w:val="18"/>
                <w:szCs w:val="18"/>
                <w:color w:val="auto"/>
              </w:rPr>
              <w:t>0.5</w:t>
            </w:r>
          </w:p>
        </w:tc>
        <w:tc>
          <w:tcPr>
            <w:tcW w:w="1280" w:type="dxa"/>
            <w:vAlign w:val="bottom"/>
            <w:tcBorders>
              <w:top w:val="single" w:sz="8" w:color="auto"/>
            </w:tcBorders>
            <w:shd w:val="clear" w:color="auto" w:fill="CFF0FC"/>
          </w:tcPr>
          <w:p>
            <w:pPr>
              <w:ind w:left="88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0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940" w:type="dxa"/>
            <w:vAlign w:val="bottom"/>
          </w:tcPr>
          <w:p>
            <w:pPr>
              <w:jc w:val="right"/>
              <w:ind w:right="934"/>
              <w:spacing w:after="0" w:line="202" w:lineRule="exact"/>
              <w:rPr>
                <w:sz w:val="20"/>
                <w:szCs w:val="20"/>
                <w:color w:val="auto"/>
              </w:rPr>
            </w:pPr>
            <w:r>
              <w:rPr>
                <w:rFonts w:ascii="Arial" w:cs="Arial" w:eastAsia="Arial" w:hAnsi="Arial"/>
                <w:sz w:val="18"/>
                <w:szCs w:val="18"/>
                <w:color w:val="auto"/>
              </w:rPr>
              <w:t>75 %</w:t>
            </w:r>
          </w:p>
        </w:tc>
        <w:tc>
          <w:tcPr>
            <w:tcW w:w="1280" w:type="dxa"/>
            <w:vAlign w:val="bottom"/>
          </w:tcPr>
          <w:p>
            <w:pPr>
              <w:ind w:left="880"/>
              <w:spacing w:after="0" w:line="202" w:lineRule="exact"/>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940" w:type="dxa"/>
            <w:vAlign w:val="bottom"/>
            <w:shd w:val="clear" w:color="auto" w:fill="CFF0FC"/>
          </w:tcPr>
          <w:p>
            <w:pPr>
              <w:jc w:val="right"/>
              <w:ind w:right="934"/>
              <w:spacing w:after="0" w:line="202" w:lineRule="exact"/>
              <w:rPr>
                <w:sz w:val="20"/>
                <w:szCs w:val="20"/>
                <w:color w:val="auto"/>
              </w:rPr>
            </w:pPr>
            <w:r>
              <w:rPr>
                <w:rFonts w:ascii="Arial" w:cs="Arial" w:eastAsia="Arial" w:hAnsi="Arial"/>
                <w:sz w:val="18"/>
                <w:szCs w:val="18"/>
                <w:color w:val="auto"/>
              </w:rPr>
              <w:t>1 %</w:t>
            </w:r>
          </w:p>
        </w:tc>
        <w:tc>
          <w:tcPr>
            <w:tcW w:w="1280" w:type="dxa"/>
            <w:vAlign w:val="bottom"/>
            <w:shd w:val="clear" w:color="auto" w:fill="CFF0FC"/>
          </w:tcPr>
          <w:p>
            <w:pPr>
              <w:ind w:left="880"/>
              <w:spacing w:after="0" w:line="202" w:lineRule="exact"/>
              <w:rPr>
                <w:sz w:val="20"/>
                <w:szCs w:val="20"/>
                <w:color w:val="auto"/>
              </w:rPr>
            </w:pPr>
            <w:r>
              <w:rPr>
                <w:rFonts w:ascii="Arial" w:cs="Arial" w:eastAsia="Arial" w:hAnsi="Arial"/>
                <w:sz w:val="18"/>
                <w:szCs w:val="18"/>
                <w:color w:val="auto"/>
                <w:w w:val="97"/>
              </w:rPr>
              <w:t>— %</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Dividend yield</w:t>
            </w:r>
          </w:p>
        </w:tc>
        <w:tc>
          <w:tcPr>
            <w:tcW w:w="1940" w:type="dxa"/>
            <w:vAlign w:val="bottom"/>
          </w:tcPr>
          <w:p>
            <w:pPr>
              <w:jc w:val="right"/>
              <w:ind w:right="1114"/>
              <w:spacing w:after="0"/>
              <w:rPr>
                <w:sz w:val="20"/>
                <w:szCs w:val="20"/>
                <w:color w:val="auto"/>
              </w:rPr>
            </w:pPr>
            <w:r>
              <w:rPr>
                <w:rFonts w:ascii="Arial" w:cs="Arial" w:eastAsia="Arial" w:hAnsi="Arial"/>
                <w:sz w:val="18"/>
                <w:szCs w:val="18"/>
                <w:color w:val="auto"/>
              </w:rPr>
              <w:t>—</w:t>
            </w:r>
          </w:p>
        </w:tc>
        <w:tc>
          <w:tcPr>
            <w:tcW w:w="1280" w:type="dxa"/>
            <w:vAlign w:val="bottom"/>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26"/>
        </w:trPr>
        <w:tc>
          <w:tcPr>
            <w:tcW w:w="6960" w:type="dxa"/>
            <w:vAlign w:val="bottom"/>
          </w:tcPr>
          <w:p>
            <w:pPr>
              <w:ind w:left="5540"/>
              <w:spacing w:after="0"/>
              <w:rPr>
                <w:sz w:val="20"/>
                <w:szCs w:val="20"/>
                <w:color w:val="auto"/>
              </w:rPr>
            </w:pPr>
            <w:r>
              <w:rPr>
                <w:rFonts w:ascii="Arial" w:cs="Arial" w:eastAsia="Arial" w:hAnsi="Arial"/>
                <w:sz w:val="18"/>
                <w:szCs w:val="18"/>
                <w:color w:val="auto"/>
              </w:rPr>
              <w:t>22</w:t>
            </w:r>
          </w:p>
        </w:tc>
        <w:tc>
          <w:tcPr>
            <w:tcW w:w="1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9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23</w:t>
      </w:r>
    </w:p>
    <w:p>
      <w:pPr>
        <w:spacing w:after="0" w:line="100"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401(k) retirement savings plan</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currently maintains a 401(k) retirement savings plan the covers substantially all of its employees (“401(k) Plan”). The 401(k) Plan permits voluntary contributions by employees, a portion of which are matched by the Company. The Company’s contributions to the 401(k) Plan were approximately $249,000 and $170,000 for the three months ended March 31, 2022 and 2021, respectively.</w:t>
      </w:r>
    </w:p>
    <w:p>
      <w:pPr>
        <w:spacing w:after="0" w:line="151"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The Company's effective tax rate from continuing operations was 34.7% and 32.9% for the three months ended March 31, 2022 and 2021, respectively. The Company’s effective tax rate for the three months ended March 31, 2022 is higher than the U.S. federal statutory tax rate due to nondeductible stock-based compensation, the Company’s mix of earnings between various taxing jurisdictions, partially offset by a deduction for foreign-sourced revenue, and federal and state research credits. The effective income tax rate for the three months ended March 31, 2021 was higher than the U.S federal statutory tax rate primarily due to near breakeven results which caused an inflated tax rate.</w:t>
      </w:r>
    </w:p>
    <w:p>
      <w:pPr>
        <w:spacing w:after="0" w:line="77"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Lease</w:t>
      </w:r>
    </w:p>
    <w:p>
      <w:pPr>
        <w:spacing w:after="0" w:line="189" w:lineRule="exact"/>
        <w:rPr>
          <w:sz w:val="20"/>
          <w:szCs w:val="20"/>
          <w:color w:val="auto"/>
        </w:rPr>
      </w:pPr>
    </w:p>
    <w:p>
      <w:pPr>
        <w:jc w:val="both"/>
        <w:ind w:firstLine="554"/>
        <w:spacing w:after="0" w:line="241" w:lineRule="auto"/>
        <w:rPr>
          <w:sz w:val="20"/>
          <w:szCs w:val="20"/>
          <w:color w:val="auto"/>
        </w:rPr>
      </w:pPr>
      <w:r>
        <w:rPr>
          <w:rFonts w:ascii="Arial" w:cs="Arial" w:eastAsia="Arial" w:hAnsi="Arial"/>
          <w:sz w:val="18"/>
          <w:szCs w:val="18"/>
          <w:color w:val="auto"/>
        </w:rPr>
        <w:t>The Company determines if an arrangement is or contains a lease at inception, which is the date on which the terms of the contract are agreed to, and the agreement creates enforceable rights and obligations. Under Topic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w:t>
      </w:r>
    </w:p>
    <w:p>
      <w:pPr>
        <w:spacing w:after="0" w:line="14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auto"/>
        </w:rPr>
        <w:t>The Company leases office facilities and equipment from unrelated parties under operating lease agreements that have initial terms ranging from 1 to 7.25 years. Some leases include one or more options to renew, generally at our sole discretion, with renewal terms that can extend the lease term up to 5 years. In addition, certain leases contain termination options, where the rights to terminate are held by either the Company, the lessor, or both parties. These options to extend or terminate a lease are included in the lease terms when it is reasonably certain that the Company will exercise that option. The Company’s leases generally do not contain any material restrictive covenants. The Company is a sub-lessor in an agreement with a term of 3 years.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Operating lease cost is recognized on a straight-line basis over the lease term. The components of lease expense are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jc w:val="center"/>
              <w:ind w:right="198"/>
              <w:spacing w:after="0"/>
              <w:rPr>
                <w:sz w:val="20"/>
                <w:szCs w:val="20"/>
                <w:color w:val="auto"/>
              </w:rPr>
            </w:pPr>
            <w:r>
              <w:rPr>
                <w:rFonts w:ascii="Arial" w:cs="Arial" w:eastAsia="Arial" w:hAnsi="Arial"/>
                <w:sz w:val="14"/>
                <w:szCs w:val="14"/>
                <w:b w:val="1"/>
                <w:bCs w:val="1"/>
                <w:color w:val="auto"/>
                <w:w w:val="93"/>
              </w:rPr>
              <w:t>Three Months Ended</w:t>
            </w:r>
          </w:p>
        </w:tc>
      </w:tr>
      <w:tr>
        <w:trPr>
          <w:trHeight w:val="185"/>
        </w:trPr>
        <w:tc>
          <w:tcPr>
            <w:tcW w:w="9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6"/>
              </w:rPr>
              <w:t>March 31, 2022</w:t>
            </w:r>
          </w:p>
        </w:tc>
      </w:tr>
      <w:tr>
        <w:trPr>
          <w:trHeight w:val="196"/>
        </w:trPr>
        <w:tc>
          <w:tcPr>
            <w:tcW w:w="9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cost</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782</w:t>
            </w:r>
          </w:p>
        </w:tc>
      </w:tr>
      <w:tr>
        <w:trPr>
          <w:trHeight w:val="203"/>
        </w:trPr>
        <w:tc>
          <w:tcPr>
            <w:tcW w:w="9220" w:type="dxa"/>
            <w:vAlign w:val="bottom"/>
            <w:tcBorders>
              <w:bottom w:val="single" w:sz="8" w:color="CFF0FC"/>
            </w:tcBorders>
          </w:tcPr>
          <w:p>
            <w:pPr>
              <w:ind w:left="20"/>
              <w:spacing w:after="0" w:line="202" w:lineRule="exact"/>
              <w:rPr>
                <w:sz w:val="20"/>
                <w:szCs w:val="20"/>
                <w:color w:val="auto"/>
              </w:rPr>
            </w:pPr>
            <w:r>
              <w:rPr>
                <w:rFonts w:ascii="Arial" w:cs="Arial" w:eastAsia="Arial" w:hAnsi="Arial"/>
                <w:sz w:val="18"/>
                <w:szCs w:val="18"/>
                <w:color w:val="auto"/>
              </w:rPr>
              <w:t>Short-term lease cost</w:t>
            </w: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36"/>
        </w:trPr>
        <w:tc>
          <w:tcPr>
            <w:tcW w:w="92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Total lease cost</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795</w:t>
            </w:r>
          </w:p>
        </w:tc>
      </w:tr>
      <w:tr>
        <w:trPr>
          <w:trHeight w:val="305"/>
        </w:trPr>
        <w:tc>
          <w:tcPr>
            <w:tcW w:w="9220" w:type="dxa"/>
            <w:vAlign w:val="bottom"/>
          </w:tcPr>
          <w:p>
            <w:pPr>
              <w:ind w:left="520"/>
              <w:spacing w:after="0"/>
              <w:rPr>
                <w:sz w:val="20"/>
                <w:szCs w:val="20"/>
                <w:color w:val="auto"/>
              </w:rPr>
            </w:pPr>
            <w:r>
              <w:rPr>
                <w:rFonts w:ascii="Arial" w:cs="Arial" w:eastAsia="Arial" w:hAnsi="Arial"/>
                <w:sz w:val="18"/>
                <w:szCs w:val="18"/>
                <w:color w:val="auto"/>
              </w:rPr>
              <w:t>For the three months ended March 31, 2022, sublease income was $66,000, recorded as other income.</w:t>
            </w: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92"/>
        </w:trPr>
        <w:tc>
          <w:tcPr>
            <w:tcW w:w="9220" w:type="dxa"/>
            <w:vAlign w:val="bottom"/>
          </w:tcPr>
          <w:p>
            <w:pPr>
              <w:ind w:left="520"/>
              <w:spacing w:after="0"/>
              <w:rPr>
                <w:sz w:val="20"/>
                <w:szCs w:val="20"/>
                <w:color w:val="auto"/>
              </w:rPr>
            </w:pPr>
            <w:r>
              <w:rPr>
                <w:rFonts w:ascii="Arial" w:cs="Arial" w:eastAsia="Arial" w:hAnsi="Arial"/>
                <w:sz w:val="18"/>
                <w:szCs w:val="18"/>
                <w:color w:val="auto"/>
              </w:rPr>
              <w:t>Supplemental cash flow information related to leases is as follows (in thousands):</w:t>
            </w: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55"/>
        </w:trPr>
        <w:tc>
          <w:tcPr>
            <w:tcW w:w="9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jc w:val="center"/>
              <w:ind w:right="198"/>
              <w:spacing w:after="0"/>
              <w:rPr>
                <w:sz w:val="20"/>
                <w:szCs w:val="20"/>
                <w:color w:val="auto"/>
              </w:rPr>
            </w:pPr>
            <w:r>
              <w:rPr>
                <w:rFonts w:ascii="Arial" w:cs="Arial" w:eastAsia="Arial" w:hAnsi="Arial"/>
                <w:sz w:val="14"/>
                <w:szCs w:val="14"/>
                <w:b w:val="1"/>
                <w:bCs w:val="1"/>
                <w:color w:val="auto"/>
                <w:w w:val="93"/>
              </w:rPr>
              <w:t>Three Months Ended</w:t>
            </w:r>
          </w:p>
        </w:tc>
      </w:tr>
      <w:tr>
        <w:trPr>
          <w:trHeight w:val="185"/>
        </w:trPr>
        <w:tc>
          <w:tcPr>
            <w:tcW w:w="9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6"/>
              </w:rPr>
              <w:t>March 31, 2022</w:t>
            </w:r>
          </w:p>
        </w:tc>
      </w:tr>
      <w:tr>
        <w:trPr>
          <w:trHeight w:val="196"/>
        </w:trPr>
        <w:tc>
          <w:tcPr>
            <w:tcW w:w="9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paid for amounts included in measurement of lease liabilities:</w:t>
            </w:r>
          </w:p>
        </w:tc>
        <w:tc>
          <w:tcPr>
            <w:tcW w:w="20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r>
      <w:tr>
        <w:trPr>
          <w:trHeight w:val="230"/>
        </w:trPr>
        <w:tc>
          <w:tcPr>
            <w:tcW w:w="9220" w:type="dxa"/>
            <w:vAlign w:val="bottom"/>
          </w:tcPr>
          <w:p>
            <w:pPr>
              <w:ind w:left="200"/>
              <w:spacing w:after="0"/>
              <w:rPr>
                <w:sz w:val="20"/>
                <w:szCs w:val="20"/>
                <w:color w:val="auto"/>
              </w:rPr>
            </w:pPr>
            <w:r>
              <w:rPr>
                <w:rFonts w:ascii="Arial" w:cs="Arial" w:eastAsia="Arial" w:hAnsi="Arial"/>
                <w:sz w:val="18"/>
                <w:szCs w:val="18"/>
                <w:color w:val="auto"/>
              </w:rPr>
              <w:t>Operating cash outflows - payments on operating leases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175"/>
        </w:trPr>
        <w:tc>
          <w:tcPr>
            <w:tcW w:w="9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Right-of-use assets obtained in exchange for new lease obligations:</w:t>
            </w:r>
          </w:p>
        </w:tc>
        <w:tc>
          <w:tcPr>
            <w:tcW w:w="200" w:type="dxa"/>
            <w:vAlign w:val="bottom"/>
            <w:shd w:val="clear" w:color="auto" w:fill="CFF0FC"/>
          </w:tcPr>
          <w:p>
            <w:pPr>
              <w:spacing w:after="0"/>
              <w:rPr>
                <w:sz w:val="17"/>
                <w:szCs w:val="17"/>
                <w:color w:val="auto"/>
              </w:rPr>
            </w:pPr>
          </w:p>
        </w:tc>
        <w:tc>
          <w:tcPr>
            <w:tcW w:w="1820" w:type="dxa"/>
            <w:vAlign w:val="bottom"/>
            <w:shd w:val="clear" w:color="auto" w:fill="CFF0FC"/>
          </w:tcPr>
          <w:p>
            <w:pPr>
              <w:spacing w:after="0"/>
              <w:rPr>
                <w:sz w:val="17"/>
                <w:szCs w:val="17"/>
                <w:color w:val="auto"/>
              </w:rPr>
            </w:pPr>
          </w:p>
        </w:tc>
      </w:tr>
      <w:tr>
        <w:trPr>
          <w:trHeight w:val="230"/>
        </w:trPr>
        <w:tc>
          <w:tcPr>
            <w:tcW w:w="922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14,564</w:t>
            </w:r>
          </w:p>
        </w:tc>
      </w:tr>
      <w:tr>
        <w:trPr>
          <w:trHeight w:val="539"/>
        </w:trPr>
        <w:tc>
          <w:tcPr>
            <w:tcW w:w="9220" w:type="dxa"/>
            <w:vAlign w:val="bottom"/>
          </w:tcPr>
          <w:p>
            <w:pPr>
              <w:ind w:left="554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88"/>
        </w:trPr>
        <w:tc>
          <w:tcPr>
            <w:tcW w:w="9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8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is as follows (in thousands):</w:t>
      </w:r>
    </w:p>
    <w:p>
      <w:pPr>
        <w:spacing w:after="0" w:line="203" w:lineRule="exact"/>
        <w:rPr>
          <w:sz w:val="20"/>
          <w:szCs w:val="20"/>
          <w:color w:val="auto"/>
        </w:rPr>
      </w:pPr>
    </w:p>
    <w:p>
      <w:pPr>
        <w:jc w:val="right"/>
        <w:ind w:right="560"/>
        <w:spacing w:after="0"/>
        <w:rPr>
          <w:sz w:val="20"/>
          <w:szCs w:val="20"/>
          <w:color w:val="auto"/>
        </w:rPr>
      </w:pPr>
      <w:r>
        <w:rPr>
          <w:rFonts w:ascii="Arial" w:cs="Arial" w:eastAsia="Arial" w:hAnsi="Arial"/>
          <w:sz w:val="14"/>
          <w:szCs w:val="14"/>
          <w:b w:val="1"/>
          <w:bCs w:val="1"/>
          <w:color w:val="auto"/>
        </w:rPr>
        <w:t>March 31, 2022</w:t>
      </w:r>
    </w:p>
    <w:p>
      <w:pPr>
        <w:sectPr>
          <w:pgSz w:w="11900" w:h="16838" w:orient="portrait"/>
          <w:cols w:equalWidth="0" w:num="1">
            <w:col w:w="11240"/>
          </w:cols>
          <w:pgMar w:left="320" w:top="125" w:right="339" w:bottom="1440" w:gutter="0" w:footer="0" w:header="0"/>
        </w:sectPr>
      </w:pPr>
    </w:p>
    <w:p>
      <w:pPr>
        <w:spacing w:after="0" w:line="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289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Included in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289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Operating lease liabilities, current</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Total operating lease liabilities</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Weighted-average remaining lease term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89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Weighted-average discount rate - operating leases: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13,839</w:t>
            </w:r>
          </w:p>
        </w:tc>
      </w:tr>
      <w:tr>
        <w:trPr>
          <w:trHeight w:val="356"/>
        </w:trPr>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2,214</w:t>
            </w:r>
          </w:p>
        </w:tc>
      </w:tr>
      <w:tr>
        <w:trPr>
          <w:trHeight w:val="217"/>
        </w:trPr>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12,684</w:t>
            </w:r>
          </w:p>
        </w:tc>
      </w:tr>
      <w:tr>
        <w:trPr>
          <w:trHeight w:val="196"/>
        </w:trPr>
        <w:tc>
          <w:tcPr>
            <w:tcW w:w="4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14,898</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399"/>
        </w:trPr>
        <w:tc>
          <w:tcPr>
            <w:tcW w:w="460" w:type="dxa"/>
            <w:vAlign w:val="bottom"/>
          </w:tcPr>
          <w:p>
            <w:pPr>
              <w:spacing w:after="0"/>
              <w:rPr>
                <w:sz w:val="24"/>
                <w:szCs w:val="24"/>
                <w:color w:val="auto"/>
              </w:rPr>
            </w:pPr>
          </w:p>
        </w:tc>
        <w:tc>
          <w:tcPr>
            <w:tcW w:w="1560" w:type="dxa"/>
            <w:vAlign w:val="bottom"/>
          </w:tcPr>
          <w:p>
            <w:pPr>
              <w:jc w:val="right"/>
              <w:ind w:right="790"/>
              <w:spacing w:after="0"/>
              <w:rPr>
                <w:sz w:val="20"/>
                <w:szCs w:val="20"/>
                <w:color w:val="auto"/>
              </w:rPr>
            </w:pPr>
            <w:r>
              <w:rPr>
                <w:rFonts w:ascii="Arial" w:cs="Arial" w:eastAsia="Arial" w:hAnsi="Arial"/>
                <w:sz w:val="18"/>
                <w:szCs w:val="18"/>
                <w:color w:val="auto"/>
              </w:rPr>
              <w:t>6.2</w:t>
            </w:r>
          </w:p>
        </w:tc>
      </w:tr>
      <w:tr>
        <w:trPr>
          <w:trHeight w:val="405"/>
        </w:trPr>
        <w:tc>
          <w:tcPr>
            <w:tcW w:w="460" w:type="dxa"/>
            <w:vAlign w:val="bottom"/>
          </w:tcPr>
          <w:p>
            <w:pPr>
              <w:spacing w:after="0"/>
              <w:rPr>
                <w:sz w:val="24"/>
                <w:szCs w:val="24"/>
                <w:color w:val="auto"/>
              </w:rPr>
            </w:pPr>
          </w:p>
        </w:tc>
        <w:tc>
          <w:tcPr>
            <w:tcW w:w="1560" w:type="dxa"/>
            <w:vAlign w:val="bottom"/>
          </w:tcPr>
          <w:p>
            <w:pPr>
              <w:jc w:val="right"/>
              <w:ind w:right="730"/>
              <w:spacing w:after="0"/>
              <w:rPr>
                <w:sz w:val="20"/>
                <w:szCs w:val="20"/>
                <w:color w:val="auto"/>
              </w:rPr>
            </w:pPr>
            <w:r>
              <w:rPr>
                <w:rFonts w:ascii="Arial" w:cs="Arial" w:eastAsia="Arial" w:hAnsi="Arial"/>
                <w:sz w:val="18"/>
                <w:szCs w:val="18"/>
                <w:color w:val="auto"/>
              </w:rPr>
              <w:t>3.0%</w:t>
            </w:r>
          </w:p>
        </w:tc>
      </w:tr>
    </w:tbl>
    <w:p>
      <w:pPr>
        <w:spacing w:after="0" w:line="175" w:lineRule="exact"/>
        <w:rPr>
          <w:sz w:val="20"/>
          <w:szCs w:val="20"/>
          <w:color w:val="auto"/>
        </w:rPr>
      </w:pPr>
    </w:p>
    <w:p>
      <w:pPr>
        <w:sectPr>
          <w:pgSz w:w="11900" w:h="16838" w:orient="portrait"/>
          <w:cols w:equalWidth="0" w:num="2">
            <w:col w:w="8500" w:space="720"/>
            <w:col w:w="2020"/>
          </w:cols>
          <w:pgMar w:left="320" w:top="125" w:right="339" w:bottom="1440" w:gutter="0" w:footer="0" w:header="0"/>
          <w:type w:val="continuous"/>
        </w:sectPr>
      </w:pPr>
    </w:p>
    <w:p>
      <w:pPr>
        <w:ind w:firstLine="509"/>
        <w:spacing w:after="0" w:line="261" w:lineRule="auto"/>
        <w:rPr>
          <w:sz w:val="20"/>
          <w:szCs w:val="20"/>
          <w:color w:val="auto"/>
        </w:rPr>
      </w:pPr>
      <w:r>
        <w:rPr>
          <w:rFonts w:ascii="Arial" w:cs="Arial" w:eastAsia="Arial" w:hAnsi="Arial"/>
          <w:sz w:val="18"/>
          <w:szCs w:val="18"/>
          <w:color w:val="auto"/>
        </w:rPr>
        <w:t>Future undiscounted cash flows for each of the next five years and thereafter and reconciliation to the lease liabilities recognized on the balance sheet as of March 31, 2022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 (excluding the three months ended March 31)</w:t>
            </w:r>
          </w:p>
        </w:tc>
        <w:tc>
          <w:tcPr>
            <w:tcW w:w="76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1,847</w:t>
            </w: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760" w:type="dxa"/>
            <w:vAlign w:val="bottom"/>
          </w:tcPr>
          <w:p>
            <w:pPr>
              <w:spacing w:after="0"/>
              <w:rPr>
                <w:sz w:val="17"/>
                <w:szCs w:val="17"/>
                <w:color w:val="auto"/>
              </w:rPr>
            </w:pP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2,792</w:t>
            </w: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7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2,473</w:t>
            </w: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760" w:type="dxa"/>
            <w:vAlign w:val="bottom"/>
          </w:tcPr>
          <w:p>
            <w:pPr>
              <w:spacing w:after="0"/>
              <w:rPr>
                <w:sz w:val="17"/>
                <w:szCs w:val="17"/>
                <w:color w:val="auto"/>
              </w:rPr>
            </w:pPr>
          </w:p>
        </w:tc>
        <w:tc>
          <w:tcPr>
            <w:tcW w:w="12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2,200</w:t>
            </w: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76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2,202</w:t>
            </w: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7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4,547</w:t>
            </w:r>
          </w:p>
        </w:tc>
      </w:tr>
      <w:tr>
        <w:trPr>
          <w:trHeight w:val="236"/>
        </w:trPr>
        <w:tc>
          <w:tcPr>
            <w:tcW w:w="92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lease payments</w:t>
            </w:r>
          </w:p>
        </w:tc>
        <w:tc>
          <w:tcPr>
            <w:tcW w:w="760" w:type="dxa"/>
            <w:vAlign w:val="bottom"/>
            <w:tcBorders>
              <w:bottom w:val="single" w:sz="8" w:color="auto"/>
            </w:tcBorders>
            <w:shd w:val="clear" w:color="auto" w:fill="CFF0FC"/>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16,061</w:t>
            </w:r>
          </w:p>
        </w:tc>
      </w:tr>
      <w:tr>
        <w:trPr>
          <w:trHeight w:val="183"/>
        </w:trPr>
        <w:tc>
          <w:tcPr>
            <w:tcW w:w="9220" w:type="dxa"/>
            <w:vAlign w:val="bottom"/>
          </w:tcPr>
          <w:p>
            <w:pPr>
              <w:ind w:left="20"/>
              <w:spacing w:after="0" w:line="183" w:lineRule="exact"/>
              <w:rPr>
                <w:sz w:val="20"/>
                <w:szCs w:val="20"/>
                <w:color w:val="auto"/>
              </w:rPr>
            </w:pPr>
            <w:r>
              <w:rPr>
                <w:rFonts w:ascii="Arial" w:cs="Arial" w:eastAsia="Arial" w:hAnsi="Arial"/>
                <w:sz w:val="18"/>
                <w:szCs w:val="18"/>
                <w:color w:val="auto"/>
              </w:rPr>
              <w:t>Less imputed interest</w:t>
            </w:r>
          </w:p>
        </w:tc>
        <w:tc>
          <w:tcPr>
            <w:tcW w:w="7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(1,163 )</w:t>
            </w:r>
          </w:p>
        </w:tc>
      </w:tr>
      <w:tr>
        <w:trPr>
          <w:trHeight w:val="236"/>
        </w:trPr>
        <w:tc>
          <w:tcPr>
            <w:tcW w:w="92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present value of lease liabilities</w:t>
            </w:r>
          </w:p>
        </w:tc>
        <w:tc>
          <w:tcPr>
            <w:tcW w:w="760" w:type="dxa"/>
            <w:vAlign w:val="bottom"/>
            <w:tcBorders>
              <w:bottom w:val="single" w:sz="8" w:color="auto"/>
            </w:tcBorders>
            <w:shd w:val="clear" w:color="auto" w:fill="CFF0FC"/>
          </w:tcPr>
          <w:p>
            <w:pPr>
              <w:jc w:val="right"/>
              <w:ind w:right="5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14,898</w:t>
            </w:r>
          </w:p>
        </w:tc>
      </w:tr>
    </w:tbl>
    <w:p>
      <w:pPr>
        <w:spacing w:after="0" w:line="188"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As of December 31, 2021, a summary of our future minimum lease payments, as determined under Topic 840, for all non-cancelable operating leases, excluding minimum sublease rentals of $0.6 million due in the future under a non-cancelable sublease, was as follows (in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Operating leases</w:t>
            </w:r>
          </w:p>
        </w:tc>
      </w:tr>
      <w:tr>
        <w:trPr>
          <w:trHeight w:val="196"/>
        </w:trPr>
        <w:tc>
          <w:tcPr>
            <w:tcW w:w="92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2,251</w:t>
            </w: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8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2,803</w:t>
            </w: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8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2,417</w:t>
            </w:r>
          </w:p>
        </w:tc>
      </w:tr>
      <w:tr>
        <w:trPr>
          <w:trHeight w:val="203"/>
        </w:trPr>
        <w:tc>
          <w:tcPr>
            <w:tcW w:w="922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8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2,215</w:t>
            </w:r>
          </w:p>
        </w:tc>
      </w:tr>
      <w:tr>
        <w:trPr>
          <w:trHeight w:val="203"/>
        </w:trPr>
        <w:tc>
          <w:tcPr>
            <w:tcW w:w="92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8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2,220</w:t>
            </w:r>
          </w:p>
        </w:tc>
      </w:tr>
      <w:tr>
        <w:trPr>
          <w:trHeight w:val="203"/>
        </w:trPr>
        <w:tc>
          <w:tcPr>
            <w:tcW w:w="9220" w:type="dxa"/>
            <w:vAlign w:val="bottom"/>
          </w:tcPr>
          <w:p>
            <w:pPr>
              <w:ind w:left="200"/>
              <w:spacing w:after="0" w:line="202" w:lineRule="exact"/>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4,571</w:t>
            </w:r>
          </w:p>
        </w:tc>
      </w:tr>
      <w:tr>
        <w:trPr>
          <w:trHeight w:val="236"/>
        </w:trPr>
        <w:tc>
          <w:tcPr>
            <w:tcW w:w="92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future minimum lease payments</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16,477</w:t>
            </w:r>
          </w:p>
        </w:tc>
      </w:tr>
    </w:tbl>
    <w:p>
      <w:pPr>
        <w:spacing w:after="0" w:line="292"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Paycheck Protection Program Loan</w:t>
      </w:r>
    </w:p>
    <w:p>
      <w:pPr>
        <w:spacing w:after="0" w:line="17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On March 27, 2020, the Coronavirus Aid, Relief, and Economic Security Act (the “CARES Act”) was enacted to, amongst other provisions, provide emergency assistance for individuals, families and businesses affected by the COVID-19 pandemic. The CARES Act includes a Paycheck Protection Program (“PPP”) administered through the Small Business Association (“SBA”). Under the PPP, beginning April 3, 2020, small businesses and other entities and individuals could apply for loans from existing SBA lenders and other approved regulated lenders that enroll in the program, subject to numerous limitations and eligibility criteria.</w:t>
      </w:r>
    </w:p>
    <w:p>
      <w:pPr>
        <w:spacing w:after="0" w:line="162"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On May 7, 2020, the Company received gross proceeds in the amount of approximately $4.1 million under the PPP. The PPP, established as part of the CARES Act, provides for loans to qualifying businesses for amounts up to 2.5 times the average monthly payroll expenses of the qualifying business. On May 4, 2021, the Company fully repaid the PPP loan.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85"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Company evaluates the status of each legal matter, if any, and assesses potential financial exposure. If the potential loss from any legal proceedings or litigation is considered probable and the amount can be reasonably estimated, the Company accrues a liability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color w:val="auto"/>
        </w:rPr>
        <w:t>25</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the estimated loss. Significant judgment is required to determine the probability of a loss and whether the amount of the loss is reasonably estimated. The outcome of any proceeding is not determinable in advance. As a result, the assessment of a potential liability and the amount of accruals recorded are based on the information available at the time.</w:t>
      </w:r>
    </w:p>
    <w:p>
      <w:pPr>
        <w:spacing w:after="0" w:line="15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The Company is not currently involved in legal actions, nor is management aware of any potential claims or legal actions, for which the ultimate disposition could have a material effect on the Company’s financial position, results of operations or liquidity.</w:t>
      </w:r>
    </w:p>
    <w:p>
      <w:pPr>
        <w:spacing w:after="0" w:line="126"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Cytek Japan</w:t>
      </w:r>
    </w:p>
    <w:p>
      <w:pPr>
        <w:spacing w:after="0" w:line="18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auto"/>
        </w:rPr>
        <w:t>In May 2019, the Company jointly formed Cytek Japan with TOMY Digital Biology (“TOMY”). Cytek Japan was created for the purpose of expanding the Company’s presence in Japan. The Company and TOMY each purchased $46,000 of common stock of Cytek Japan. The Company previously accounted for its 50% interest in Cytek Japan as an equity method investment. The Company recorded $40,000 for its proportionate share of Cytek Japan’s earnings prior to its additional investment, which is included in other income (expense), net in the consolidated statements of operations and comprehensive income for the three months ended March 31, 2022.</w:t>
      </w:r>
    </w:p>
    <w:p>
      <w:pPr>
        <w:spacing w:after="0" w:line="14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March 2021, the Company purchased an additional $688,000 of common stock of Cytek Japan and TOMY purchased an additional $229,000 of common stock of Cytek Japan. The Company’s interest in Cytek Japan increased from 50% to 73% giving the Company controlling interest. The Company consolidated Cytek Japan as of March 31, 2021 under the VOE model as Cytek Japan does not meet the definition of a VIE and as TOMY does not have substantive voting, participating or liquidation rights.</w:t>
      </w:r>
    </w:p>
    <w:p>
      <w:pPr>
        <w:spacing w:after="0" w:line="14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 recognized net assets of $1.1 million, consisting primarily of $1.0 million cash. The Company recorded noncontrolling interest of $315,000 on the unaudited interim consolidated financial statements as of March 31, 2021. The net loss attributable to noncontrolling interest was $137,000 for the three months ended March 31, 2022.</w:t>
      </w:r>
    </w:p>
    <w:p>
      <w:pPr>
        <w:spacing w:after="0" w:line="286"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Product warranty</w:t>
      </w:r>
    </w:p>
    <w:p>
      <w:pPr>
        <w:spacing w:after="0" w:line="108"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following table shows the activity in the product warranty accrual included in accrued expenses on the consolidated balance sheets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right"/>
              <w:ind w:right="376"/>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80" w:type="dxa"/>
            <w:vAlign w:val="bottom"/>
          </w:tcPr>
          <w:p>
            <w:pPr>
              <w:spacing w:after="0"/>
              <w:rPr>
                <w:sz w:val="16"/>
                <w:szCs w:val="16"/>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beginning of the period</w:t>
            </w:r>
          </w:p>
        </w:tc>
        <w:tc>
          <w:tcPr>
            <w:tcW w:w="1160" w:type="dxa"/>
            <w:vAlign w:val="bottom"/>
            <w:shd w:val="clear" w:color="auto" w:fill="CFF0FC"/>
          </w:tcPr>
          <w:p>
            <w:pPr>
              <w:jc w:val="right"/>
              <w:ind w:right="959"/>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3"/>
              </w:rPr>
              <w:t>1,760</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969</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Accrual for current year warranties</w:t>
            </w:r>
          </w:p>
        </w:tc>
        <w:tc>
          <w:tcPr>
            <w:tcW w:w="1160" w:type="dxa"/>
            <w:vAlign w:val="bottom"/>
          </w:tcPr>
          <w:p>
            <w:pPr>
              <w:spacing w:after="0"/>
              <w:rPr>
                <w:sz w:val="17"/>
                <w:szCs w:val="17"/>
                <w:color w:val="auto"/>
              </w:rPr>
            </w:pPr>
          </w:p>
        </w:tc>
        <w:tc>
          <w:tcPr>
            <w:tcW w:w="5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158</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3,304</w:t>
            </w: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Warranty cost incurred</w:t>
            </w:r>
          </w:p>
        </w:tc>
        <w:tc>
          <w:tcPr>
            <w:tcW w:w="116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(307 )</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(2,513 )</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Balance, end of period</w:t>
            </w:r>
          </w:p>
        </w:tc>
        <w:tc>
          <w:tcPr>
            <w:tcW w:w="1160" w:type="dxa"/>
            <w:vAlign w:val="bottom"/>
          </w:tcPr>
          <w:p>
            <w:pPr>
              <w:jc w:val="right"/>
              <w:ind w:right="959"/>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line="196" w:lineRule="exact"/>
              <w:rPr>
                <w:sz w:val="20"/>
                <w:szCs w:val="20"/>
                <w:color w:val="auto"/>
              </w:rPr>
            </w:pPr>
            <w:r>
              <w:rPr>
                <w:rFonts w:ascii="Arial" w:cs="Arial" w:eastAsia="Arial" w:hAnsi="Arial"/>
                <w:sz w:val="18"/>
                <w:szCs w:val="18"/>
                <w:color w:val="auto"/>
                <w:w w:val="93"/>
              </w:rPr>
              <w:t>1,611</w:t>
            </w:r>
          </w:p>
        </w:tc>
        <w:tc>
          <w:tcPr>
            <w:tcW w:w="4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6"/>
              <w:spacing w:after="0" w:line="196" w:lineRule="exact"/>
              <w:rPr>
                <w:sz w:val="20"/>
                <w:szCs w:val="20"/>
                <w:color w:val="auto"/>
              </w:rPr>
            </w:pPr>
            <w:r>
              <w:rPr>
                <w:rFonts w:ascii="Arial" w:cs="Arial" w:eastAsia="Arial" w:hAnsi="Arial"/>
                <w:sz w:val="18"/>
                <w:szCs w:val="18"/>
                <w:color w:val="auto"/>
              </w:rPr>
              <w:t>1,760</w:t>
            </w:r>
          </w:p>
        </w:tc>
      </w:tr>
      <w:tr>
        <w:trPr>
          <w:trHeight w:val="20"/>
        </w:trPr>
        <w:tc>
          <w:tcPr>
            <w:tcW w:w="7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-159385</wp:posOffset>
            </wp:positionV>
            <wp:extent cx="11112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367" w:lineRule="exact"/>
        <w:rPr>
          <w:sz w:val="20"/>
          <w:szCs w:val="20"/>
          <w:color w:val="auto"/>
        </w:rPr>
      </w:pPr>
    </w:p>
    <w:p>
      <w:pPr>
        <w:ind w:left="520" w:hanging="512"/>
        <w:spacing w:after="0"/>
        <w:tabs>
          <w:tab w:leader="none" w:pos="5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income attributable to common stockholders per share</w:t>
      </w:r>
    </w:p>
    <w:p>
      <w:pPr>
        <w:spacing w:after="0" w:line="175"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The following table sets forth the computation of the Company’s basic and diluted net (loss) income attributable to common stockholders per share for the three months ended March 31, 2022 and 2021 (in thousands except share and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Three months ended March 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560" w:type="dxa"/>
            <w:vAlign w:val="bottom"/>
            <w:shd w:val="clear" w:color="auto" w:fill="CFF0FC"/>
          </w:tcPr>
          <w:p>
            <w:pPr>
              <w:spacing w:after="0" w:line="196" w:lineRule="exact"/>
              <w:rPr>
                <w:sz w:val="20"/>
                <w:szCs w:val="20"/>
                <w:color w:val="auto"/>
              </w:rPr>
            </w:pPr>
            <w:r>
              <w:rPr>
                <w:rFonts w:ascii="Arial" w:cs="Arial" w:eastAsia="Arial" w:hAnsi="Arial"/>
                <w:sz w:val="18"/>
                <w:szCs w:val="18"/>
                <w:i w:val="1"/>
                <w:iCs w:val="1"/>
                <w:color w:val="auto"/>
              </w:rPr>
              <w:t>Numerator</w:t>
            </w: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7560" w:type="dxa"/>
            <w:vAlign w:val="bottom"/>
          </w:tcPr>
          <w:p>
            <w:pPr>
              <w:ind w:left="180"/>
              <w:spacing w:after="0" w:line="202" w:lineRule="exact"/>
              <w:rPr>
                <w:sz w:val="20"/>
                <w:szCs w:val="20"/>
                <w:color w:val="auto"/>
              </w:rPr>
            </w:pPr>
            <w:r>
              <w:rPr>
                <w:rFonts w:ascii="Arial" w:cs="Arial" w:eastAsia="Arial" w:hAnsi="Arial"/>
                <w:sz w:val="18"/>
                <w:szCs w:val="18"/>
                <w:color w:val="auto"/>
              </w:rPr>
              <w:t>Net (loss) income</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(2,158 )</w:t>
            </w:r>
          </w:p>
        </w:tc>
        <w:tc>
          <w:tcPr>
            <w:tcW w:w="5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102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75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Less: noncontrolling interests</w:t>
            </w: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137</w:t>
            </w:r>
          </w:p>
        </w:tc>
        <w:tc>
          <w:tcPr>
            <w:tcW w:w="5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7560" w:type="dxa"/>
            <w:vAlign w:val="bottom"/>
          </w:tcPr>
          <w:p>
            <w:pPr>
              <w:ind w:left="180"/>
              <w:spacing w:after="0" w:line="202" w:lineRule="exact"/>
              <w:rPr>
                <w:sz w:val="20"/>
                <w:szCs w:val="20"/>
                <w:color w:val="auto"/>
              </w:rPr>
            </w:pPr>
            <w:r>
              <w:rPr>
                <w:rFonts w:ascii="Arial" w:cs="Arial" w:eastAsia="Arial" w:hAnsi="Arial"/>
                <w:sz w:val="18"/>
                <w:szCs w:val="18"/>
                <w:color w:val="auto"/>
              </w:rPr>
              <w:t>Less: net income allocated to participating securities</w:t>
            </w:r>
          </w:p>
        </w:tc>
        <w:tc>
          <w:tcPr>
            <w:tcW w:w="380" w:type="dxa"/>
            <w:vAlign w:val="bottom"/>
          </w:tcPr>
          <w:p>
            <w:pPr>
              <w:spacing w:after="0"/>
              <w:rPr>
                <w:sz w:val="17"/>
                <w:szCs w:val="17"/>
                <w:color w:val="auto"/>
              </w:rPr>
            </w:pPr>
          </w:p>
        </w:tc>
        <w:tc>
          <w:tcPr>
            <w:tcW w:w="13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(102 )</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75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560" w:type="dxa"/>
            <w:vAlign w:val="bottom"/>
          </w:tcPr>
          <w:p>
            <w:pPr>
              <w:jc w:val="right"/>
              <w:ind w:right="1850"/>
              <w:spacing w:after="0" w:line="182" w:lineRule="exact"/>
              <w:rPr>
                <w:sz w:val="20"/>
                <w:szCs w:val="20"/>
                <w:color w:val="auto"/>
              </w:rPr>
            </w:pPr>
            <w:r>
              <w:rPr>
                <w:rFonts w:ascii="Arial" w:cs="Arial" w:eastAsia="Arial" w:hAnsi="Arial"/>
                <w:sz w:val="18"/>
                <w:szCs w:val="18"/>
                <w:color w:val="auto"/>
                <w:w w:val="96"/>
              </w:rPr>
              <w:t>Net (loss) income attributable to common stockholders, basic and diluted</w:t>
            </w: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(2,021 )</w:t>
            </w:r>
          </w:p>
        </w:tc>
        <w:tc>
          <w:tcPr>
            <w:tcW w:w="560" w:type="dxa"/>
            <w:vAlign w:val="bottom"/>
            <w:gridSpan w:val="2"/>
          </w:tcPr>
          <w:p>
            <w:pPr>
              <w:jc w:val="right"/>
              <w:ind w:right="280"/>
              <w:spacing w:after="0" w:line="18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line="18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75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7560" w:type="dxa"/>
            <w:vAlign w:val="bottom"/>
          </w:tcPr>
          <w:p>
            <w:pPr>
              <w:spacing w:after="0" w:line="202" w:lineRule="exact"/>
              <w:rPr>
                <w:sz w:val="20"/>
                <w:szCs w:val="20"/>
                <w:color w:val="auto"/>
              </w:rPr>
            </w:pPr>
            <w:r>
              <w:rPr>
                <w:rFonts w:ascii="Arial" w:cs="Arial" w:eastAsia="Arial" w:hAnsi="Arial"/>
                <w:sz w:val="18"/>
                <w:szCs w:val="18"/>
                <w:i w:val="1"/>
                <w:iCs w:val="1"/>
                <w:color w:val="auto"/>
              </w:rPr>
              <w:t>Denominator</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75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Weighted-average common shares outstanding, attributable to common stockholders, basic</w:t>
            </w: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133,902,523</w:t>
            </w: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31,557,473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7560" w:type="dxa"/>
            <w:vAlign w:val="bottom"/>
          </w:tcPr>
          <w:p>
            <w:pPr>
              <w:ind w:left="180"/>
              <w:spacing w:after="0" w:line="202" w:lineRule="exact"/>
              <w:rPr>
                <w:sz w:val="20"/>
                <w:szCs w:val="20"/>
                <w:color w:val="auto"/>
              </w:rPr>
            </w:pPr>
            <w:r>
              <w:rPr>
                <w:rFonts w:ascii="Arial" w:cs="Arial" w:eastAsia="Arial" w:hAnsi="Arial"/>
                <w:sz w:val="18"/>
                <w:szCs w:val="18"/>
                <w:color w:val="auto"/>
              </w:rPr>
              <w:t>Effect of employee stock plans</w:t>
            </w: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4,199,684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56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w w:val="99"/>
              </w:rPr>
              <w:t>Weighted-average common shares outstanding, attributable to common stockholders, diluted</w:t>
            </w: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133,902,523</w:t>
            </w:r>
          </w:p>
        </w:tc>
        <w:tc>
          <w:tcPr>
            <w:tcW w:w="20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35,757,157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60" w:type="dxa"/>
            <w:vAlign w:val="bottom"/>
            <w:gridSpan w:val="2"/>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75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Net (loss) income per share attributable to common stockholders, basic</w:t>
            </w: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(0.02 )</w:t>
            </w:r>
          </w:p>
        </w:tc>
        <w:tc>
          <w:tcPr>
            <w:tcW w:w="560" w:type="dxa"/>
            <w:vAlign w:val="bottom"/>
            <w:gridSpan w:val="2"/>
            <w:shd w:val="clear" w:color="auto" w:fill="CFF0FC"/>
          </w:tcPr>
          <w:p>
            <w:pPr>
              <w:jc w:val="right"/>
              <w:ind w:right="280"/>
              <w:spacing w:after="0" w:line="182" w:lineRule="exact"/>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12"/>
              <w:spacing w:after="0" w:line="18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5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 w:type="dxa"/>
            <w:vAlign w:val="bottom"/>
          </w:tcPr>
          <w:p>
            <w:pPr>
              <w:spacing w:after="0"/>
              <w:rPr>
                <w:sz w:val="15"/>
                <w:szCs w:val="15"/>
                <w:color w:val="auto"/>
              </w:rPr>
            </w:pPr>
          </w:p>
        </w:tc>
        <w:tc>
          <w:tcPr>
            <w:tcW w:w="7560" w:type="dxa"/>
            <w:vAlign w:val="bottom"/>
          </w:tcPr>
          <w:p>
            <w:pPr>
              <w:spacing w:after="0" w:line="182" w:lineRule="exact"/>
              <w:rPr>
                <w:sz w:val="20"/>
                <w:szCs w:val="20"/>
                <w:color w:val="auto"/>
              </w:rPr>
            </w:pPr>
            <w:r>
              <w:rPr>
                <w:rFonts w:ascii="Arial" w:cs="Arial" w:eastAsia="Arial" w:hAnsi="Arial"/>
                <w:sz w:val="18"/>
                <w:szCs w:val="18"/>
                <w:color w:val="auto"/>
              </w:rPr>
              <w:t>Net (loss) income per share attributable to common stockholders, diluted</w:t>
            </w:r>
          </w:p>
        </w:tc>
        <w:tc>
          <w:tcPr>
            <w:tcW w:w="38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(0.02 )</w:t>
            </w:r>
          </w:p>
        </w:tc>
        <w:tc>
          <w:tcPr>
            <w:tcW w:w="560" w:type="dxa"/>
            <w:vAlign w:val="bottom"/>
            <w:gridSpan w:val="2"/>
          </w:tcPr>
          <w:p>
            <w:pPr>
              <w:jc w:val="right"/>
              <w:ind w:right="280"/>
              <w:spacing w:after="0" w:line="18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2"/>
              <w:spacing w:after="0" w:line="18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560" w:type="dxa"/>
            <w:vAlign w:val="bottom"/>
            <w:vMerge w:val="restart"/>
          </w:tcPr>
          <w:p>
            <w:pPr>
              <w:jc w:val="right"/>
              <w:ind w:right="1830"/>
              <w:spacing w:after="0"/>
              <w:rPr>
                <w:sz w:val="20"/>
                <w:szCs w:val="20"/>
                <w:color w:val="auto"/>
              </w:rPr>
            </w:pPr>
            <w:r>
              <w:rPr>
                <w:rFonts w:ascii="Arial" w:cs="Arial" w:eastAsia="Arial" w:hAnsi="Arial"/>
                <w:sz w:val="18"/>
                <w:szCs w:val="18"/>
                <w:color w:val="auto"/>
              </w:rPr>
              <w:t>25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0" w:type="dxa"/>
            <w:vAlign w:val="bottom"/>
          </w:tcPr>
          <w:p>
            <w:pPr>
              <w:spacing w:after="0"/>
              <w:rPr>
                <w:sz w:val="24"/>
                <w:szCs w:val="24"/>
                <w:color w:val="auto"/>
              </w:rPr>
            </w:pPr>
          </w:p>
        </w:tc>
        <w:tc>
          <w:tcPr>
            <w:tcW w:w="75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80" w:type="dxa"/>
            <w:vAlign w:val="bottom"/>
            <w:tcBorders>
              <w:bottom w:val="single" w:sz="8" w:color="9A9A9A"/>
            </w:tcBorders>
          </w:tcPr>
          <w:p>
            <w:pPr>
              <w:spacing w:after="0"/>
              <w:rPr>
                <w:sz w:val="6"/>
                <w:szCs w:val="6"/>
                <w:color w:val="auto"/>
              </w:rPr>
            </w:pPr>
          </w:p>
        </w:tc>
        <w:tc>
          <w:tcPr>
            <w:tcW w:w="756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3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-1676400</wp:posOffset>
            </wp:positionV>
            <wp:extent cx="12001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-862330</wp:posOffset>
            </wp:positionV>
            <wp:extent cx="12001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-599440</wp:posOffset>
            </wp:positionV>
            <wp:extent cx="12001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-582295</wp:posOffset>
            </wp:positionV>
            <wp:extent cx="1200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26</w:t>
      </w:r>
    </w:p>
    <w:p>
      <w:pPr>
        <w:spacing w:after="0" w:line="30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Share-based compensation awards of approximately 3.2 million and 0.1 million shares for the three months ended March 31, 2022 and 2021, respectively, were outstanding but were not included in the computation of diluted net (loss) income per share attributable to common stockholders because the effect of including such shares would have been anti-dilutive in the periods presented.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areas</w:t>
      </w:r>
    </w:p>
    <w:p>
      <w:pPr>
        <w:spacing w:after="0" w:line="18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Company sells its products worldwide and attributes revenue to the geography where the product is delivered. The geographical distribution of revenue for the three months ended March 31, 2022 and 2021 was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8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r>
      <w:tr>
        <w:trPr>
          <w:trHeight w:val="169"/>
        </w:trPr>
        <w:tc>
          <w:tcPr>
            <w:tcW w:w="75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4"/>
                <w:szCs w:val="14"/>
                <w:color w:val="auto"/>
              </w:rPr>
            </w:pPr>
          </w:p>
        </w:tc>
      </w:tr>
      <w:tr>
        <w:trPr>
          <w:trHeight w:val="196"/>
        </w:trPr>
        <w:tc>
          <w:tcPr>
            <w:tcW w:w="7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1040" w:type="dxa"/>
            <w:vAlign w:val="bottom"/>
            <w:tcBorders>
              <w:top w:val="single" w:sz="8" w:color="auto"/>
            </w:tcBorders>
            <w:shd w:val="clear" w:color="auto" w:fill="CFF0FC"/>
          </w:tcPr>
          <w:p>
            <w:pPr>
              <w:jc w:val="right"/>
              <w:ind w:right="859"/>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20,325</w:t>
            </w:r>
          </w:p>
        </w:tc>
        <w:tc>
          <w:tcPr>
            <w:tcW w:w="20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13,348</w:t>
            </w:r>
          </w:p>
        </w:tc>
      </w:tr>
      <w:tr>
        <w:trPr>
          <w:trHeight w:val="203"/>
        </w:trPr>
        <w:tc>
          <w:tcPr>
            <w:tcW w:w="7580" w:type="dxa"/>
            <w:vAlign w:val="bottom"/>
          </w:tcPr>
          <w:p>
            <w:pPr>
              <w:ind w:left="20"/>
              <w:spacing w:after="0" w:line="202" w:lineRule="exact"/>
              <w:rPr>
                <w:sz w:val="20"/>
                <w:szCs w:val="20"/>
                <w:color w:val="auto"/>
              </w:rPr>
            </w:pPr>
            <w:r>
              <w:rPr>
                <w:rFonts w:ascii="Arial" w:cs="Arial" w:eastAsia="Arial" w:hAnsi="Arial"/>
                <w:sz w:val="18"/>
                <w:szCs w:val="18"/>
                <w:color w:val="auto"/>
              </w:rPr>
              <w:t>EMEA</w:t>
            </w:r>
          </w:p>
        </w:tc>
        <w:tc>
          <w:tcPr>
            <w:tcW w:w="10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8,684</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7,647</w:t>
            </w:r>
          </w:p>
        </w:tc>
      </w:tr>
      <w:tr>
        <w:trPr>
          <w:trHeight w:val="203"/>
        </w:trPr>
        <w:tc>
          <w:tcPr>
            <w:tcW w:w="7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APAC</w:t>
            </w:r>
          </w:p>
        </w:tc>
        <w:tc>
          <w:tcPr>
            <w:tcW w:w="10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5,011</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3,256</w:t>
            </w:r>
          </w:p>
        </w:tc>
      </w:tr>
      <w:tr>
        <w:trPr>
          <w:trHeight w:val="203"/>
        </w:trPr>
        <w:tc>
          <w:tcPr>
            <w:tcW w:w="758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1,044</w:t>
            </w:r>
          </w:p>
        </w:tc>
        <w:tc>
          <w:tcPr>
            <w:tcW w:w="2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36"/>
        </w:trPr>
        <w:tc>
          <w:tcPr>
            <w:tcW w:w="75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revenue, net</w:t>
            </w:r>
          </w:p>
        </w:tc>
        <w:tc>
          <w:tcPr>
            <w:tcW w:w="1040" w:type="dxa"/>
            <w:vAlign w:val="bottom"/>
            <w:tcBorders>
              <w:bottom w:val="single" w:sz="8" w:color="auto"/>
            </w:tcBorders>
            <w:shd w:val="clear" w:color="auto" w:fill="CFF0FC"/>
          </w:tcPr>
          <w:p>
            <w:pPr>
              <w:jc w:val="right"/>
              <w:ind w:right="859"/>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35,064</w:t>
            </w:r>
          </w:p>
        </w:tc>
        <w:tc>
          <w:tcPr>
            <w:tcW w:w="200" w:type="dxa"/>
            <w:vAlign w:val="bottom"/>
            <w:tcBorders>
              <w:bottom w:val="single" w:sz="8" w:color="CFF0FC"/>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24,272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-25400</wp:posOffset>
            </wp:positionV>
            <wp:extent cx="1200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1200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EMEA includes Europe, the Middle East and Africa; APAC includes Asia and the Pacific countries; Other includes Canada and Latin America.</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months ended March 31, 2022 and 2021, the Company had no major customers.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2022 and December 31, 2021, the Company’s long-lived assets by geographic area were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7680" w:type="dxa"/>
            <w:vAlign w:val="bottom"/>
          </w:tcPr>
          <w:p>
            <w:pPr>
              <w:spacing w:after="0"/>
              <w:rPr>
                <w:sz w:val="16"/>
                <w:szCs w:val="16"/>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2021</w:t>
            </w:r>
          </w:p>
        </w:tc>
      </w:tr>
      <w:tr>
        <w:trPr>
          <w:trHeight w:val="196"/>
        </w:trPr>
        <w:tc>
          <w:tcPr>
            <w:tcW w:w="7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gridSpan w:val="2"/>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States</w:t>
            </w:r>
          </w:p>
        </w:tc>
        <w:tc>
          <w:tcPr>
            <w:tcW w:w="1160" w:type="dxa"/>
            <w:vAlign w:val="bottom"/>
            <w:shd w:val="clear" w:color="auto" w:fill="CFF0FC"/>
          </w:tcPr>
          <w:p>
            <w:pPr>
              <w:jc w:val="right"/>
              <w:ind w:right="979"/>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4,460</w:t>
            </w:r>
          </w:p>
        </w:tc>
        <w:tc>
          <w:tcPr>
            <w:tcW w:w="4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3,801</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APAC</w:t>
            </w:r>
          </w:p>
        </w:tc>
        <w:tc>
          <w:tcPr>
            <w:tcW w:w="1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3"/>
              </w:rPr>
              <w:t>2,044</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2,050</w:t>
            </w: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FF0FC"/>
          </w:tcPr>
          <w:p>
            <w:pPr>
              <w:jc w:val="right"/>
              <w:ind w:right="979"/>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6,504</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-24765</wp:posOffset>
            </wp:positionV>
            <wp:extent cx="1200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1200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March 31, 2022 and December 31, 2021, substantially all of the Company’s long-lived assets were located in the United States and in Wuxi,</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151" w:lineRule="exact"/>
        <w:rPr>
          <w:sz w:val="20"/>
          <w:szCs w:val="20"/>
          <w:color w:val="auto"/>
        </w:rPr>
      </w:pPr>
    </w:p>
    <w:p>
      <w:pPr>
        <w:ind w:left="520" w:right="9400" w:hanging="512"/>
        <w:spacing w:after="0" w:line="522" w:lineRule="auto"/>
        <w:tabs>
          <w:tab w:leader="none" w:pos="506"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Subsequent event </w:t>
      </w:r>
      <w:r>
        <w:rPr>
          <w:rFonts w:ascii="Arial" w:cs="Arial" w:eastAsia="Arial" w:hAnsi="Arial"/>
          <w:sz w:val="16"/>
          <w:szCs w:val="16"/>
          <w:i w:val="1"/>
          <w:iCs w:val="1"/>
          <w:color w:val="auto"/>
        </w:rPr>
        <w:t>Investment</w:t>
      </w:r>
    </w:p>
    <w:p>
      <w:pPr>
        <w:jc w:val="both"/>
        <w:ind w:firstLine="509"/>
        <w:spacing w:after="0" w:line="259" w:lineRule="auto"/>
        <w:rPr>
          <w:sz w:val="20"/>
          <w:szCs w:val="20"/>
          <w:color w:val="auto"/>
        </w:rPr>
      </w:pPr>
      <w:r>
        <w:rPr>
          <w:rFonts w:ascii="Arial" w:cs="Arial" w:eastAsia="Arial" w:hAnsi="Arial"/>
          <w:sz w:val="17"/>
          <w:szCs w:val="17"/>
          <w:color w:val="auto"/>
        </w:rPr>
        <w:t>In May 2022, the Company’s wholly-owned Hong Kong subsidiary (“Cytek HK”) completed an investment of the $1.6 million in Tianjin Deep Analysis Intelligent Technology Development Co., Ltd, a company incorporated under the laws of the People’s Republic of China (“DeepCyto”) in consideration for the issuance of Series A preferred shares of DeepCyto, representing an ownership interest of approximately 3.3%. An entity affiliated with Northern Light Venture Capital (“NLVC”) has a significant ownership interest in DeepCyto and has a representative serving on the DeepCyto board of directors who is also a member of the Company’s board of directors and the founding managing partner of NLVC.</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27</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ind w:left="20" w:firstLine="509"/>
        <w:spacing w:after="0"/>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interim consolidated financial statements and related notes included in this Quarterly Report on Form 10-Q and the audited consolidated financial statements and notes thereto as of and for the year ended December 31, 2021 and the related Management’s Discussion and Analysis of Financial Condition and Results of Operations, both of which are contained in our Annual Report on Form 10-K filed with the Securities and Exchange Commission (the “SEC”) on March 17, 2022. Unless the context requires otherwise, references in this Quarterly Report on Form 10-Q to “we,” “us” and “our” refer to Cytek Biosciences, Inc.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i w:val="1"/>
          <w:iCs w:val="1"/>
          <w:color w:val="auto"/>
        </w:rPr>
        <w:t>The information in this discussion contains forward-looking statements and information within the meaning of Section 27A of the Securities Act of 1933, as amended, (the Securities Act) and Section 21E of the Securities Exchange Act of 1934, as amended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this Quarterly Report on Form 10-Q and in our other filings with the SEC. The forward-looking statements are applicable only as of the date on which they are made, and we do not assume any obligation to update any forward-looking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color w:val="auto"/>
        </w:rPr>
        <w:t>We are a leading cell analysis solutions company advancing the next generation of cell analysis tools by leveraging novel technical approaches. Our goal is to become the premier cell analysis company through continued innovation that facilitates scientific advances in biomedical research and clinical applications. We believe our core instruments, the Aurora and Northern Lights systems, are the first full spectrum flow cytometers able to deliver high-resolution, high-content and high-sensitivity cell analysis by utilizing the full spectrum of fluorescence signatures from multiple lasers to distinguish fluorescent tags on single cells (“Full Spectrum Profiling” or “FSP”). Our novel approach harnesses the power of information within the entire spectrum of a fluorescent signal to achieve a higher level of multiplexing with exquisite sensitivity. Our patented FSP technology optimizes sensitivity and accuracy through its novel optical and electronic designs that utilize an innovative method of light detection and distribution. Our FSP platform includes instruments, reagents, software and services to provide a comprehensive and integrated suite of solutions for our customers. Since our first U.S. commercial launch in mid-2017, we have sold and deployed over 1,200 instruments—primarily comprised of our Aurora and Northern Lights systems—to customers around the world, including the largest pharmaceutical companies, over 150 biopharma companies, leading academic research centers, and clinical research organizations (“CROs”). In June 2021, we began shipping the Aurora cell sorter (“Aurora CS”), which uses our FSP technology to further broaden our potential applications across cell analysis.</w:t>
      </w:r>
    </w:p>
    <w:p>
      <w:pPr>
        <w:spacing w:after="0" w:line="143"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manufacture our instruments in our facilities in Fremont, California and in Wuxi, China. We have designed our operating model to be capital efficient and to scale efficiently as our product volumes grow.</w:t>
      </w:r>
    </w:p>
    <w:p>
      <w:pPr>
        <w:spacing w:after="0" w:line="144" w:lineRule="exact"/>
        <w:rPr>
          <w:sz w:val="20"/>
          <w:szCs w:val="20"/>
          <w:color w:val="auto"/>
        </w:rPr>
      </w:pPr>
    </w:p>
    <w:p>
      <w:pPr>
        <w:jc w:val="both"/>
        <w:ind w:right="20" w:firstLine="509"/>
        <w:spacing w:after="0" w:line="324" w:lineRule="auto"/>
        <w:rPr>
          <w:sz w:val="20"/>
          <w:szCs w:val="20"/>
          <w:color w:val="auto"/>
        </w:rPr>
      </w:pPr>
      <w:r>
        <w:rPr>
          <w:rFonts w:ascii="Arial" w:cs="Arial" w:eastAsia="Arial" w:hAnsi="Arial"/>
          <w:sz w:val="16"/>
          <w:szCs w:val="16"/>
          <w:color w:val="auto"/>
        </w:rPr>
        <w:t>Our total revenue was $35.1 million and $24.3 million in the three months ended March 31, 2022 and 2021, respectively. The increase was primarily due to continued demand across our full portfolio of product offerings and an increase in the average blended selling price due to product mix.</w:t>
      </w:r>
    </w:p>
    <w:p>
      <w:pPr>
        <w:spacing w:after="0" w:line="8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To date, we have adopted a direct sales model in North America, Europe and China, and sell our products through third-party distributors in certain countries in Europe, Latin America, the Middle East, Africa and the Asia-Pacific region. Revenue from direct sales represented 88% and 82% of total revenue for the three months ended March 31, 2022 and 2021, respectively, and revenue from distributors represented 12% and 18% of total revenue for the three months ended March 31, 2022 and 2021, respectively.</w:t>
      </w:r>
    </w:p>
    <w:p>
      <w:pPr>
        <w:spacing w:after="0" w:line="16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We focus a substantial portion of our resources on developing new products and solutions to meet our customers’ needs. Our research and development efforts focus on developing new and complementary instruments, reagents and reagent kits, and continued operating software development. We incurred research and development expenses of $8.0 million and $5.1 million for the three months ended March 31, 2022 and 2021, respectively. We intend to continue to make significant investments in research and development in the future.</w:t>
      </w:r>
    </w:p>
    <w:p>
      <w:pPr>
        <w:spacing w:after="0" w:line="13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expect to continue to invest in our commercial infrastructure through hiring additional employees with strong scientific and technical backgrounds to support growth in sales of our Aurora, Northern Lights and Aurora CS systems, as well as our planned</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28</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expansion of reagents offerings and panel design capabilities. We also plan to continue to invest in sales, marketing and business development across the globe to drive commercialization of our products. We incurred sales and marketing expenses of $7.0 million and $4.3 million for the three months ended March 31, 2022 and 2021, respectively.</w:t>
      </w:r>
    </w:p>
    <w:p>
      <w:pPr>
        <w:spacing w:after="0" w:line="15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Since our inception in 2014, we have financed our operations primarily through sales of our securities and revenue from the sale of our products and services.</w:t>
      </w:r>
    </w:p>
    <w:p>
      <w:pPr>
        <w:spacing w:after="0" w:line="13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net loss was $2.2 million and net income was $0.1 million for the three months ended March 31, 2022 and 2021, respectively. The change for the three months ended March 31, 2022 compared to the three months ended March 31, 2021 resulted primarily from expenses driven by an increase in headcount and salaries and efforts in research and development and marketing initiatives.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expenses will increase substantially in connection with our on-going activities, as we:</w:t>
      </w:r>
    </w:p>
    <w:p>
      <w:pPr>
        <w:spacing w:after="0" w:line="104"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invest in processes, commercial infrastructure and supporting functions to scale our business and introduce new products and services;</w:t>
      </w:r>
    </w:p>
    <w:p>
      <w:pPr>
        <w:spacing w:after="0" w:line="115" w:lineRule="exact"/>
        <w:rPr>
          <w:rFonts w:ascii="Arial" w:cs="Arial" w:eastAsia="Arial" w:hAnsi="Arial"/>
          <w:sz w:val="17"/>
          <w:szCs w:val="17"/>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support our research and development efforts;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 to expand geographically;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protect and defend our intellectual property;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strategic investments in complementary businesses, services, products or technologies.</w:t>
      </w:r>
    </w:p>
    <w:p>
      <w:pPr>
        <w:spacing w:after="0" w:line="18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 xml:space="preserve">On November 2, 2021, we completed the acquisition of the reagents business of Tonbo Biotechnologies Corporation as detailed in Note 8, </w:t>
      </w:r>
      <w:r>
        <w:rPr>
          <w:rFonts w:ascii="Arial" w:cs="Arial" w:eastAsia="Arial" w:hAnsi="Arial"/>
          <w:sz w:val="18"/>
          <w:szCs w:val="18"/>
          <w:i w:val="1"/>
          <w:iCs w:val="1"/>
          <w:color w:val="auto"/>
        </w:rPr>
        <w:t xml:space="preserve">Acquisition, </w:t>
      </w:r>
      <w:r>
        <w:rPr>
          <w:rFonts w:ascii="Arial" w:cs="Arial" w:eastAsia="Arial" w:hAnsi="Arial"/>
          <w:sz w:val="18"/>
          <w:szCs w:val="18"/>
          <w:color w:val="auto"/>
        </w:rPr>
        <w:t>to our unaudited interim consolidated financial statements included elsewhere in this Quarterly Report on Form 10-Q. The acquired assets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a portfolio of life science research reagents related to cell preparation, flow cytometry, molecular immunology/polymerase chain reaction and cell culture covering application areas across immunology, apoptosis and immunoprofiling.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 of operations and future performance</w:t>
      </w:r>
    </w:p>
    <w:p>
      <w:pPr>
        <w:spacing w:after="0" w:line="189"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We believe that our financial performance has been, and in the foreseeable future will continue to be, primarily driven by multiple factors as described below, each of which presents growth opportunities for our business. These factors also pose important challenges that we must successfully address to sustain our growth and improve our results of operations. Our ability to successfully address these challenges is subject to various risk and uncertainties, including those described under the heading “Risk Factors” included elsewhere in this Quarterly Report on Form 10-Q.</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Global customer adoption</w:t>
      </w:r>
    </w:p>
    <w:p>
      <w:pPr>
        <w:spacing w:after="0" w:line="18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Our financial performance has largely been driven by our ability to increase the adoption of our FSP platform, a key factor on which our future success depends. We plan to drive global customer adoption through business development efforts, direct sales and marketing and third-party distributions. We are investing in our direct sales organization and commercial support functions and developing third-party distributor relationships to support global expansion and drive revenue growth. As part of this effort, we increased our direct sales force by 34% in the three months ended March 31, 2022 compared to the three months ended March 31, 2021. We intend to continue increasing our workforce in line with our growth.</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Recurring revenues</w:t>
      </w:r>
    </w:p>
    <w:p>
      <w:pPr>
        <w:spacing w:after="0" w:line="18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We believe our expanding installed base of instruments to new and existing customers will provide us with greater leverage to drive pull-through for reagent and service revenue, which are recurring by nature. Furthermore, as we develop and identify new applications and products, we expect to further increase pull-through across our installed base. We expect recurring revenue on an absolute basis to increase and become an increasingly important contributor to our revenue as our installed base expands.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mix and gross margin</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revenue is primarily derived from sales of our instruments and services with our instruments recognizing higher gross margins than our services. Although we expect sales of our instruments to continue to represent the largest percentage of our revenue in the future, we expect reagent sales to increase as a percentage of our total revenue and our gross margins to experience a corresponding improvement as we grow our installed base and increase our focus on commercializing reagents. We also expect a higher gross margin on our instruments as we increase manufacturing efficiency, instrument reliability and training for personnel using our instruments, which we expect to lead to a reduction in warranty claims. Our sales in certain regions, particularly outside of the United States, are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29</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realized through third-party distribution partners that typically receive discounted prices, thus resulting in lower gross margins than those recognized by our direct sales organization. Furthermore, our gross margins and instrument selling prices may fluctuate in the future as we continue to grow our volume of third-party distribution partners in geographies outside of the United States, introduce new products and reduce our production costs as a result of variability in the timing of new product introductions.</w:t>
      </w:r>
    </w:p>
    <w:p>
      <w:pPr>
        <w:spacing w:after="0" w:line="161"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 the near term, we expect the continued optimization of our manufacturing processes related to our instruments and the expansion of product manufacturing distribution facilities to have the greatest impact on our gross margin. In addition to the impact of competing products entering the market, the future gross margin profiles of our instruments, services and reagents will depend on the outcome of any royalties we are required to pay and the royalty rates and products to which such royalties apply.</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Expansion into new markets</w:t>
      </w:r>
    </w:p>
    <w:p>
      <w:pPr>
        <w:spacing w:after="0" w:line="185"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We focus our research and development efforts on the greatest value-additive FSP products to meet the growing and unmet needs of the research and clinical markets. We work closely with researchers and clinicians to optimize and implement new panels and applications to meet their specific needs. We also gain valuable insight on potential new products, new applications and enhancements to existing products, as well as biomarker combinations that would be beneficial in different fields, through collaborations with our customers, academic laboratories, KOLs and industry partners. We plan to continue to invest in new product development and enhancements to support our expansion into new markets.</w:t>
      </w:r>
    </w:p>
    <w:p>
      <w:pPr>
        <w:spacing w:after="0" w:line="133"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Northern Lights system obtained clinical certification in China in 2019 and received CE Marking under the European Union In Vitro Diagnostic Medical Devices Directive in September 2020. With these achievements, our Northern Lights system is available for clinical diagnostic use in hospitals, laboratories, and clinics in China and the European Union.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7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regularly review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will change or may be substituted for additional or different metrics as our business grows.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233"/>
              <w:spacing w:after="0"/>
              <w:rPr>
                <w:sz w:val="20"/>
                <w:szCs w:val="20"/>
                <w:color w:val="auto"/>
              </w:rPr>
            </w:pPr>
            <w:r>
              <w:rPr>
                <w:rFonts w:ascii="Arial" w:cs="Arial" w:eastAsia="Arial" w:hAnsi="Arial"/>
                <w:sz w:val="14"/>
                <w:szCs w:val="14"/>
                <w:b w:val="1"/>
                <w:bCs w:val="1"/>
                <w:color w:val="auto"/>
                <w:w w:val="98"/>
              </w:rPr>
              <w:t>Dollar Change</w:t>
            </w:r>
          </w:p>
        </w:tc>
        <w:tc>
          <w:tcPr>
            <w:tcW w:w="0" w:type="dxa"/>
            <w:vAlign w:val="bottom"/>
          </w:tcPr>
          <w:p>
            <w:pPr>
              <w:spacing w:after="0"/>
              <w:rPr>
                <w:sz w:val="1"/>
                <w:szCs w:val="1"/>
                <w:color w:val="auto"/>
              </w:rPr>
            </w:pPr>
          </w:p>
        </w:tc>
      </w:tr>
      <w:tr>
        <w:trPr>
          <w:trHeight w:val="169"/>
        </w:trPr>
        <w:tc>
          <w:tcPr>
            <w:tcW w:w="6560" w:type="dxa"/>
            <w:vAlign w:val="bottom"/>
            <w:gridSpan w:val="2"/>
            <w:vMerge w:val="continue"/>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Sales channel mix</w:t>
            </w:r>
          </w:p>
        </w:tc>
        <w:tc>
          <w:tcPr>
            <w:tcW w:w="16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Direct sales channel</w:t>
            </w:r>
          </w:p>
        </w:tc>
        <w:tc>
          <w:tcPr>
            <w:tcW w:w="860" w:type="dxa"/>
            <w:vAlign w:val="bottom"/>
          </w:tcPr>
          <w:p>
            <w:pPr>
              <w:jc w:val="right"/>
              <w:ind w:right="676"/>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0"/>
              </w:rPr>
              <w:t>30,919</w:t>
            </w:r>
          </w:p>
        </w:tc>
        <w:tc>
          <w:tcPr>
            <w:tcW w:w="104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7"/>
              </w:rPr>
              <w:t>19,862</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11,057</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FF0FC"/>
            </w:tcBorders>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Distributor channel</w:t>
            </w:r>
          </w:p>
        </w:tc>
        <w:tc>
          <w:tcPr>
            <w:tcW w:w="8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4,145</w:t>
            </w:r>
          </w:p>
        </w:tc>
        <w:tc>
          <w:tcPr>
            <w:tcW w:w="1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4,410</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(265 )</w:t>
            </w:r>
          </w:p>
        </w:tc>
        <w:tc>
          <w:tcPr>
            <w:tcW w:w="0" w:type="dxa"/>
            <w:vAlign w:val="bottom"/>
          </w:tcPr>
          <w:p>
            <w:pPr>
              <w:spacing w:after="0"/>
              <w:rPr>
                <w:sz w:val="1"/>
                <w:szCs w:val="1"/>
                <w:color w:val="auto"/>
              </w:rPr>
            </w:pPr>
          </w:p>
        </w:tc>
      </w:tr>
      <w:tr>
        <w:trPr>
          <w:trHeight w:val="196"/>
        </w:trPr>
        <w:tc>
          <w:tcPr>
            <w:tcW w:w="65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revenue, net</w:t>
            </w:r>
          </w:p>
        </w:tc>
        <w:tc>
          <w:tcPr>
            <w:tcW w:w="860" w:type="dxa"/>
            <w:vAlign w:val="bottom"/>
          </w:tcPr>
          <w:p>
            <w:pPr>
              <w:jc w:val="right"/>
              <w:ind w:right="67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w w:val="90"/>
              </w:rPr>
              <w:t>35,064</w:t>
            </w:r>
          </w:p>
        </w:tc>
        <w:tc>
          <w:tcPr>
            <w:tcW w:w="1040" w:type="dxa"/>
            <w:vAlign w:val="bottom"/>
            <w:gridSpan w:val="2"/>
          </w:tcPr>
          <w:p>
            <w:pPr>
              <w:jc w:val="right"/>
              <w:ind w:right="760"/>
              <w:spacing w:after="0" w:line="196"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w w:val="87"/>
              </w:rPr>
              <w:t>24,272</w:t>
            </w:r>
          </w:p>
        </w:tc>
        <w:tc>
          <w:tcPr>
            <w:tcW w:w="3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10,792</w:t>
            </w:r>
          </w:p>
        </w:tc>
        <w:tc>
          <w:tcPr>
            <w:tcW w:w="0" w:type="dxa"/>
            <w:vAlign w:val="bottom"/>
          </w:tcPr>
          <w:p>
            <w:pPr>
              <w:spacing w:after="0"/>
              <w:rPr>
                <w:sz w:val="1"/>
                <w:szCs w:val="1"/>
                <w:color w:val="auto"/>
              </w:rPr>
            </w:pPr>
          </w:p>
        </w:tc>
      </w:tr>
      <w:tr>
        <w:trPr>
          <w:trHeight w:val="20"/>
        </w:trPr>
        <w:tc>
          <w:tcPr>
            <w:tcW w:w="656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6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Customer mix</w:t>
            </w:r>
          </w:p>
        </w:tc>
        <w:tc>
          <w:tcPr>
            <w:tcW w:w="8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56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Academia and government</w:t>
            </w:r>
          </w:p>
        </w:tc>
        <w:tc>
          <w:tcPr>
            <w:tcW w:w="860" w:type="dxa"/>
            <w:vAlign w:val="bottom"/>
          </w:tcPr>
          <w:p>
            <w:pPr>
              <w:jc w:val="right"/>
              <w:ind w:right="676"/>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0"/>
              </w:rPr>
              <w:t>14,407</w:t>
            </w:r>
          </w:p>
        </w:tc>
        <w:tc>
          <w:tcPr>
            <w:tcW w:w="1040" w:type="dxa"/>
            <w:vAlign w:val="bottom"/>
            <w:gridSpan w:val="2"/>
          </w:tcPr>
          <w:p>
            <w:pPr>
              <w:jc w:val="right"/>
              <w:ind w:right="76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87"/>
              </w:rPr>
              <w:t>10,116</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4,291</w:t>
            </w:r>
          </w:p>
        </w:tc>
        <w:tc>
          <w:tcPr>
            <w:tcW w:w="0" w:type="dxa"/>
            <w:vAlign w:val="bottom"/>
          </w:tcPr>
          <w:p>
            <w:pPr>
              <w:spacing w:after="0"/>
              <w:rPr>
                <w:sz w:val="1"/>
                <w:szCs w:val="1"/>
                <w:color w:val="auto"/>
              </w:rPr>
            </w:pPr>
          </w:p>
        </w:tc>
      </w:tr>
      <w:tr>
        <w:trPr>
          <w:trHeight w:val="162"/>
        </w:trPr>
        <w:tc>
          <w:tcPr>
            <w:tcW w:w="6560" w:type="dxa"/>
            <w:vAlign w:val="bottom"/>
            <w:gridSpan w:val="2"/>
            <w:shd w:val="clear" w:color="auto" w:fill="CFF0FC"/>
          </w:tcPr>
          <w:p>
            <w:pPr>
              <w:ind w:left="240"/>
              <w:spacing w:after="0" w:line="162" w:lineRule="exact"/>
              <w:rPr>
                <w:sz w:val="20"/>
                <w:szCs w:val="20"/>
                <w:color w:val="auto"/>
              </w:rPr>
            </w:pPr>
            <w:r>
              <w:rPr>
                <w:rFonts w:ascii="Arial" w:cs="Arial" w:eastAsia="Arial" w:hAnsi="Arial"/>
                <w:sz w:val="18"/>
                <w:szCs w:val="18"/>
                <w:color w:val="auto"/>
              </w:rPr>
              <w:t>Biotechnology, pharmaceutical, distributor and</w:t>
            </w:r>
          </w:p>
        </w:tc>
        <w:tc>
          <w:tcPr>
            <w:tcW w:w="86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0"/>
              </w:rPr>
              <w:t>20,657</w:t>
            </w: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7"/>
              </w:rPr>
              <w:t>14,156</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80" w:type="dxa"/>
            <w:vAlign w:val="bottom"/>
            <w:vMerge w:val="restart"/>
            <w:shd w:val="clear" w:color="auto" w:fill="CFF0FC"/>
          </w:tcPr>
          <w:p>
            <w:pPr>
              <w:jc w:val="right"/>
              <w:ind w:right="13"/>
              <w:spacing w:after="0"/>
              <w:rPr>
                <w:sz w:val="20"/>
                <w:szCs w:val="20"/>
                <w:color w:val="auto"/>
              </w:rPr>
            </w:pPr>
            <w:r>
              <w:rPr>
                <w:rFonts w:ascii="Arial" w:cs="Arial" w:eastAsia="Arial" w:hAnsi="Arial"/>
                <w:sz w:val="18"/>
                <w:szCs w:val="18"/>
                <w:color w:val="auto"/>
              </w:rPr>
              <w:t>6,501</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FF0FC"/>
            </w:tcBorders>
            <w:gridSpan w:val="2"/>
            <w:shd w:val="clear" w:color="auto" w:fill="CFF0FC"/>
          </w:tcPr>
          <w:p>
            <w:pPr>
              <w:ind w:left="340"/>
              <w:spacing w:after="0" w:line="202" w:lineRule="exact"/>
              <w:rPr>
                <w:sz w:val="20"/>
                <w:szCs w:val="20"/>
                <w:color w:val="auto"/>
              </w:rPr>
            </w:pPr>
            <w:r>
              <w:rPr>
                <w:rFonts w:ascii="Arial" w:cs="Arial" w:eastAsia="Arial" w:hAnsi="Arial"/>
                <w:sz w:val="18"/>
                <w:szCs w:val="18"/>
                <w:color w:val="auto"/>
              </w:rPr>
              <w:t>CRO</w:t>
            </w:r>
          </w:p>
        </w:tc>
        <w:tc>
          <w:tcPr>
            <w:tcW w:w="8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28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revenue, net</w:t>
            </w:r>
          </w:p>
        </w:tc>
        <w:tc>
          <w:tcPr>
            <w:tcW w:w="860" w:type="dxa"/>
            <w:vAlign w:val="bottom"/>
          </w:tcPr>
          <w:p>
            <w:pPr>
              <w:jc w:val="right"/>
              <w:ind w:right="67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w w:val="90"/>
              </w:rPr>
              <w:t>35,064</w:t>
            </w:r>
          </w:p>
        </w:tc>
        <w:tc>
          <w:tcPr>
            <w:tcW w:w="1040" w:type="dxa"/>
            <w:vAlign w:val="bottom"/>
            <w:gridSpan w:val="2"/>
          </w:tcPr>
          <w:p>
            <w:pPr>
              <w:jc w:val="right"/>
              <w:ind w:right="760"/>
              <w:spacing w:after="0" w:line="196"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w w:val="87"/>
              </w:rPr>
              <w:t>24,272</w:t>
            </w:r>
          </w:p>
        </w:tc>
        <w:tc>
          <w:tcPr>
            <w:tcW w:w="32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3"/>
              <w:spacing w:after="0" w:line="196" w:lineRule="exact"/>
              <w:rPr>
                <w:sz w:val="20"/>
                <w:szCs w:val="20"/>
                <w:color w:val="auto"/>
              </w:rPr>
            </w:pPr>
            <w:r>
              <w:rPr>
                <w:rFonts w:ascii="Arial" w:cs="Arial" w:eastAsia="Arial" w:hAnsi="Arial"/>
                <w:sz w:val="18"/>
                <w:szCs w:val="18"/>
                <w:color w:val="auto"/>
              </w:rPr>
              <w:t>10,792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-810895</wp:posOffset>
            </wp:positionV>
            <wp:extent cx="11112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-810895</wp:posOffset>
            </wp:positionV>
            <wp:extent cx="10287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-159385</wp:posOffset>
            </wp:positionV>
            <wp:extent cx="11112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-159385</wp:posOffset>
            </wp:positionV>
            <wp:extent cx="10287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Distributors typically sell to end customers identified in other customer categories.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sets forth our cumulative instruments shipped as of the dates presented: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7860" w:type="dxa"/>
            <w:vAlign w:val="bottom"/>
          </w:tcPr>
          <w:p>
            <w:pPr>
              <w:spacing w:after="0"/>
              <w:rPr>
                <w:sz w:val="16"/>
                <w:szCs w:val="16"/>
                <w:color w:val="auto"/>
              </w:rPr>
            </w:pPr>
          </w:p>
        </w:tc>
        <w:tc>
          <w:tcPr>
            <w:tcW w:w="1700" w:type="dxa"/>
            <w:vAlign w:val="bottom"/>
            <w:gridSpan w:val="2"/>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680" w:type="dxa"/>
            <w:vAlign w:val="bottom"/>
            <w:gridSpan w:val="2"/>
          </w:tcPr>
          <w:p>
            <w:pPr>
              <w:jc w:val="right"/>
              <w:ind w:right="559"/>
              <w:spacing w:after="0"/>
              <w:rPr>
                <w:sz w:val="20"/>
                <w:szCs w:val="20"/>
                <w:color w:val="auto"/>
              </w:rPr>
            </w:pPr>
            <w:r>
              <w:rPr>
                <w:rFonts w:ascii="Arial" w:cs="Arial" w:eastAsia="Arial" w:hAnsi="Arial"/>
                <w:sz w:val="14"/>
                <w:szCs w:val="14"/>
                <w:b w:val="1"/>
                <w:bCs w:val="1"/>
                <w:color w:val="auto"/>
              </w:rPr>
              <w:t>2021</w:t>
            </w:r>
          </w:p>
        </w:tc>
      </w:tr>
      <w:tr>
        <w:trPr>
          <w:trHeight w:val="196"/>
        </w:trPr>
        <w:tc>
          <w:tcPr>
            <w:tcW w:w="78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Instruments shipped</w:t>
            </w:r>
          </w:p>
        </w:tc>
        <w:tc>
          <w:tcPr>
            <w:tcW w:w="200" w:type="dxa"/>
            <w:vAlign w:val="bottom"/>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1,226</w:t>
            </w:r>
          </w:p>
        </w:tc>
        <w:tc>
          <w:tcPr>
            <w:tcW w:w="200" w:type="dxa"/>
            <w:vAlign w:val="bottom"/>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1,110</w:t>
            </w: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08"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global COVID-19 pandemic continues to evolve and we intend to continue to monitor it closely. In response to the COVID-19 pandemic and various resulting government directives, we took proactive measures to protect the health and safety of our employees, contractors, customers and visiting vendors and suppliers, including implementing social distancing and other protective measures, restricting business travel and limiting access to our facilities to vendors, suppliers and partners who are critical to our business operations. We communicate regularly with our suppliers so that our supply chain remains intact, and we have not experienced any material supply issues. We also developed, and continue to develop, remote learning capabilities to help our customers and partners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30</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operate and reduce the number of required customer/partner on-site visits for our field application scientists and field support engineers to comply with travel restrictions and country-specific quarantine requirements. While the COVID-19 pandemic has not had a material adverse effect on our business, results of operations or the operation of financial reporting systems, internal control over financial reporting and disclosure controls and procedures, given the considerable uncertainty around the duration and extent of the pandemic, the related financial and operational impact cannot be reasonably estimated. We continue to monitor the implications of the COVID-19 pandemic on our business, as well as our customers’ and suppliers’ business. Potential impacts of the COVID-19 pandemic, some of which we have already experienced, include those described throughout the “Risk Factors” section, including “A pandemic, epidemic or outbreak of an infectious disease in the United States or worldwide could adversely affect our business. The COVID-19 pandemic has had and could continue to have an adverse impact on our business, operations, and the markets and communities in which we, our partners, and customers operate.”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Total revenue, net</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currently generate our total revenue, net from product revenue and service revenue.</w:t>
      </w:r>
    </w:p>
    <w:p>
      <w:pPr>
        <w:spacing w:after="0" w:line="171"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i w:val="1"/>
          <w:iCs w:val="1"/>
          <w:color w:val="auto"/>
        </w:rPr>
        <w:t>Product</w:t>
      </w:r>
      <w:r>
        <w:rPr>
          <w:rFonts w:ascii="Arial" w:cs="Arial" w:eastAsia="Arial" w:hAnsi="Arial"/>
          <w:sz w:val="17"/>
          <w:szCs w:val="17"/>
          <w:color w:val="auto"/>
        </w:rPr>
        <w:t>. Our product revenue primarily consists of sales of our instruments, including the Aurora, Northern Lights and Aurora CS systems,</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 accessories, such as loaders and consumables, such as reagents. We offer multiple versions of our Aurora and Northern Lights systems with different price points based on the number of lasers integrated in the systems. We also derive revenue from sales of our conventional flow cytometry system, which is available for sale in China. We recognize product revenue when control of the instrument is transferred to the customer.</w:t>
      </w:r>
    </w:p>
    <w:p>
      <w:pPr>
        <w:spacing w:after="0" w:line="14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i w:val="1"/>
          <w:iCs w:val="1"/>
          <w:color w:val="auto"/>
        </w:rPr>
        <w:t>Service</w:t>
      </w:r>
      <w:r>
        <w:rPr>
          <w:rFonts w:ascii="Arial" w:cs="Arial" w:eastAsia="Arial" w:hAnsi="Arial"/>
          <w:sz w:val="18"/>
          <w:szCs w:val="18"/>
          <w:color w:val="auto"/>
        </w:rPr>
        <w:t>. Our service revenue primarily consists of post-warranty service contracts, installations and repairs which are recognized over time. Post-warranty service contracts are recognized ratably over the term of the contract and installations and repair services are recognized as they are delivered to the customer.</w:t>
      </w:r>
    </w:p>
    <w:p>
      <w:pPr>
        <w:spacing w:after="0" w:line="14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expect our revenue to increase in absolute dollars as we expand our sales organization and sales territories, broaden our customer base, and expand awareness of our products with new and existing customers. Our revenue was $35.1 million and $24.3 million for the three months ended March 31, 2022 and 2021, respectively.</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Total cost of sales, gross profit and gross margin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total cost of sales is comprised of product cost of sales and service cost of sales.</w:t>
      </w:r>
    </w:p>
    <w:p>
      <w:pPr>
        <w:spacing w:after="0" w:line="185"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i w:val="1"/>
          <w:iCs w:val="1"/>
          <w:color w:val="auto"/>
        </w:rPr>
        <w:t xml:space="preserve">Product. </w:t>
      </w:r>
      <w:r>
        <w:rPr>
          <w:rFonts w:ascii="Arial" w:cs="Arial" w:eastAsia="Arial" w:hAnsi="Arial"/>
          <w:sz w:val="18"/>
          <w:szCs w:val="18"/>
          <w:color w:val="auto"/>
        </w:rPr>
        <w:t>Cost of sales associated with our products primarily consist of manufacturing-related costs incurred in the production process, inventory</w:t>
      </w:r>
      <w:r>
        <w:rPr>
          <w:rFonts w:ascii="Arial" w:cs="Arial" w:eastAsia="Arial" w:hAnsi="Arial"/>
          <w:sz w:val="18"/>
          <w:szCs w:val="18"/>
          <w:i w:val="1"/>
          <w:iCs w:val="1"/>
          <w:color w:val="auto"/>
        </w:rPr>
        <w:t xml:space="preserve"> </w:t>
      </w:r>
      <w:r>
        <w:rPr>
          <w:rFonts w:ascii="Arial" w:cs="Arial" w:eastAsia="Arial" w:hAnsi="Arial"/>
          <w:sz w:val="18"/>
          <w:szCs w:val="18"/>
          <w:color w:val="auto"/>
        </w:rPr>
        <w:t>write-downs, warranty costs, third party royalty costs, personnel and related costs, costs of component materials, overhead, packaging and delivery and depreciation expense.</w:t>
      </w:r>
    </w:p>
    <w:p>
      <w:pPr>
        <w:spacing w:after="0" w:line="14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i w:val="1"/>
          <w:iCs w:val="1"/>
          <w:color w:val="auto"/>
        </w:rPr>
        <w:t>Service</w:t>
      </w:r>
      <w:r>
        <w:rPr>
          <w:rFonts w:ascii="Arial" w:cs="Arial" w:eastAsia="Arial" w:hAnsi="Arial"/>
          <w:sz w:val="18"/>
          <w:szCs w:val="18"/>
          <w:color w:val="auto"/>
        </w:rPr>
        <w:t>. Cost of sales associated with our services primarily consists of personnel and related costs, expenses related to product replacements,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updates and qualification validation of our products and depreciation expense.</w:t>
      </w:r>
    </w:p>
    <w:p>
      <w:pPr>
        <w:spacing w:after="0" w:line="144"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expect our total cost of sales to increase in absolute dollars in future periods, corresponding to our anticipated growth in revenue and employee headcount to support our manufacturing, operations, field service team and support organizations.</w:t>
      </w:r>
    </w:p>
    <w:p>
      <w:pPr>
        <w:spacing w:after="0" w:line="130"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Gross profit is calculated as revenue less total cost of sales. Gross margin is gross profit expressed as a percentage of revenue. Our gross profit in future periods will depend on a variety of factors, including market conditions that may impact our pricing, sales mix changes among our instruments and service agreements, product mix changes between established products and new products, excess and obsolete inventories, our cost structure for manufacturing operations relative to volume and product warranty obligations.</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Our operating expenses are primarily comprised of research and development, sales and marketing, and general and administrative expenses, depreciation and amortization, and related overhead.</w:t>
      </w:r>
    </w:p>
    <w:p>
      <w:pPr>
        <w:spacing w:after="0" w:line="144"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Our research and development expenses primarily consist of salaries, benefits, stock-based compensation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in our research and development department, independent contractor costs, laboratory supplies, equipment maintenance and materials expenses.</w:t>
      </w:r>
    </w:p>
    <w:p>
      <w:pPr>
        <w:spacing w:after="0" w:line="1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We plan to continue to invest in our research and development efforts, including hiring additional employees to enhance existing products and develop new products. We expect research and development expense will increase in absolute dollars in future periods and vary from period to period as a percentage of revenue due to our continuing investment in product development.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31</w:t>
      </w:r>
    </w:p>
    <w:p>
      <w:pPr>
        <w:spacing w:after="0" w:line="10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i w:val="1"/>
          <w:iCs w:val="1"/>
          <w:color w:val="auto"/>
        </w:rPr>
        <w:t>Sales and marketing</w:t>
      </w:r>
      <w:r>
        <w:rPr>
          <w:rFonts w:ascii="Arial" w:cs="Arial" w:eastAsia="Arial" w:hAnsi="Arial"/>
          <w:sz w:val="17"/>
          <w:szCs w:val="17"/>
          <w:color w:val="auto"/>
        </w:rPr>
        <w:t>. Our sales and marketing expenses consist primarily of salaries, benefits, and stock-based compensation costs for employees in</w:t>
      </w:r>
      <w:r>
        <w:rPr>
          <w:rFonts w:ascii="Arial" w:cs="Arial" w:eastAsia="Arial" w:hAnsi="Arial"/>
          <w:sz w:val="17"/>
          <w:szCs w:val="17"/>
          <w:i w:val="1"/>
          <w:iCs w:val="1"/>
          <w:color w:val="auto"/>
        </w:rPr>
        <w:t xml:space="preserve"> </w:t>
      </w:r>
      <w:r>
        <w:rPr>
          <w:rFonts w:ascii="Arial" w:cs="Arial" w:eastAsia="Arial" w:hAnsi="Arial"/>
          <w:sz w:val="17"/>
          <w:szCs w:val="17"/>
          <w:color w:val="auto"/>
        </w:rPr>
        <w:t>our sales and marketing department, sales commissions, marketing material costs, travel expenses and costs related to trade shows, trainings and various workshops. We expect our sales and marketing expense to increase in absolute dollars as we expand our commercial sales, marketing, and business development teams, increase our presence globally and increase marketing activities to drive awareness and adoption of our platform. While these expenses may vary from period to period as a percentage of revenue, we expect these expenses to increase as a percentage of sales in the short-term as we continue to grow our commercial organization to support anticipated growth of the business.</w:t>
      </w:r>
    </w:p>
    <w:p>
      <w:pPr>
        <w:spacing w:after="0" w:line="67" w:lineRule="exact"/>
        <w:rPr>
          <w:sz w:val="20"/>
          <w:szCs w:val="20"/>
          <w:color w:val="auto"/>
        </w:rPr>
      </w:pPr>
    </w:p>
    <w:p>
      <w:pPr>
        <w:jc w:val="both"/>
        <w:ind w:firstLine="509"/>
        <w:spacing w:after="0" w:line="274"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primarily consist of salaries, benefits, and stock-based compensation costs for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in our executive, accounting and finance, legal and human resource functions, as well as professional services fees, such as consulting, audit, tax, legal, general corporate costs and allocated overhead expenses. We expect our operating expenses to increase as a public company. In particular, we expect our accounting, legal, personnel-related expenses and directors’ and officers’ insurance costs reported within general and administrative expense to increase as we establish more comprehensive compliance and governance functions, maintain IT costs, review internal controls over financial reporting in accordance with the Sarbanes-Oxley Act and prepare and distribute periodic reports as required by the rules and regulations of the SEC. As a result, our historical results of operations may not be indicative of our results of operations in future periods.</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these expenses to vary from period to period as a percentage of revenue.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85"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consists primarily of accretion of the present value of the litigation settlement liability. See Note 10 to our</w:t>
      </w:r>
      <w:r>
        <w:rPr>
          <w:rFonts w:ascii="Arial" w:cs="Arial" w:eastAsia="Arial" w:hAnsi="Arial"/>
          <w:sz w:val="16"/>
          <w:szCs w:val="16"/>
          <w:i w:val="1"/>
          <w:iCs w:val="1"/>
          <w:color w:val="auto"/>
        </w:rPr>
        <w:t xml:space="preserve"> </w:t>
      </w:r>
      <w:r>
        <w:rPr>
          <w:rFonts w:ascii="Arial" w:cs="Arial" w:eastAsia="Arial" w:hAnsi="Arial"/>
          <w:sz w:val="16"/>
          <w:szCs w:val="16"/>
          <w:color w:val="auto"/>
        </w:rPr>
        <w:t>unaudited interim consolidated financial statements included elsewhere in this Quarterly Report on Form 10-Q for further details regarding the settlement.</w:t>
      </w:r>
    </w:p>
    <w:p>
      <w:pPr>
        <w:spacing w:after="0" w:line="16"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Our interest income consists primarily of interest earned on our cash and cash equivalents which are invested in cash deposits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 money market funds.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Our other expense, net consists primarily of foreign exchange gains and losses.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Our (benefit from) provision for income taxes consists primarily of provision for federal taxes and local taxes in the United States as well as foreign taxes. As we plan to expand the scale and scope of our international business activities, any changes in the United States and foreign taxation of such activities may increase our overall provision for income taxes in the future.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32</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171"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The results of operations presented below should be reviewed in conjunction with the unaudited interim consolidated financial statements and related notes included elsewhere in this Quarterly Report on Form 10-Q.</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interim consolidated results of operations and comprehensive income data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10"/>
          </w:tcPr>
          <w:p>
            <w:pPr>
              <w:jc w:val="right"/>
              <w:ind w:right="771"/>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69"/>
        </w:trPr>
        <w:tc>
          <w:tcPr>
            <w:tcW w:w="5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57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 net:</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31,481</w:t>
            </w:r>
          </w:p>
        </w:tc>
        <w:tc>
          <w:tcPr>
            <w:tcW w:w="480" w:type="dxa"/>
            <w:vAlign w:val="bottom"/>
            <w:gridSpan w:val="3"/>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22,700</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CFF0FC"/>
            </w:tcBorders>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Service</w:t>
            </w:r>
          </w:p>
        </w:tc>
        <w:tc>
          <w:tcPr>
            <w:tcW w:w="2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3,583</w:t>
            </w: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196"/>
        </w:trPr>
        <w:tc>
          <w:tcPr>
            <w:tcW w:w="57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 revenue, net</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35,064</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24,272</w:t>
            </w:r>
          </w:p>
        </w:tc>
        <w:tc>
          <w:tcPr>
            <w:tcW w:w="0" w:type="dxa"/>
            <w:vAlign w:val="bottom"/>
          </w:tcPr>
          <w:p>
            <w:pPr>
              <w:spacing w:after="0"/>
              <w:rPr>
                <w:sz w:val="1"/>
                <w:szCs w:val="1"/>
                <w:color w:val="auto"/>
              </w:rPr>
            </w:pPr>
          </w:p>
        </w:tc>
      </w:tr>
      <w:tr>
        <w:trPr>
          <w:trHeight w:val="196"/>
        </w:trPr>
        <w:tc>
          <w:tcPr>
            <w:tcW w:w="57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Cost of sales:</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Product</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4"/>
              </w:rPr>
              <w:t>11,767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7,308</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CFF0FC"/>
            </w:tcBorders>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Service</w:t>
            </w:r>
          </w:p>
        </w:tc>
        <w:tc>
          <w:tcPr>
            <w:tcW w:w="2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3,120</w:t>
            </w: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196"/>
        </w:trPr>
        <w:tc>
          <w:tcPr>
            <w:tcW w:w="57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 cost of sales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14,887</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9,786</w:t>
            </w:r>
          </w:p>
        </w:tc>
        <w:tc>
          <w:tcPr>
            <w:tcW w:w="0" w:type="dxa"/>
            <w:vAlign w:val="bottom"/>
          </w:tcPr>
          <w:p>
            <w:pPr>
              <w:spacing w:after="0"/>
              <w:rPr>
                <w:sz w:val="1"/>
                <w:szCs w:val="1"/>
                <w:color w:val="auto"/>
              </w:rPr>
            </w:pPr>
          </w:p>
        </w:tc>
      </w:tr>
      <w:tr>
        <w:trPr>
          <w:trHeight w:val="196"/>
        </w:trPr>
        <w:tc>
          <w:tcPr>
            <w:tcW w:w="5760" w:type="dxa"/>
            <w:vAlign w:val="bottom"/>
            <w:gridSpan w:val="2"/>
            <w:shd w:val="clear" w:color="auto" w:fill="CFF0FC"/>
          </w:tcPr>
          <w:p>
            <w:pPr>
              <w:ind w:left="300"/>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4"/>
              </w:rPr>
              <w:t>20,177</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14,486</w:t>
            </w:r>
          </w:p>
        </w:tc>
        <w:tc>
          <w:tcPr>
            <w:tcW w:w="0" w:type="dxa"/>
            <w:vAlign w:val="bottom"/>
          </w:tcPr>
          <w:p>
            <w:pPr>
              <w:spacing w:after="0"/>
              <w:rPr>
                <w:sz w:val="1"/>
                <w:szCs w:val="1"/>
                <w:color w:val="auto"/>
              </w:rPr>
            </w:pPr>
          </w:p>
        </w:tc>
      </w:tr>
      <w:tr>
        <w:trPr>
          <w:trHeight w:val="203"/>
        </w:trPr>
        <w:tc>
          <w:tcPr>
            <w:tcW w:w="57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8,025</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03"/>
        </w:trPr>
        <w:tc>
          <w:tcPr>
            <w:tcW w:w="57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6,960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CFF0FC"/>
            </w:tcBorders>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7,549</w:t>
            </w: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196"/>
        </w:trPr>
        <w:tc>
          <w:tcPr>
            <w:tcW w:w="57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22,534</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13,354</w:t>
            </w:r>
          </w:p>
        </w:tc>
        <w:tc>
          <w:tcPr>
            <w:tcW w:w="0" w:type="dxa"/>
            <w:vAlign w:val="bottom"/>
          </w:tcPr>
          <w:p>
            <w:pPr>
              <w:spacing w:after="0"/>
              <w:rPr>
                <w:sz w:val="1"/>
                <w:szCs w:val="1"/>
                <w:color w:val="auto"/>
              </w:rPr>
            </w:pPr>
          </w:p>
        </w:tc>
      </w:tr>
      <w:tr>
        <w:trPr>
          <w:trHeight w:val="196"/>
        </w:trPr>
        <w:tc>
          <w:tcPr>
            <w:tcW w:w="576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(Loss) income from operations</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6"/>
              </w:rPr>
              <w:t>(2,357 )</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03"/>
        </w:trPr>
        <w:tc>
          <w:tcPr>
            <w:tcW w:w="57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(590 )</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(375 )</w:t>
            </w:r>
          </w:p>
        </w:tc>
        <w:tc>
          <w:tcPr>
            <w:tcW w:w="0" w:type="dxa"/>
            <w:vAlign w:val="bottom"/>
          </w:tcPr>
          <w:p>
            <w:pPr>
              <w:spacing w:after="0"/>
              <w:rPr>
                <w:sz w:val="1"/>
                <w:szCs w:val="1"/>
                <w:color w:val="auto"/>
              </w:rPr>
            </w:pPr>
          </w:p>
        </w:tc>
      </w:tr>
      <w:tr>
        <w:trPr>
          <w:trHeight w:val="203"/>
        </w:trPr>
        <w:tc>
          <w:tcPr>
            <w:tcW w:w="57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2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(374 )</w:t>
            </w: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(615 )</w:t>
            </w:r>
          </w:p>
        </w:tc>
        <w:tc>
          <w:tcPr>
            <w:tcW w:w="0" w:type="dxa"/>
            <w:vAlign w:val="bottom"/>
          </w:tcPr>
          <w:p>
            <w:pPr>
              <w:spacing w:after="0"/>
              <w:rPr>
                <w:sz w:val="1"/>
                <w:szCs w:val="1"/>
                <w:color w:val="auto"/>
              </w:rPr>
            </w:pPr>
          </w:p>
        </w:tc>
      </w:tr>
      <w:tr>
        <w:trPr>
          <w:trHeight w:val="196"/>
        </w:trPr>
        <w:tc>
          <w:tcPr>
            <w:tcW w:w="57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(Loss) income before income taxes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6"/>
              </w:rPr>
              <w:t>(3,303 )</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96"/>
        </w:trPr>
        <w:tc>
          <w:tcPr>
            <w:tcW w:w="5760" w:type="dxa"/>
            <w:vAlign w:val="bottom"/>
            <w:tcBorders>
              <w:bottom w:val="single" w:sz="8" w:color="CFF0FC"/>
            </w:tcBorders>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(Benefit from) provision for income taxes</w:t>
            </w:r>
          </w:p>
        </w:tc>
        <w:tc>
          <w:tcPr>
            <w:tcW w:w="2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6"/>
              </w:rPr>
              <w:t>(1,145 )</w:t>
            </w: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57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Net (loss) income</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96"/>
              </w:rPr>
              <w:t>(2,158 )</w:t>
            </w:r>
          </w:p>
        </w:tc>
        <w:tc>
          <w:tcPr>
            <w:tcW w:w="480" w:type="dxa"/>
            <w:vAlign w:val="bottom"/>
            <w:gridSpan w:val="3"/>
          </w:tcPr>
          <w:p>
            <w:pPr>
              <w:jc w:val="right"/>
              <w:ind w:right="108"/>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currency translation adjustment, net of tax</w:t>
            </w:r>
          </w:p>
        </w:tc>
        <w:tc>
          <w:tcPr>
            <w:tcW w:w="2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196"/>
        </w:trPr>
        <w:tc>
          <w:tcPr>
            <w:tcW w:w="57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Net comprehensive (loss) income</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w w:val="96"/>
              </w:rPr>
              <w:t>(2,144 )</w:t>
            </w:r>
          </w:p>
        </w:tc>
        <w:tc>
          <w:tcPr>
            <w:tcW w:w="480" w:type="dxa"/>
            <w:vAlign w:val="bottom"/>
            <w:gridSpan w:val="3"/>
          </w:tcPr>
          <w:p>
            <w:pPr>
              <w:jc w:val="right"/>
              <w:ind w:right="108"/>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ind w:left="560"/>
              <w:spacing w:after="0"/>
              <w:rPr>
                <w:sz w:val="20"/>
                <w:szCs w:val="20"/>
                <w:color w:val="auto"/>
              </w:rPr>
            </w:pPr>
            <w:r>
              <w:rPr>
                <w:rFonts w:ascii="Arial" w:cs="Arial" w:eastAsia="Arial" w:hAnsi="Arial"/>
                <w:sz w:val="18"/>
                <w:szCs w:val="18"/>
                <w:b w:val="1"/>
                <w:bCs w:val="1"/>
                <w:i w:val="1"/>
                <w:iCs w:val="1"/>
                <w:color w:val="auto"/>
              </w:rPr>
              <w:t>Total revenue, net</w:t>
            </w: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7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ind w:right="308"/>
              <w:spacing w:after="0"/>
              <w:rPr>
                <w:sz w:val="20"/>
                <w:szCs w:val="20"/>
                <w:color w:val="auto"/>
              </w:rPr>
            </w:pPr>
            <w:r>
              <w:rPr>
                <w:rFonts w:ascii="Arial" w:cs="Arial" w:eastAsia="Arial" w:hAnsi="Arial"/>
                <w:sz w:val="14"/>
                <w:szCs w:val="14"/>
                <w:b w:val="1"/>
                <w:bCs w:val="1"/>
                <w:color w:val="auto"/>
                <w:w w:val="98"/>
              </w:rPr>
              <w:t>Three months ended March 31,</w:t>
            </w: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7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Pr>
          <w:p>
            <w:pPr>
              <w:spacing w:after="0"/>
              <w:rPr>
                <w:sz w:val="14"/>
                <w:szCs w:val="14"/>
                <w:color w:val="auto"/>
              </w:rPr>
            </w:pPr>
          </w:p>
        </w:tc>
        <w:tc>
          <w:tcPr>
            <w:tcW w:w="1060" w:type="dxa"/>
            <w:vAlign w:val="bottom"/>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6"/>
          </w:tcPr>
          <w:p>
            <w:pPr>
              <w:ind w:left="180"/>
              <w:spacing w:after="0"/>
              <w:rPr>
                <w:sz w:val="20"/>
                <w:szCs w:val="20"/>
                <w:color w:val="auto"/>
              </w:rPr>
            </w:pPr>
            <w:r>
              <w:rPr>
                <w:rFonts w:ascii="Arial" w:cs="Arial" w:eastAsia="Arial" w:hAnsi="Arial"/>
                <w:sz w:val="14"/>
                <w:szCs w:val="14"/>
                <w:b w:val="1"/>
                <w:bCs w:val="1"/>
                <w:color w:val="auto"/>
              </w:rPr>
              <w:t>Amount</w:t>
            </w:r>
          </w:p>
        </w:tc>
        <w:tc>
          <w:tcPr>
            <w:tcW w:w="1120" w:type="dxa"/>
            <w:vAlign w:val="bottom"/>
          </w:tcPr>
          <w:p>
            <w:pPr>
              <w:jc w:val="right"/>
              <w:ind w:right="5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56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 net</w:t>
            </w:r>
          </w:p>
        </w:tc>
        <w:tc>
          <w:tcPr>
            <w:tcW w:w="1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Product</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31,481</w:t>
            </w:r>
          </w:p>
        </w:tc>
        <w:tc>
          <w:tcPr>
            <w:tcW w:w="42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22,700</w:t>
            </w:r>
          </w:p>
        </w:tc>
        <w:tc>
          <w:tcPr>
            <w:tcW w:w="3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4"/>
          </w:tcPr>
          <w:p>
            <w:pPr>
              <w:jc w:val="right"/>
              <w:ind w:right="8"/>
              <w:spacing w:after="0" w:line="202" w:lineRule="exact"/>
              <w:rPr>
                <w:sz w:val="20"/>
                <w:szCs w:val="20"/>
                <w:color w:val="auto"/>
              </w:rPr>
            </w:pPr>
            <w:r>
              <w:rPr>
                <w:rFonts w:ascii="Arial" w:cs="Arial" w:eastAsia="Arial" w:hAnsi="Arial"/>
                <w:sz w:val="18"/>
                <w:szCs w:val="18"/>
                <w:color w:val="auto"/>
              </w:rPr>
              <w:t>8,781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CFF0FC"/>
            </w:tcBorders>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Service</w:t>
            </w:r>
          </w:p>
        </w:tc>
        <w:tc>
          <w:tcPr>
            <w:tcW w:w="2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3,583</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1,572</w:t>
            </w:r>
          </w:p>
        </w:tc>
        <w:tc>
          <w:tcPr>
            <w:tcW w:w="6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gridSpan w:val="3"/>
            <w:shd w:val="clear" w:color="auto" w:fill="CFF0FC"/>
          </w:tcPr>
          <w:p>
            <w:pPr>
              <w:jc w:val="right"/>
              <w:ind w:right="8"/>
              <w:spacing w:after="0" w:line="202" w:lineRule="exact"/>
              <w:rPr>
                <w:sz w:val="20"/>
                <w:szCs w:val="20"/>
                <w:color w:val="auto"/>
              </w:rPr>
            </w:pPr>
            <w:r>
              <w:rPr>
                <w:rFonts w:ascii="Arial" w:cs="Arial" w:eastAsia="Arial" w:hAnsi="Arial"/>
                <w:sz w:val="18"/>
                <w:szCs w:val="18"/>
                <w:color w:val="auto"/>
                <w:w w:val="84"/>
              </w:rPr>
              <w:t>2,011</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196"/>
        </w:trPr>
        <w:tc>
          <w:tcPr>
            <w:tcW w:w="56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revenue, net</w:t>
            </w: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35,064</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24,272</w:t>
            </w:r>
          </w:p>
        </w:tc>
        <w:tc>
          <w:tcPr>
            <w:tcW w:w="300" w:type="dxa"/>
            <w:vAlign w:val="bottom"/>
            <w:tcBorders>
              <w:bottom w:val="single" w:sz="8" w:color="auto"/>
            </w:tcBorders>
            <w:gridSpan w:val="3"/>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4"/>
          </w:tcPr>
          <w:p>
            <w:pPr>
              <w:jc w:val="right"/>
              <w:ind w:right="8"/>
              <w:spacing w:after="0" w:line="196" w:lineRule="exact"/>
              <w:rPr>
                <w:sz w:val="20"/>
                <w:szCs w:val="20"/>
                <w:color w:val="auto"/>
              </w:rPr>
            </w:pPr>
            <w:r>
              <w:rPr>
                <w:rFonts w:ascii="Arial" w:cs="Arial" w:eastAsia="Arial" w:hAnsi="Arial"/>
                <w:sz w:val="18"/>
                <w:szCs w:val="18"/>
                <w:color w:val="auto"/>
              </w:rPr>
              <w:t>10,792</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-3948430</wp:posOffset>
            </wp:positionV>
            <wp:extent cx="120015"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-3416935</wp:posOffset>
            </wp:positionV>
            <wp:extent cx="12001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-2628265</wp:posOffset>
            </wp:positionV>
            <wp:extent cx="12001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-1839595</wp:posOffset>
            </wp:positionV>
            <wp:extent cx="12001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-1565275</wp:posOffset>
            </wp:positionV>
            <wp:extent cx="12001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-1299210</wp:posOffset>
            </wp:positionV>
            <wp:extent cx="12001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-142240</wp:posOffset>
            </wp:positionV>
            <wp:extent cx="939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-142240</wp:posOffset>
            </wp:positionV>
            <wp:extent cx="5143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-142240</wp:posOffset>
            </wp:positionV>
            <wp:extent cx="8572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Total revenue, net increased by $10.8 million, or 44%, for the three months ended March 31, 2022 as compared to the three months ended March 31, 2021. The increase in revenue was primarily driven by an increase in product revenue due to higher unit sales of our Aurora and Northern Lights systems, sales of our Aurora CS system, which commercially launched in June 2021, recently launched reagents and consumables, and an increase in the average blended selling price due to product mix.</w:t>
      </w:r>
    </w:p>
    <w:p>
      <w:pPr>
        <w:spacing w:after="0" w:line="147"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Product revenue increased by $8.8 million, or 39%, to $31.5 million, for the three months ended March 31, 2022 as compared to the three months ended March 31, 2021. The increase was primarily driven by an increase in our instrument sales due to higher unit sales of our Aurora and Northern Lights systems, sales of our Aurora CS system, which commercially launched in June 2021, recently launched reagents and consumables, and an increase in the average blended selling price due to product mix.</w:t>
      </w:r>
    </w:p>
    <w:p>
      <w:pPr>
        <w:spacing w:after="0" w:line="161"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Service revenue increased by $2.0 million, or 128%, to $3.6 million, for the three months ended March 31, 2022 as compared to the three months ended March 31, 2021. The increase in service revenue was mainly driven by more instruments coming off warranty.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33</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Total cost of sales, gross profit and gross margin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w w:val="96"/>
              </w:rPr>
              <w:t>Three months ended March 31,</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69"/>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Pr>
          <w:p>
            <w:pPr>
              <w:spacing w:after="0"/>
              <w:rPr>
                <w:sz w:val="14"/>
                <w:szCs w:val="14"/>
                <w:color w:val="auto"/>
              </w:rPr>
            </w:pPr>
          </w:p>
        </w:tc>
        <w:tc>
          <w:tcPr>
            <w:tcW w:w="1100" w:type="dxa"/>
            <w:vAlign w:val="bottom"/>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574"/>
              <w:spacing w:after="0"/>
              <w:rPr>
                <w:sz w:val="20"/>
                <w:szCs w:val="20"/>
                <w:color w:val="auto"/>
              </w:rPr>
            </w:pPr>
            <w:r>
              <w:rPr>
                <w:rFonts w:ascii="Arial" w:cs="Arial" w:eastAsia="Arial" w:hAnsi="Arial"/>
                <w:sz w:val="14"/>
                <w:szCs w:val="14"/>
                <w:b w:val="1"/>
                <w:bCs w:val="1"/>
                <w:color w:val="auto"/>
              </w:rPr>
              <w:t>%</w:t>
            </w:r>
          </w:p>
        </w:tc>
      </w:tr>
      <w:tr>
        <w:trPr>
          <w:trHeight w:val="196"/>
        </w:trPr>
        <w:tc>
          <w:tcPr>
            <w:tcW w:w="55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Cost of sales:</w:t>
            </w:r>
          </w:p>
        </w:tc>
        <w:tc>
          <w:tcPr>
            <w:tcW w:w="1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r>
      <w:tr>
        <w:trPr>
          <w:trHeight w:val="203"/>
        </w:trPr>
        <w:tc>
          <w:tcPr>
            <w:tcW w:w="57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Product</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11,767</w:t>
            </w:r>
          </w:p>
        </w:tc>
        <w:tc>
          <w:tcPr>
            <w:tcW w:w="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7,308</w:t>
            </w:r>
          </w:p>
        </w:tc>
        <w:tc>
          <w:tcPr>
            <w:tcW w:w="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4,459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61 %</w:t>
            </w:r>
          </w:p>
        </w:tc>
      </w:tr>
      <w:tr>
        <w:trPr>
          <w:trHeight w:val="203"/>
        </w:trPr>
        <w:tc>
          <w:tcPr>
            <w:tcW w:w="5740" w:type="dxa"/>
            <w:vAlign w:val="bottom"/>
            <w:tcBorders>
              <w:bottom w:val="single" w:sz="8" w:color="CFF0FC"/>
            </w:tcBorders>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Service</w:t>
            </w:r>
          </w:p>
        </w:tc>
        <w:tc>
          <w:tcPr>
            <w:tcW w:w="2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55"/>
              <w:spacing w:after="0" w:line="202" w:lineRule="exact"/>
              <w:rPr>
                <w:sz w:val="20"/>
                <w:szCs w:val="20"/>
                <w:color w:val="auto"/>
              </w:rPr>
            </w:pPr>
            <w:r>
              <w:rPr>
                <w:rFonts w:ascii="Arial" w:cs="Arial" w:eastAsia="Arial" w:hAnsi="Arial"/>
                <w:sz w:val="18"/>
                <w:szCs w:val="18"/>
                <w:color w:val="auto"/>
              </w:rPr>
              <w:t>3,120</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53"/>
              <w:spacing w:after="0" w:line="202" w:lineRule="exact"/>
              <w:rPr>
                <w:sz w:val="20"/>
                <w:szCs w:val="20"/>
                <w:color w:val="auto"/>
              </w:rPr>
            </w:pPr>
            <w:r>
              <w:rPr>
                <w:rFonts w:ascii="Arial" w:cs="Arial" w:eastAsia="Arial" w:hAnsi="Arial"/>
                <w:sz w:val="18"/>
                <w:szCs w:val="18"/>
                <w:color w:val="auto"/>
              </w:rPr>
              <w:t>2,478</w:t>
            </w: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642</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26 %</w:t>
            </w:r>
          </w:p>
        </w:tc>
      </w:tr>
      <w:tr>
        <w:trPr>
          <w:trHeight w:val="196"/>
        </w:trPr>
        <w:tc>
          <w:tcPr>
            <w:tcW w:w="57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cost of sales</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5"/>
              <w:spacing w:after="0" w:line="196" w:lineRule="exact"/>
              <w:rPr>
                <w:sz w:val="20"/>
                <w:szCs w:val="20"/>
                <w:color w:val="auto"/>
              </w:rPr>
            </w:pPr>
            <w:r>
              <w:rPr>
                <w:rFonts w:ascii="Arial" w:cs="Arial" w:eastAsia="Arial" w:hAnsi="Arial"/>
                <w:sz w:val="18"/>
                <w:szCs w:val="18"/>
                <w:color w:val="auto"/>
              </w:rPr>
              <w:t>14,887</w:t>
            </w:r>
          </w:p>
        </w:tc>
        <w:tc>
          <w:tcPr>
            <w:tcW w:w="4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53"/>
              <w:spacing w:after="0" w:line="196" w:lineRule="exact"/>
              <w:rPr>
                <w:sz w:val="20"/>
                <w:szCs w:val="20"/>
                <w:color w:val="auto"/>
              </w:rPr>
            </w:pPr>
            <w:r>
              <w:rPr>
                <w:rFonts w:ascii="Arial" w:cs="Arial" w:eastAsia="Arial" w:hAnsi="Arial"/>
                <w:sz w:val="18"/>
                <w:szCs w:val="18"/>
                <w:color w:val="auto"/>
              </w:rPr>
              <w:t>9,786</w:t>
            </w:r>
          </w:p>
        </w:tc>
        <w:tc>
          <w:tcPr>
            <w:tcW w:w="3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5,101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52 %</w:t>
            </w:r>
          </w:p>
        </w:tc>
      </w:tr>
      <w:tr>
        <w:trPr>
          <w:trHeight w:val="203"/>
        </w:trPr>
        <w:tc>
          <w:tcPr>
            <w:tcW w:w="57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Gross profit</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55"/>
              <w:spacing w:after="0" w:line="202" w:lineRule="exact"/>
              <w:rPr>
                <w:sz w:val="20"/>
                <w:szCs w:val="20"/>
                <w:color w:val="auto"/>
              </w:rPr>
            </w:pPr>
            <w:r>
              <w:rPr>
                <w:rFonts w:ascii="Arial" w:cs="Arial" w:eastAsia="Arial" w:hAnsi="Arial"/>
                <w:sz w:val="18"/>
                <w:szCs w:val="18"/>
                <w:color w:val="auto"/>
              </w:rPr>
              <w:t>20,177</w:t>
            </w:r>
          </w:p>
        </w:tc>
        <w:tc>
          <w:tcPr>
            <w:tcW w:w="4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3"/>
              <w:spacing w:after="0" w:line="202" w:lineRule="exact"/>
              <w:rPr>
                <w:sz w:val="20"/>
                <w:szCs w:val="20"/>
                <w:color w:val="auto"/>
              </w:rPr>
            </w:pPr>
            <w:r>
              <w:rPr>
                <w:rFonts w:ascii="Arial" w:cs="Arial" w:eastAsia="Arial" w:hAnsi="Arial"/>
                <w:sz w:val="18"/>
                <w:szCs w:val="18"/>
                <w:color w:val="auto"/>
              </w:rPr>
              <w:t>14,486</w:t>
            </w:r>
          </w:p>
        </w:tc>
        <w:tc>
          <w:tcPr>
            <w:tcW w:w="3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5,691</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39 %</w:t>
            </w:r>
          </w:p>
        </w:tc>
      </w:tr>
      <w:tr>
        <w:trPr>
          <w:trHeight w:val="203"/>
        </w:trPr>
        <w:tc>
          <w:tcPr>
            <w:tcW w:w="55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58 %</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60 %</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-399415</wp:posOffset>
            </wp:positionV>
            <wp:extent cx="9461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-399415</wp:posOffset>
            </wp:positionV>
            <wp:extent cx="5143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-399415</wp:posOffset>
            </wp:positionV>
            <wp:extent cx="8572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Total cost of sales increased by $5.1 million, or 52%, for the three months ended March 31, 2022 as compared to the three months ended March 31, 2021. This is primarily due to more instruments shipped and increased service and manufacturing headcount and associated personnel cost, including $0.6 million stock-based compensation.</w:t>
      </w:r>
    </w:p>
    <w:p>
      <w:pPr>
        <w:spacing w:after="0" w:line="14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Gross profit margin was 58% and 60% as a percent of total revenue for the three months ended March 31, 2022 and 2021, respectively. The decrease is primarily due to increased material costs and increased service and manufacturing headcount and associated personnel cost for the three months ended March 31,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w w:val="96"/>
              </w:rPr>
              <w:t>Three months ended March 31,</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69"/>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00" w:type="dxa"/>
            <w:vAlign w:val="bottom"/>
          </w:tcPr>
          <w:p>
            <w:pPr>
              <w:spacing w:after="0"/>
              <w:rPr>
                <w:sz w:val="14"/>
                <w:szCs w:val="14"/>
                <w:color w:val="auto"/>
              </w:rPr>
            </w:pPr>
          </w:p>
        </w:tc>
        <w:tc>
          <w:tcPr>
            <w:tcW w:w="1100" w:type="dxa"/>
            <w:vAlign w:val="bottom"/>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573"/>
              <w:spacing w:after="0"/>
              <w:rPr>
                <w:sz w:val="20"/>
                <w:szCs w:val="20"/>
                <w:color w:val="auto"/>
              </w:rPr>
            </w:pPr>
            <w:r>
              <w:rPr>
                <w:rFonts w:ascii="Arial" w:cs="Arial" w:eastAsia="Arial" w:hAnsi="Arial"/>
                <w:sz w:val="14"/>
                <w:szCs w:val="14"/>
                <w:b w:val="1"/>
                <w:bCs w:val="1"/>
                <w:color w:val="auto"/>
              </w:rPr>
              <w:t>%</w:t>
            </w:r>
          </w:p>
        </w:tc>
      </w:tr>
      <w:tr>
        <w:trPr>
          <w:trHeight w:val="196"/>
        </w:trPr>
        <w:tc>
          <w:tcPr>
            <w:tcW w:w="55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Product:</w:t>
            </w:r>
          </w:p>
        </w:tc>
        <w:tc>
          <w:tcPr>
            <w:tcW w:w="1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r>
      <w:tr>
        <w:trPr>
          <w:trHeight w:val="203"/>
        </w:trPr>
        <w:tc>
          <w:tcPr>
            <w:tcW w:w="57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Revenue</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31,481</w:t>
            </w:r>
          </w:p>
        </w:tc>
        <w:tc>
          <w:tcPr>
            <w:tcW w:w="4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22,700</w:t>
            </w:r>
          </w:p>
        </w:tc>
        <w:tc>
          <w:tcPr>
            <w:tcW w:w="3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8,781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39 %</w:t>
            </w:r>
          </w:p>
        </w:tc>
      </w:tr>
      <w:tr>
        <w:trPr>
          <w:trHeight w:val="203"/>
        </w:trPr>
        <w:tc>
          <w:tcPr>
            <w:tcW w:w="5740" w:type="dxa"/>
            <w:vAlign w:val="bottom"/>
            <w:tcBorders>
              <w:bottom w:val="single" w:sz="8" w:color="CFF0FC"/>
            </w:tcBorders>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54"/>
              <w:spacing w:after="0" w:line="202" w:lineRule="exact"/>
              <w:rPr>
                <w:sz w:val="20"/>
                <w:szCs w:val="20"/>
                <w:color w:val="auto"/>
              </w:rPr>
            </w:pPr>
            <w:r>
              <w:rPr>
                <w:rFonts w:ascii="Arial" w:cs="Arial" w:eastAsia="Arial" w:hAnsi="Arial"/>
                <w:sz w:val="18"/>
                <w:szCs w:val="18"/>
                <w:color w:val="auto"/>
              </w:rPr>
              <w:t>11,767</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52"/>
              <w:spacing w:after="0" w:line="202" w:lineRule="exact"/>
              <w:rPr>
                <w:sz w:val="20"/>
                <w:szCs w:val="20"/>
                <w:color w:val="auto"/>
              </w:rPr>
            </w:pPr>
            <w:r>
              <w:rPr>
                <w:rFonts w:ascii="Arial" w:cs="Arial" w:eastAsia="Arial" w:hAnsi="Arial"/>
                <w:sz w:val="18"/>
                <w:szCs w:val="18"/>
                <w:color w:val="auto"/>
              </w:rPr>
              <w:t>7,308</w:t>
            </w:r>
          </w:p>
        </w:tc>
        <w:tc>
          <w:tcPr>
            <w:tcW w:w="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4,459</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61 %</w:t>
            </w:r>
          </w:p>
        </w:tc>
      </w:tr>
      <w:tr>
        <w:trPr>
          <w:trHeight w:val="196"/>
        </w:trPr>
        <w:tc>
          <w:tcPr>
            <w:tcW w:w="57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Product gross profit</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4"/>
              <w:spacing w:after="0" w:line="196" w:lineRule="exact"/>
              <w:rPr>
                <w:sz w:val="20"/>
                <w:szCs w:val="20"/>
                <w:color w:val="auto"/>
              </w:rPr>
            </w:pPr>
            <w:r>
              <w:rPr>
                <w:rFonts w:ascii="Arial" w:cs="Arial" w:eastAsia="Arial" w:hAnsi="Arial"/>
                <w:sz w:val="18"/>
                <w:szCs w:val="18"/>
                <w:color w:val="auto"/>
              </w:rPr>
              <w:t>19,714</w:t>
            </w:r>
          </w:p>
        </w:tc>
        <w:tc>
          <w:tcPr>
            <w:tcW w:w="40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line="196" w:lineRule="exact"/>
              <w:rPr>
                <w:sz w:val="20"/>
                <w:szCs w:val="20"/>
                <w:color w:val="auto"/>
              </w:rPr>
            </w:pPr>
            <w:r>
              <w:rPr>
                <w:rFonts w:ascii="Arial" w:cs="Arial" w:eastAsia="Arial" w:hAnsi="Arial"/>
                <w:sz w:val="18"/>
                <w:szCs w:val="18"/>
                <w:color w:val="auto"/>
              </w:rPr>
              <w:t>15,392</w:t>
            </w:r>
          </w:p>
        </w:tc>
        <w:tc>
          <w:tcPr>
            <w:tcW w:w="30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4,322</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28 %</w:t>
            </w:r>
          </w:p>
        </w:tc>
      </w:tr>
      <w:tr>
        <w:trPr>
          <w:trHeight w:val="203"/>
        </w:trPr>
        <w:tc>
          <w:tcPr>
            <w:tcW w:w="574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Gross margin</w:t>
            </w:r>
          </w:p>
        </w:tc>
        <w:tc>
          <w:tcPr>
            <w:tcW w:w="2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63 %</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68 %</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405"/>
        </w:trPr>
        <w:tc>
          <w:tcPr>
            <w:tcW w:w="5740" w:type="dxa"/>
            <w:vAlign w:val="bottom"/>
            <w:gridSpan w:val="2"/>
          </w:tcPr>
          <w:p>
            <w:pPr>
              <w:ind w:left="20"/>
              <w:spacing w:after="0"/>
              <w:rPr>
                <w:sz w:val="20"/>
                <w:szCs w:val="20"/>
                <w:color w:val="auto"/>
              </w:rPr>
            </w:pPr>
            <w:r>
              <w:rPr>
                <w:rFonts w:ascii="Arial" w:cs="Arial" w:eastAsia="Arial" w:hAnsi="Arial"/>
                <w:sz w:val="18"/>
                <w:szCs w:val="18"/>
                <w:b w:val="1"/>
                <w:bCs w:val="1"/>
                <w:color w:val="auto"/>
              </w:rPr>
              <w:t>Service:</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574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54"/>
              <w:spacing w:after="0" w:line="202" w:lineRule="exact"/>
              <w:rPr>
                <w:sz w:val="20"/>
                <w:szCs w:val="20"/>
                <w:color w:val="auto"/>
              </w:rPr>
            </w:pPr>
            <w:r>
              <w:rPr>
                <w:rFonts w:ascii="Arial" w:cs="Arial" w:eastAsia="Arial" w:hAnsi="Arial"/>
                <w:sz w:val="18"/>
                <w:szCs w:val="18"/>
                <w:color w:val="auto"/>
              </w:rPr>
              <w:t>3,583</w:t>
            </w:r>
          </w:p>
        </w:tc>
        <w:tc>
          <w:tcPr>
            <w:tcW w:w="40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2"/>
              <w:spacing w:after="0" w:line="202" w:lineRule="exact"/>
              <w:rPr>
                <w:sz w:val="20"/>
                <w:szCs w:val="20"/>
                <w:color w:val="auto"/>
              </w:rPr>
            </w:pPr>
            <w:r>
              <w:rPr>
                <w:rFonts w:ascii="Arial" w:cs="Arial" w:eastAsia="Arial" w:hAnsi="Arial"/>
                <w:sz w:val="18"/>
                <w:szCs w:val="18"/>
                <w:color w:val="auto"/>
              </w:rPr>
              <w:t>1,572</w:t>
            </w:r>
          </w:p>
        </w:tc>
        <w:tc>
          <w:tcPr>
            <w:tcW w:w="30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2,011</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128 %</w:t>
            </w:r>
          </w:p>
        </w:tc>
      </w:tr>
      <w:tr>
        <w:trPr>
          <w:trHeight w:val="203"/>
        </w:trPr>
        <w:tc>
          <w:tcPr>
            <w:tcW w:w="574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54"/>
              <w:spacing w:after="0" w:line="202" w:lineRule="exact"/>
              <w:rPr>
                <w:sz w:val="20"/>
                <w:szCs w:val="20"/>
                <w:color w:val="auto"/>
              </w:rPr>
            </w:pPr>
            <w:r>
              <w:rPr>
                <w:rFonts w:ascii="Arial" w:cs="Arial" w:eastAsia="Arial" w:hAnsi="Arial"/>
                <w:sz w:val="18"/>
                <w:szCs w:val="18"/>
                <w:color w:val="auto"/>
              </w:rPr>
              <w:t>3,120</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2,478</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642</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26 %</w:t>
            </w:r>
          </w:p>
        </w:tc>
      </w:tr>
      <w:tr>
        <w:trPr>
          <w:trHeight w:val="196"/>
        </w:trPr>
        <w:tc>
          <w:tcPr>
            <w:tcW w:w="574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Service gross profit</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54"/>
              <w:spacing w:after="0" w:line="196" w:lineRule="exact"/>
              <w:rPr>
                <w:sz w:val="20"/>
                <w:szCs w:val="20"/>
                <w:color w:val="auto"/>
              </w:rPr>
            </w:pPr>
            <w:r>
              <w:rPr>
                <w:rFonts w:ascii="Arial" w:cs="Arial" w:eastAsia="Arial" w:hAnsi="Arial"/>
                <w:sz w:val="18"/>
                <w:szCs w:val="18"/>
                <w:color w:val="auto"/>
              </w:rPr>
              <w:t>463</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ind w:right="72"/>
              <w:spacing w:after="0" w:line="196" w:lineRule="exact"/>
              <w:rPr>
                <w:sz w:val="20"/>
                <w:szCs w:val="20"/>
                <w:color w:val="auto"/>
              </w:rPr>
            </w:pPr>
            <w:r>
              <w:rPr>
                <w:rFonts w:ascii="Arial" w:cs="Arial" w:eastAsia="Arial" w:hAnsi="Arial"/>
                <w:sz w:val="18"/>
                <w:szCs w:val="18"/>
                <w:color w:val="auto"/>
              </w:rPr>
              <w:t>(906 )</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1,369</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-151 %</w:t>
            </w:r>
          </w:p>
        </w:tc>
      </w:tr>
      <w:tr>
        <w:trPr>
          <w:trHeight w:val="203"/>
        </w:trPr>
        <w:tc>
          <w:tcPr>
            <w:tcW w:w="55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13 %</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-58 %</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-1050925</wp:posOffset>
            </wp:positionV>
            <wp:extent cx="9461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-1050925</wp:posOffset>
            </wp:positionV>
            <wp:extent cx="5143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-1050925</wp:posOffset>
            </wp:positionV>
            <wp:extent cx="8572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While we have seen a decrease in total gross profit margin, the gross profit margin of our service revenue has increased from (58)% in the three months ended March 31, 2021 to 13% in the three months ended March 31, 2022. This was driven by the growth in service revenue derived from a higher installed base year-over-year coupled with a slower growth of service related material, labor and overhead expense year-over-year.</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69"/>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196"/>
        </w:trPr>
        <w:tc>
          <w:tcPr>
            <w:tcW w:w="56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602"/>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8,025</w:t>
            </w:r>
          </w:p>
        </w:tc>
        <w:tc>
          <w:tcPr>
            <w:tcW w:w="14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5,094</w:t>
            </w: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2,931</w:t>
            </w: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58 %</w:t>
            </w:r>
          </w:p>
        </w:tc>
      </w:tr>
    </w:tbl>
    <w:p>
      <w:pPr>
        <w:spacing w:after="0" w:line="310"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Research and development expenses were $8.0 million for the three months ended March 31, 2022 as compared to $5.1 million for the three months ended March 31, 2021. The increase of $2.9 million in research and development expenses was primarily due to an increase in headcount and personnel-related expenses, including stock-based compensation of $1.1 million.</w:t>
      </w:r>
    </w:p>
    <w:p>
      <w:pPr>
        <w:spacing w:after="0" w:line="15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expect our research and development expense to increase in absolute dollars as we continue to develop new products and enhance existing instruments and technologies.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34</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69"/>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196"/>
        </w:trPr>
        <w:tc>
          <w:tcPr>
            <w:tcW w:w="55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602"/>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6,960</w:t>
            </w: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4,277</w:t>
            </w: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2,683</w:t>
            </w: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63 %</w:t>
            </w:r>
          </w:p>
        </w:tc>
      </w:tr>
    </w:tbl>
    <w:p>
      <w:pPr>
        <w:spacing w:after="0" w:line="364" w:lineRule="exact"/>
        <w:rPr>
          <w:sz w:val="20"/>
          <w:szCs w:val="20"/>
          <w:color w:val="auto"/>
        </w:rPr>
      </w:pPr>
    </w:p>
    <w:p>
      <w:pPr>
        <w:jc w:val="both"/>
        <w:ind w:firstLine="432"/>
        <w:spacing w:after="0" w:line="249" w:lineRule="auto"/>
        <w:rPr>
          <w:sz w:val="20"/>
          <w:szCs w:val="20"/>
          <w:color w:val="auto"/>
        </w:rPr>
      </w:pPr>
      <w:r>
        <w:rPr>
          <w:rFonts w:ascii="Arial" w:cs="Arial" w:eastAsia="Arial" w:hAnsi="Arial"/>
          <w:sz w:val="18"/>
          <w:szCs w:val="18"/>
          <w:color w:val="auto"/>
        </w:rPr>
        <w:t>Sales and marketing expenses were $7.0 million for the three months ended March 31, 2022 as compared to $4.3 million for the three months ended March 31, 2021. The increase of $2.7 million in sales and marketing expenses was primarily due to an increase in headcount, commissions, and personnel-related expenses of $2.0 million, including stock-based compensation of $0.6 million. There was also an increase in advertising and marketing activities of $0.2 million.</w:t>
      </w:r>
    </w:p>
    <w:p>
      <w:pPr>
        <w:spacing w:after="0" w:line="140"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We expect our sales and marketing expenses to increase in absolute dollars as we hire additional sales and marketing personnel, expand our sales support infrastructure and invest in our brand and product awareness to further penetrate the United States and the international markets.</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tcBorders>
              <w:bottom w:val="single" w:sz="8" w:color="auto"/>
            </w:tcBorders>
            <w:gridSpan w:val="5"/>
          </w:tcPr>
          <w:p>
            <w:pPr>
              <w:jc w:val="right"/>
              <w:ind w:right="299"/>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Change</w:t>
            </w: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35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196"/>
        </w:trPr>
        <w:tc>
          <w:tcPr>
            <w:tcW w:w="56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602"/>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3"/>
              </w:rPr>
              <w:t>7,549</w:t>
            </w:r>
          </w:p>
        </w:tc>
        <w:tc>
          <w:tcPr>
            <w:tcW w:w="20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3,983</w:t>
            </w:r>
          </w:p>
        </w:tc>
        <w:tc>
          <w:tcPr>
            <w:tcW w:w="1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3,566</w:t>
            </w:r>
          </w:p>
        </w:tc>
        <w:tc>
          <w:tcPr>
            <w:tcW w:w="1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90</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94"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General and administrative expenses were $7.5 million for the three months ended March 31, 2022 as compared to $4.0 million for the three months ended March 31, 2021. The increase of $3.6 million in general and administrative expenses was primarily due to an increase in general corporate personnel-related costs and infrastructure services to support the growth of our overall operations. The increase in personnel-related costs was primarily due to increased headcount and stock-based compensation of $1.0 million.</w:t>
      </w:r>
    </w:p>
    <w:p>
      <w:pPr>
        <w:spacing w:after="0" w:line="161"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We expect to continue to incur additional general and administrative expenses as a result of operating as a public company, including expenses related to compliance with the rules and regulations of the SEC and the Nasdaq Stock Market, additional insurance costs, investor relations activities and other administrative and professional services. As a result, we expect general and administrative expenses to increase in absolute dollars in future periods.</w:t>
      </w:r>
    </w:p>
    <w:p>
      <w:pPr>
        <w:spacing w:after="0" w:line="10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jc w:val="right"/>
              <w:ind w:right="481"/>
              <w:spacing w:after="0"/>
              <w:rPr>
                <w:sz w:val="20"/>
                <w:szCs w:val="20"/>
                <w:color w:val="auto"/>
              </w:rPr>
            </w:pPr>
            <w:r>
              <w:rPr>
                <w:rFonts w:ascii="Arial" w:cs="Arial" w:eastAsia="Arial" w:hAnsi="Arial"/>
                <w:sz w:val="14"/>
                <w:szCs w:val="14"/>
                <w:b w:val="1"/>
                <w:bCs w:val="1"/>
                <w:color w:val="auto"/>
                <w:w w:val="98"/>
              </w:rPr>
              <w:t>Three months ended March 31,</w:t>
            </w:r>
          </w:p>
        </w:tc>
        <w:tc>
          <w:tcPr>
            <w:tcW w:w="1640" w:type="dxa"/>
            <w:vAlign w:val="bottom"/>
            <w:gridSpan w:val="3"/>
          </w:tcPr>
          <w:p>
            <w:pPr>
              <w:jc w:val="center"/>
              <w:ind w:left="722"/>
              <w:spacing w:after="0"/>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640" w:type="dxa"/>
            <w:vAlign w:val="bottom"/>
            <w:tcBorders>
              <w:top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Amount</w:t>
            </w:r>
          </w:p>
        </w:tc>
        <w:tc>
          <w:tcPr>
            <w:tcW w:w="780" w:type="dxa"/>
            <w:vAlign w:val="bottom"/>
            <w:tcBorders>
              <w:top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196"/>
        </w:trPr>
        <w:tc>
          <w:tcPr>
            <w:tcW w:w="5600" w:type="dxa"/>
            <w:vAlign w:val="bottom"/>
            <w:tcBorders>
              <w:top w:val="single" w:sz="8" w:color="auto"/>
            </w:tcBorders>
            <w:shd w:val="clear" w:color="auto" w:fill="CFF0FC"/>
          </w:tcPr>
          <w:p>
            <w:pPr>
              <w:ind w:left="160"/>
              <w:spacing w:after="0" w:line="196"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(590</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(375</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w:t>
            </w:r>
          </w:p>
        </w:tc>
        <w:tc>
          <w:tcPr>
            <w:tcW w:w="2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256"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Interest expense was $0.6 million for the three months ended March 31, 2022 as compared to $0.4 million for the three months ended March 31, 2021. The increase of $0.2 million was mainly due to the accretion of the present value discount related to the settlement agreement with Becton, Dickinson and Company (“BD”). See Note 10 to our unaudited interim consolidated financial statements included elsewhere in this Quarterly Report on Form 10-Q for further details.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69"/>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900" w:type="dxa"/>
            <w:vAlign w:val="bottom"/>
          </w:tcPr>
          <w:p>
            <w:pPr>
              <w:jc w:val="right"/>
              <w:ind w:right="62"/>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4"/>
                <w:szCs w:val="14"/>
                <w:color w:val="auto"/>
              </w:rPr>
            </w:pPr>
          </w:p>
        </w:tc>
        <w:tc>
          <w:tcPr>
            <w:tcW w:w="11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3"/>
          </w:tcPr>
          <w:p>
            <w:pPr>
              <w:ind w:left="34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196"/>
        </w:trPr>
        <w:tc>
          <w:tcPr>
            <w:tcW w:w="560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income</w:t>
            </w:r>
          </w:p>
        </w:tc>
        <w:tc>
          <w:tcPr>
            <w:tcW w:w="14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ind w:right="722"/>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jc w:val="right"/>
              <w:ind w:right="75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ind w:right="2"/>
              <w:spacing w:after="0" w:line="196" w:lineRule="exact"/>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80 %</w:t>
            </w:r>
          </w:p>
        </w:tc>
      </w:tr>
    </w:tbl>
    <w:p>
      <w:pPr>
        <w:spacing w:after="0" w:line="256"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6"/>
          <w:szCs w:val="16"/>
          <w:color w:val="auto"/>
        </w:rPr>
        <w:t>Interest income was $18,000 for the three months ended March 31, 2022 as compared to $10,000 for the three months ended March 31, 2021. The increase of $8,000 in interest income was the result of higher interest earned on our cash and short-term deposits due to an increase in interest rates as</w:t>
      </w:r>
    </w:p>
    <w:p>
      <w:pPr>
        <w:spacing w:after="0"/>
        <w:rPr>
          <w:sz w:val="20"/>
          <w:szCs w:val="20"/>
          <w:color w:val="auto"/>
        </w:rPr>
      </w:pPr>
      <w:r>
        <w:rPr>
          <w:rFonts w:ascii="Arial" w:cs="Arial" w:eastAsia="Arial" w:hAnsi="Arial"/>
          <w:sz w:val="18"/>
          <w:szCs w:val="18"/>
          <w:color w:val="auto"/>
        </w:rPr>
        <w:t>compared to three months ended March 31, 2021.</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w w:val="98"/>
              </w:rPr>
              <w:t>Three months ended March 31,</w:t>
            </w:r>
          </w:p>
        </w:tc>
        <w:tc>
          <w:tcPr>
            <w:tcW w:w="120" w:type="dxa"/>
            <w:vAlign w:val="bottom"/>
          </w:tcPr>
          <w:p>
            <w:pPr>
              <w:spacing w:after="0"/>
              <w:rPr>
                <w:sz w:val="16"/>
                <w:szCs w:val="16"/>
                <w:color w:val="auto"/>
              </w:rPr>
            </w:pPr>
          </w:p>
        </w:tc>
        <w:tc>
          <w:tcPr>
            <w:tcW w:w="162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69"/>
        </w:trPr>
        <w:tc>
          <w:tcPr>
            <w:tcW w:w="5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Pr>
          <w:p>
            <w:pPr>
              <w:spacing w:after="0"/>
              <w:rPr>
                <w:sz w:val="14"/>
                <w:szCs w:val="14"/>
                <w:color w:val="auto"/>
              </w:rPr>
            </w:pPr>
          </w:p>
        </w:tc>
        <w:tc>
          <w:tcPr>
            <w:tcW w:w="1040" w:type="dxa"/>
            <w:vAlign w:val="bottom"/>
          </w:tcPr>
          <w:p>
            <w:pPr>
              <w:jc w:val="right"/>
              <w:ind w:right="46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620" w:type="dxa"/>
            <w:vAlign w:val="bottom"/>
            <w:gridSpan w:val="3"/>
          </w:tcPr>
          <w:p>
            <w:pPr>
              <w:ind w:left="32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196"/>
        </w:trPr>
        <w:tc>
          <w:tcPr>
            <w:tcW w:w="55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Other expense, net</w:t>
            </w:r>
          </w:p>
        </w:tc>
        <w:tc>
          <w:tcPr>
            <w:tcW w:w="1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(374 )</w:t>
            </w: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(615 )</w:t>
            </w:r>
          </w:p>
        </w:tc>
        <w:tc>
          <w:tcPr>
            <w:tcW w:w="12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jc w:val="right"/>
              <w:ind w:right="2"/>
              <w:spacing w:after="0" w:line="196" w:lineRule="exact"/>
              <w:rPr>
                <w:sz w:val="20"/>
                <w:szCs w:val="20"/>
                <w:color w:val="auto"/>
              </w:rPr>
            </w:pPr>
            <w:r>
              <w:rPr>
                <w:rFonts w:ascii="Arial" w:cs="Arial" w:eastAsia="Arial" w:hAnsi="Arial"/>
                <w:sz w:val="18"/>
                <w:szCs w:val="18"/>
                <w:color w:val="auto"/>
              </w:rPr>
              <w:t>241</w:t>
            </w: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-39 %</w:t>
            </w:r>
          </w:p>
        </w:tc>
      </w:tr>
    </w:tbl>
    <w:p>
      <w:pPr>
        <w:spacing w:after="0" w:line="256"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6"/>
          <w:szCs w:val="16"/>
          <w:color w:val="auto"/>
        </w:rPr>
        <w:t>Other expense, net was $374,000 for the three months ended March 31, 2022 as compared to other expense, net of $615,000 for the three months ended March 31, 2021. The decrease of $241,000 was primarily the result of the net impact of foreign exchange gains and losses during the three months</w:t>
      </w:r>
    </w:p>
    <w:p>
      <w:pPr>
        <w:spacing w:after="0"/>
        <w:rPr>
          <w:sz w:val="20"/>
          <w:szCs w:val="20"/>
          <w:color w:val="auto"/>
        </w:rPr>
      </w:pPr>
      <w:r>
        <w:rPr>
          <w:rFonts w:ascii="Arial" w:cs="Arial" w:eastAsia="Arial" w:hAnsi="Arial"/>
          <w:sz w:val="18"/>
          <w:szCs w:val="18"/>
          <w:color w:val="auto"/>
        </w:rPr>
        <w:t>ended March 31, 2022.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35</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4"/>
                <w:szCs w:val="14"/>
                <w:b w:val="1"/>
                <w:bCs w:val="1"/>
                <w:color w:val="auto"/>
                <w:w w:val="97"/>
              </w:rPr>
              <w:t>Three months ended March 31,</w:t>
            </w:r>
          </w:p>
        </w:tc>
        <w:tc>
          <w:tcPr>
            <w:tcW w:w="120" w:type="dxa"/>
            <w:vAlign w:val="bottom"/>
          </w:tcPr>
          <w:p>
            <w:pPr>
              <w:spacing w:after="0"/>
              <w:rPr>
                <w:sz w:val="16"/>
                <w:szCs w:val="16"/>
                <w:color w:val="auto"/>
              </w:rPr>
            </w:pPr>
          </w:p>
        </w:tc>
        <w:tc>
          <w:tcPr>
            <w:tcW w:w="168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Change</w:t>
            </w:r>
          </w:p>
        </w:tc>
        <w:tc>
          <w:tcPr>
            <w:tcW w:w="1000" w:type="dxa"/>
            <w:vAlign w:val="bottom"/>
            <w:tcBorders>
              <w:bottom w:val="single" w:sz="8" w:color="auto"/>
            </w:tcBorders>
          </w:tcPr>
          <w:p>
            <w:pPr>
              <w:spacing w:after="0"/>
              <w:rPr>
                <w:sz w:val="16"/>
                <w:szCs w:val="16"/>
                <w:color w:val="auto"/>
              </w:rPr>
            </w:pPr>
          </w:p>
        </w:tc>
      </w:tr>
      <w:tr>
        <w:trPr>
          <w:trHeight w:val="169"/>
        </w:trPr>
        <w:tc>
          <w:tcPr>
            <w:tcW w:w="57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40" w:type="dxa"/>
            <w:vAlign w:val="bottom"/>
          </w:tcPr>
          <w:p>
            <w:pPr>
              <w:spacing w:after="0"/>
              <w:rPr>
                <w:sz w:val="14"/>
                <w:szCs w:val="14"/>
                <w:color w:val="auto"/>
              </w:rPr>
            </w:pPr>
          </w:p>
        </w:tc>
        <w:tc>
          <w:tcPr>
            <w:tcW w:w="1060" w:type="dxa"/>
            <w:vAlign w:val="bottom"/>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680" w:type="dxa"/>
            <w:vAlign w:val="bottom"/>
            <w:gridSpan w:val="3"/>
          </w:tcPr>
          <w:p>
            <w:pPr>
              <w:ind w:left="360"/>
              <w:spacing w:after="0"/>
              <w:rPr>
                <w:sz w:val="20"/>
                <w:szCs w:val="20"/>
                <w:color w:val="auto"/>
              </w:rPr>
            </w:pPr>
            <w:r>
              <w:rPr>
                <w:rFonts w:ascii="Arial" w:cs="Arial" w:eastAsia="Arial" w:hAnsi="Arial"/>
                <w:sz w:val="14"/>
                <w:szCs w:val="14"/>
                <w:b w:val="1"/>
                <w:bCs w:val="1"/>
                <w:color w:val="auto"/>
              </w:rPr>
              <w:t>Amount</w:t>
            </w:r>
          </w:p>
        </w:tc>
        <w:tc>
          <w:tcPr>
            <w:tcW w:w="1000" w:type="dxa"/>
            <w:vAlign w:val="bottom"/>
          </w:tcPr>
          <w:p>
            <w:pPr>
              <w:jc w:val="right"/>
              <w:ind w:right="579"/>
              <w:spacing w:after="0"/>
              <w:rPr>
                <w:sz w:val="20"/>
                <w:szCs w:val="20"/>
                <w:color w:val="auto"/>
              </w:rPr>
            </w:pPr>
            <w:r>
              <w:rPr>
                <w:rFonts w:ascii="Arial" w:cs="Arial" w:eastAsia="Arial" w:hAnsi="Arial"/>
                <w:sz w:val="14"/>
                <w:szCs w:val="14"/>
                <w:b w:val="1"/>
                <w:bCs w:val="1"/>
                <w:color w:val="auto"/>
              </w:rPr>
              <w:t>%</w:t>
            </w:r>
          </w:p>
        </w:tc>
      </w:tr>
      <w:tr>
        <w:trPr>
          <w:trHeight w:val="196"/>
        </w:trPr>
        <w:tc>
          <w:tcPr>
            <w:tcW w:w="55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(Benefit from) provision for income taxes</w:t>
            </w:r>
          </w:p>
        </w:tc>
        <w:tc>
          <w:tcPr>
            <w:tcW w:w="1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(1,145 )</w:t>
            </w:r>
          </w:p>
        </w:tc>
        <w:tc>
          <w:tcPr>
            <w:tcW w:w="1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w:t>
            </w:r>
          </w:p>
        </w:tc>
        <w:tc>
          <w:tcPr>
            <w:tcW w:w="120" w:type="dxa"/>
            <w:vAlign w:val="bottom"/>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(1,195 )</w:t>
            </w:r>
          </w:p>
        </w:tc>
        <w:tc>
          <w:tcPr>
            <w:tcW w:w="14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-2390 %</w:t>
            </w:r>
          </w:p>
        </w:tc>
      </w:tr>
    </w:tbl>
    <w:p>
      <w:pPr>
        <w:spacing w:after="0" w:line="256"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Benefit from income tax was $1.1 million for the three months ended March 31, 2022 as compared to income tax provision of $50,000 for the three months ended March 31, 2021. The net change of $1.2 million was the result of net loss in the three months ended March 31, 2022.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To date, our primary sources of capital have been through sales of our securities and revenue from the sale of our products and services. As of March 31, 2022 and December 31, 2021, we had approximately $362.5 million and $364.6 million, respectively, in cash and cash equivalents, which were primarily held in U.S. short-term bank deposit accounts and money market funds.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and material cash requirements</w:t>
      </w:r>
    </w:p>
    <w:p>
      <w:pPr>
        <w:spacing w:after="0" w:line="17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We anticipate continuing to expend significant amounts of cash in the foreseeable future as we continue to invest in research and development of our product offerings, commercialization of new products and services, and expansion into new markets. Our future capital requirements will depend on many factors including our revenue, research and development efforts, the new and continued impacts of the COVID-19 pandemic, the timing and extent of additional capital expenditures to invest in existing and new facilities, as well as our manufacturing operations, the expansion of sales and marketing and the introduction of new products. We have entered into, and may in the future enter into, arrangements to acquire or invest in businesses, services and technologies, and any such acquisitions or investments could significantly increase our capital needs.</w:t>
      </w:r>
    </w:p>
    <w:p>
      <w:pPr>
        <w:spacing w:after="0" w:line="148"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We currently anticipate making additional capital expenditures during the next 12 months, which is expected to primarily include equipment to be used for manufacturing and investment in research and development, as well as spend associated with the expansion of our facilities in Wuxi, China.</w:t>
      </w:r>
    </w:p>
    <w:p>
      <w:pPr>
        <w:spacing w:after="0" w:line="84"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6"/>
          <w:szCs w:val="16"/>
          <w:color w:val="auto"/>
        </w:rPr>
        <w:t>Based on our current business plan, we believe our existing cash and cash equivalents and anticipated cash flows from operations will be sufficient to meet our working capital and capital expenditure needs for at least the next 12 months from the date of this Quarterly Report on Form 10-Q.</w:t>
      </w:r>
    </w:p>
    <w:p>
      <w:pPr>
        <w:spacing w:after="0" w:line="97"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In addition, we lease certain office facilities under operating lease arrangements that expire on various dates through fiscal year 2027. Under the terms of the leases, we are responsible for certain expenses related to operations, maintenance, repairs and management fees. Future minimum lease payments under non-cancelable operating leases totaled $16.1 million as of March 31, 2022</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7"/>
          <w:szCs w:val="17"/>
          <w:color w:val="auto"/>
        </w:rPr>
        <w:t>We have financed our operations primarily through sales of our securities. In July 2021, we completed our IPO, which resulted in net proceeds to us of approximately $215.7 million. We have also benefited from operating cash flows from the sale of our products and services.</w:t>
      </w:r>
    </w:p>
    <w:p>
      <w:pPr>
        <w:spacing w:after="0" w:line="106"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On May 7, 2020, we received loan proceeds in the amount of approximately $4.1 million under the PPP. The PPP, established as part of the CARES Act, provides for loans to qualifying businesses for amounts up to 2.5 times of the average monthly payroll expenses of the qualifying business. On May 4, 2021, we fully repaid the PPP loan.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36</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7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4"/>
                <w:szCs w:val="14"/>
                <w:color w:val="auto"/>
              </w:rPr>
            </w:pPr>
          </w:p>
        </w:tc>
        <w:tc>
          <w:tcPr>
            <w:tcW w:w="1460" w:type="dxa"/>
            <w:vAlign w:val="bottom"/>
          </w:tcPr>
          <w:p>
            <w:pPr>
              <w:jc w:val="right"/>
              <w:ind w:right="75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jc w:val="right"/>
              <w:ind w:right="733"/>
              <w:spacing w:after="0"/>
              <w:rPr>
                <w:sz w:val="20"/>
                <w:szCs w:val="20"/>
                <w:color w:val="auto"/>
              </w:rPr>
            </w:pPr>
            <w:r>
              <w:rPr>
                <w:rFonts w:ascii="Arial" w:cs="Arial" w:eastAsia="Arial" w:hAnsi="Arial"/>
                <w:sz w:val="14"/>
                <w:szCs w:val="14"/>
                <w:b w:val="1"/>
                <w:bCs w:val="1"/>
                <w:color w:val="auto"/>
              </w:rPr>
              <w:t>2021</w:t>
            </w:r>
          </w:p>
        </w:tc>
      </w:tr>
      <w:tr>
        <w:trPr>
          <w:trHeight w:val="196"/>
        </w:trPr>
        <w:tc>
          <w:tcPr>
            <w:tcW w:w="71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provided by:</w:t>
            </w:r>
          </w:p>
        </w:tc>
        <w:tc>
          <w:tcPr>
            <w:tcW w:w="18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spacing w:after="0"/>
              <w:rPr>
                <w:sz w:val="17"/>
                <w:szCs w:val="17"/>
                <w:color w:val="auto"/>
              </w:rPr>
            </w:pPr>
          </w:p>
        </w:tc>
      </w:tr>
      <w:tr>
        <w:trPr>
          <w:trHeight w:val="203"/>
        </w:trPr>
        <w:tc>
          <w:tcPr>
            <w:tcW w:w="73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Operating activities</w:t>
            </w:r>
          </w:p>
        </w:tc>
        <w:tc>
          <w:tcPr>
            <w:tcW w:w="440" w:type="dxa"/>
            <w:vAlign w:val="bottom"/>
          </w:tcPr>
          <w:p>
            <w:pPr>
              <w:jc w:val="right"/>
              <w:ind w:right="25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(1,480 )</w:t>
            </w:r>
          </w:p>
        </w:tc>
        <w:tc>
          <w:tcPr>
            <w:tcW w:w="6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1,935</w:t>
            </w:r>
          </w:p>
        </w:tc>
      </w:tr>
      <w:tr>
        <w:trPr>
          <w:trHeight w:val="203"/>
        </w:trPr>
        <w:tc>
          <w:tcPr>
            <w:tcW w:w="732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Investing activities</w:t>
            </w:r>
          </w:p>
        </w:tc>
        <w:tc>
          <w:tcPr>
            <w:tcW w:w="4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(780 )</w:t>
            </w:r>
          </w:p>
        </w:tc>
        <w:tc>
          <w:tcPr>
            <w:tcW w:w="1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(138 )</w:t>
            </w:r>
          </w:p>
        </w:tc>
      </w:tr>
      <w:tr>
        <w:trPr>
          <w:trHeight w:val="203"/>
        </w:trPr>
        <w:tc>
          <w:tcPr>
            <w:tcW w:w="73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Financing activities</w:t>
            </w:r>
          </w:p>
        </w:tc>
        <w:tc>
          <w:tcPr>
            <w:tcW w:w="440" w:type="dxa"/>
            <w:vAlign w:val="bottom"/>
          </w:tcPr>
          <w:p>
            <w:pPr>
              <w:spacing w:after="0"/>
              <w:rPr>
                <w:sz w:val="17"/>
                <w:szCs w:val="17"/>
                <w:color w:val="auto"/>
              </w:rPr>
            </w:pPr>
          </w:p>
        </w:tc>
        <w:tc>
          <w:tcPr>
            <w:tcW w:w="14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364</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187</w:t>
            </w:r>
          </w:p>
        </w:tc>
      </w:tr>
      <w:tr>
        <w:trPr>
          <w:trHeight w:val="203"/>
        </w:trPr>
        <w:tc>
          <w:tcPr>
            <w:tcW w:w="7320" w:type="dxa"/>
            <w:vAlign w:val="bottom"/>
            <w:tcBorders>
              <w:bottom w:val="single" w:sz="8" w:color="CFF0FC"/>
            </w:tcBorders>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44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(216 )</w:t>
            </w:r>
          </w:p>
        </w:tc>
        <w:tc>
          <w:tcPr>
            <w:tcW w:w="1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481</w:t>
            </w:r>
          </w:p>
        </w:tc>
      </w:tr>
      <w:tr>
        <w:trPr>
          <w:trHeight w:val="196"/>
        </w:trPr>
        <w:tc>
          <w:tcPr>
            <w:tcW w:w="73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Net (decrease) increase in cash and cash equivalents</w:t>
            </w:r>
          </w:p>
        </w:tc>
        <w:tc>
          <w:tcPr>
            <w:tcW w:w="44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(2,112 )</w:t>
            </w:r>
          </w:p>
        </w:tc>
        <w:tc>
          <w:tcPr>
            <w:tcW w:w="60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3"/>
              <w:spacing w:after="0" w:line="196" w:lineRule="exact"/>
              <w:rPr>
                <w:sz w:val="20"/>
                <w:szCs w:val="20"/>
                <w:color w:val="auto"/>
              </w:rPr>
            </w:pPr>
            <w:r>
              <w:rPr>
                <w:rFonts w:ascii="Arial" w:cs="Arial" w:eastAsia="Arial" w:hAnsi="Arial"/>
                <w:sz w:val="18"/>
                <w:szCs w:val="18"/>
                <w:color w:val="auto"/>
              </w:rPr>
              <w:t>2,465</w:t>
            </w:r>
          </w:p>
        </w:tc>
      </w:tr>
      <w:tr>
        <w:trPr>
          <w:trHeight w:val="20"/>
        </w:trPr>
        <w:tc>
          <w:tcPr>
            <w:tcW w:w="7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-159385</wp:posOffset>
            </wp:positionV>
            <wp:extent cx="11112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7"/>
          <w:szCs w:val="17"/>
          <w:color w:val="auto"/>
        </w:rPr>
        <w:t>Net cash used in operating activities for the three months ended March 31, 2022 was $1.5 million. We incurred non-cash stock-based compensation expense, depreciation and amortization, amortization of right-of-use assets, and interest expenses for accretion of the legal settlement liabilities of $3.8 million, $0.8 million, $0.7 million, and $0.5 million, respectively. Usage of cash included an increase of inventories of $5.9 million, an increase of trade accounts receivable of $1.0 million due to an increase in sales, and an increase in prepaid expenses and other assets of $4.2 million. This was partially offset by an increase of trade accounts payables of $2.8 million, an increase in deferred revenue of $2.6 million, an increase in the legal settlement liability of $0.5 million, and an increase in accrued expenses and other liabilities of $0.6 million.</w:t>
      </w:r>
    </w:p>
    <w:p>
      <w:pPr>
        <w:spacing w:after="0" w:line="135"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Net cash provided by operating activities for the three months ended March 31, 2021 was $1.9 million consisting primarily of our net income of $102,000, an increase in inventories of $3.6 million, an increase in prepaid expenses and other assets of $477,000 and a decrease of trade accounts receivable of $2.2 million due to seasonality with our first quarter typically being lower than our fourth quarter due to marketing campaign closing activity. This was partially offset by an increase in deferred revenue of $1.7 million and an increase in accrued expenses and other liabilities of $135,000.</w:t>
      </w:r>
    </w:p>
    <w:p>
      <w:pPr>
        <w:spacing w:after="0" w:line="12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Net cash used in investing activities during the three months ended March 31, 2022 was $0.8 million driven by purchases of property and equipment of $0.8 million.</w:t>
      </w:r>
    </w:p>
    <w:p>
      <w:pPr>
        <w:spacing w:after="0" w:line="144"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Net cash used in investing activities during the three months ended March 31, 2021 was $138,000 driven by an increase in the purchases of property and equipment of $509,000 partially offset by the payment for the additional investment in Cytek Japan, net of cash acquired of $371,000. See Note 18 to our unaudited interim consolidated financial statements included elsewhere in this Quarterly Report on Form 10-Q.</w:t>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Net cash provided by financing activities during the three months ended March 31, 2022 was $0.4 million driven by the issuance of common stock upon option exercises.</w:t>
      </w:r>
    </w:p>
    <w:p>
      <w:pPr>
        <w:spacing w:after="0" w:line="130" w:lineRule="exact"/>
        <w:rPr>
          <w:sz w:val="20"/>
          <w:szCs w:val="20"/>
          <w:color w:val="auto"/>
        </w:rPr>
      </w:pPr>
    </w:p>
    <w:p>
      <w:pPr>
        <w:jc w:val="both"/>
        <w:ind w:right="20" w:firstLine="509"/>
        <w:spacing w:after="0" w:line="261" w:lineRule="auto"/>
        <w:rPr>
          <w:sz w:val="20"/>
          <w:szCs w:val="20"/>
          <w:color w:val="auto"/>
        </w:rPr>
      </w:pPr>
      <w:r>
        <w:rPr>
          <w:rFonts w:ascii="Arial" w:cs="Arial" w:eastAsia="Arial" w:hAnsi="Arial"/>
          <w:sz w:val="18"/>
          <w:szCs w:val="18"/>
          <w:color w:val="auto"/>
        </w:rPr>
        <w:t>Net cash provided by financing activities during the three months ended March 31, 2021 was $187,000, primarily driven by the issuance of common stock upon option exercises.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significant judgments</w:t>
      </w:r>
    </w:p>
    <w:p>
      <w:pPr>
        <w:spacing w:after="0" w:line="18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7"/>
          <w:szCs w:val="17"/>
          <w:color w:val="auto"/>
        </w:rPr>
        <w:t xml:space="preserve">This management’s discussion and analysis of our financial condition and results of operations is based on our unaudited interim consolidated financial statements, which have been prepared in accordance with accounting principles generally accepted in the United States of America, or GAAP. The preparation of our unaudited interim consolidated financial statements in conformity with GAAP requires management to make estimates and assumptions that affect the amounts reported in the unaudited interim consolidated financial statements and notes to the unaudited interim consolidated financial statements. Some of those judgments can be subjective and complex, and therefore, actual results could differ materially from those estimates are different assumptions and conditions. A summary of our critical accounting policies is presented in our audited financial statements and notes thereto as of and for the year ended December 31, 2021 included in our Annual Report on Form 10-K filed with the SEC on March 17, 2022. There were no material changes to our critical accounting policies during the three months ended March 31, 2022, except as discussed in “Recently adopted accounting pronouncements” in </w:t>
      </w:r>
      <w:r>
        <w:rPr>
          <w:rFonts w:ascii="Arial" w:cs="Arial" w:eastAsia="Arial" w:hAnsi="Arial"/>
          <w:sz w:val="17"/>
          <w:szCs w:val="17"/>
          <w:i w:val="1"/>
          <w:iCs w:val="1"/>
          <w:color w:val="auto"/>
        </w:rPr>
        <w:t>Note 2</w:t>
      </w:r>
      <w:r>
        <w:rPr>
          <w:rFonts w:ascii="Arial" w:cs="Arial" w:eastAsia="Arial" w:hAnsi="Arial"/>
          <w:sz w:val="17"/>
          <w:szCs w:val="17"/>
          <w:color w:val="auto"/>
        </w:rPr>
        <w:t>,</w:t>
      </w:r>
      <w:r>
        <w:rPr>
          <w:rFonts w:ascii="Arial" w:cs="Arial" w:eastAsia="Arial" w:hAnsi="Arial"/>
          <w:sz w:val="17"/>
          <w:szCs w:val="17"/>
          <w:i w:val="1"/>
          <w:iCs w:val="1"/>
          <w:color w:val="auto"/>
        </w:rPr>
        <w:t xml:space="preserve"> Basis of presentation and summary of significant accounting policies</w:t>
      </w:r>
      <w:r>
        <w:rPr>
          <w:rFonts w:ascii="Arial" w:cs="Arial" w:eastAsia="Arial" w:hAnsi="Arial"/>
          <w:sz w:val="17"/>
          <w:szCs w:val="17"/>
          <w:color w:val="auto"/>
        </w:rPr>
        <w:t>, of the Notes to unaudited interim consolidated financial statements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this quarterly report.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37</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89" w:lineRule="exact"/>
        <w:rPr>
          <w:sz w:val="20"/>
          <w:szCs w:val="20"/>
          <w:color w:val="auto"/>
        </w:rPr>
      </w:pPr>
    </w:p>
    <w:p>
      <w:pPr>
        <w:jc w:val="both"/>
        <w:ind w:left="20" w:firstLine="509"/>
        <w:spacing w:after="0" w:line="261" w:lineRule="auto"/>
        <w:rPr>
          <w:sz w:val="20"/>
          <w:szCs w:val="20"/>
          <w:color w:val="auto"/>
        </w:rPr>
      </w:pPr>
      <w:r>
        <w:rPr>
          <w:rFonts w:ascii="Arial" w:cs="Arial" w:eastAsia="Arial" w:hAnsi="Arial"/>
          <w:sz w:val="18"/>
          <w:szCs w:val="18"/>
          <w:color w:val="auto"/>
        </w:rPr>
        <w:t>See Note 2 to our unaudited interim consolidated financial statements included elsewhere in this Quarterly Report on Form 10-Q for a description of recent accounting pronouncements applicable to our financial statements.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89" w:lineRule="exact"/>
        <w:rPr>
          <w:sz w:val="20"/>
          <w:szCs w:val="20"/>
          <w:color w:val="auto"/>
        </w:rPr>
      </w:pPr>
    </w:p>
    <w:p>
      <w:pPr>
        <w:jc w:val="both"/>
        <w:ind w:left="20" w:firstLine="509"/>
        <w:spacing w:after="0" w:line="239" w:lineRule="auto"/>
        <w:rPr>
          <w:sz w:val="20"/>
          <w:szCs w:val="20"/>
          <w:color w:val="auto"/>
        </w:rPr>
      </w:pPr>
      <w:r>
        <w:rPr>
          <w:rFonts w:ascii="Arial" w:cs="Arial" w:eastAsia="Arial" w:hAnsi="Arial"/>
          <w:sz w:val="18"/>
          <w:szCs w:val="18"/>
          <w:color w:val="auto"/>
        </w:rPr>
        <w:t>In April 2012, the Jumpstart Our Business Startups Act of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 extended transition period and, as a result, we will not adopt new or revised accounting standards on the relevant dates on which adoption of such standards is required for other public companies. In addition, as an emerging growth company, we may take advantage of certain reduced disclosure and other requirements that are otherwise applicable generally to public companies.</w:t>
      </w:r>
    </w:p>
    <w:p>
      <w:pPr>
        <w:spacing w:after="0" w:line="150" w:lineRule="exact"/>
        <w:rPr>
          <w:sz w:val="20"/>
          <w:szCs w:val="20"/>
          <w:color w:val="auto"/>
        </w:rPr>
      </w:pPr>
    </w:p>
    <w:p>
      <w:pPr>
        <w:jc w:val="both"/>
        <w:ind w:left="20" w:firstLine="509"/>
        <w:spacing w:after="0" w:line="241" w:lineRule="auto"/>
        <w:rPr>
          <w:sz w:val="20"/>
          <w:szCs w:val="20"/>
          <w:color w:val="auto"/>
        </w:rPr>
      </w:pPr>
      <w:r>
        <w:rPr>
          <w:rFonts w:ascii="Arial" w:cs="Arial" w:eastAsia="Arial" w:hAnsi="Arial"/>
          <w:sz w:val="18"/>
          <w:szCs w:val="18"/>
          <w:color w:val="auto"/>
        </w:rPr>
        <w:t>We may take advantage of these exemptions until such earlier time that we are no longer an emerging growth company. We would cease to be an emerging growth company on the date that is the earliest of (i) the last day of the fiscal year following the fifth anniversary of the date of the completion of our IPO; (ii) the last day of the fiscal year in which our total annual gross revenue is equal to or more than $1.07 billion; (iii) the date on which we have issued more than $1.0 billion in nonconvertible debt during the previous three years; or (iv) the date on which we are deemed to be a large accelerated filer under the rules of the SEC.</w:t>
      </w:r>
    </w:p>
    <w:p>
      <w:pPr>
        <w:spacing w:after="0" w:line="162" w:lineRule="exact"/>
        <w:rPr>
          <w:sz w:val="20"/>
          <w:szCs w:val="20"/>
          <w:color w:val="auto"/>
        </w:rPr>
      </w:pPr>
    </w:p>
    <w:p>
      <w:pPr>
        <w:jc w:val="both"/>
        <w:ind w:left="20" w:firstLine="509"/>
        <w:spacing w:after="0" w:line="271" w:lineRule="auto"/>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on Form 10-K and, similar to emerging growth companies, smaller reporting companies have reduced disclosure obligations regarding executive compensation.</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38</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2" w:lineRule="exact"/>
        <w:rPr>
          <w:sz w:val="20"/>
          <w:szCs w:val="20"/>
          <w:color w:val="auto"/>
        </w:rPr>
      </w:pPr>
    </w:p>
    <w:p>
      <w:pPr>
        <w:jc w:val="both"/>
        <w:ind w:right="200" w:firstLine="509"/>
        <w:spacing w:after="0" w:line="248"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the result of fluctuations in foreign currency exchange rates.</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jc w:val="both"/>
        <w:ind w:firstLine="509"/>
        <w:spacing w:after="0" w:line="243" w:lineRule="auto"/>
        <w:rPr>
          <w:sz w:val="20"/>
          <w:szCs w:val="20"/>
          <w:color w:val="auto"/>
        </w:rPr>
      </w:pPr>
      <w:r>
        <w:rPr>
          <w:rFonts w:ascii="Arial" w:cs="Arial" w:eastAsia="Arial" w:hAnsi="Arial"/>
          <w:sz w:val="18"/>
          <w:szCs w:val="18"/>
          <w:color w:val="auto"/>
        </w:rPr>
        <w:t>The market risk inherent in our financial instruments and in our financial condition represents the potential loss arising from adverse changes in interest rates or exchange rates. As of March 31, 2022, we had cash and cash equivalents of $362.5 million, which consisted primarily of money market funds and bank deposits. The primary objective of our investment is to preserve principal and provide liquidity. These money market funds and bank deposits generate interest income at variable rates below 1%.</w:t>
      </w:r>
    </w:p>
    <w:p>
      <w:pPr>
        <w:spacing w:after="0" w:line="147"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therefore do not believe we are exposed to, nor do we anticipate being in the near future exposed to, material risk due to changes in interest rates because of the short-term nature of our cash and cash equivalents.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71"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Our revenue has been generated across the globe, mainly in the United States, Europe and Asia. Our foreign currency risk related to our revenue and operating expenses denominated in currencies other than the U.S. dollar, primarily the renminbi and the euro, causes both our revenue and our operating results to be impacted by fluctuations in the exchange rates.</w:t>
      </w:r>
    </w:p>
    <w:p>
      <w:pPr>
        <w:spacing w:after="0" w:line="155" w:lineRule="exact"/>
        <w:rPr>
          <w:sz w:val="20"/>
          <w:szCs w:val="20"/>
          <w:color w:val="auto"/>
        </w:rPr>
      </w:pPr>
    </w:p>
    <w:p>
      <w:pPr>
        <w:jc w:val="both"/>
        <w:ind w:firstLine="509"/>
        <w:spacing w:after="0" w:line="262" w:lineRule="auto"/>
        <w:rPr>
          <w:sz w:val="20"/>
          <w:szCs w:val="20"/>
          <w:color w:val="auto"/>
        </w:rPr>
      </w:pPr>
      <w:r>
        <w:rPr>
          <w:rFonts w:ascii="Arial" w:cs="Arial" w:eastAsia="Arial" w:hAnsi="Arial"/>
          <w:sz w:val="17"/>
          <w:szCs w:val="17"/>
          <w:color w:val="auto"/>
        </w:rPr>
        <w:t>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intended to minimize the impact of these fluctuations in the exchange rates. As our international operations grow, we intend to continue to reassess our approach to manage our risk relating to fluctuations in currency rates.</w:t>
      </w:r>
    </w:p>
    <w:p>
      <w:pPr>
        <w:spacing w:after="0" w:line="132"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8"/>
          <w:szCs w:val="18"/>
          <w:color w:val="auto"/>
        </w:rPr>
        <w:t>We do not believe that either inflation or foreign currency risk had a material effect on our business, financial condition, or results of operations during the periods presented.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jc w:val="both"/>
        <w:ind w:left="20" w:firstLine="509"/>
        <w:spacing w:after="0" w:line="257"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have evaluated the effectiveness of our disclosure controls and procedures (as defined in Rules 13a-15(e) and 15d-15(e) of the Exchange Act) as of the end of the period covered by this Quarterly Report on Form 10-Q.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as a result of the material weaknesses in our internal control, our disclosure controls and procedures were not effective as of March 31, 2022.</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w:t>
      </w:r>
    </w:p>
    <w:p>
      <w:pPr>
        <w:spacing w:after="0" w:line="185" w:lineRule="exact"/>
        <w:rPr>
          <w:sz w:val="20"/>
          <w:szCs w:val="20"/>
          <w:color w:val="auto"/>
        </w:rPr>
      </w:pPr>
    </w:p>
    <w:p>
      <w:pPr>
        <w:jc w:val="both"/>
        <w:ind w:left="20" w:right="140" w:firstLine="509"/>
        <w:spacing w:after="0" w:line="255" w:lineRule="auto"/>
        <w:rPr>
          <w:sz w:val="20"/>
          <w:szCs w:val="20"/>
          <w:color w:val="auto"/>
        </w:rPr>
      </w:pPr>
      <w:r>
        <w:rPr>
          <w:rFonts w:ascii="Arial" w:cs="Arial" w:eastAsia="Arial" w:hAnsi="Arial"/>
          <w:sz w:val="17"/>
          <w:szCs w:val="17"/>
          <w:color w:val="auto"/>
        </w:rPr>
        <w:t>Prior to the completion of our IPO in July 2021, we were a private company with limited accounting personnel to adequately execute our accounting processes to address our internal control over financial reporting. In connection with our financial statement close process for the years ended December 31, 2019 and 2020, we identified material weaknesses associated with our control environment and control activities components of the Committee of Sponsoring Organizations (“COSO”) framework related to (i) the lack of sufficient qualified personnel within our accounting and IT function and (ii) establishing policies and procedures to identify, select and apply U.S. GAAP in order to ensure that transactions were being appropriately recorded; and the design of appropriate control activities over information technology systems and financial and reporting processes necessary to ensure the accuracy of financial reporting and the preparation of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Remediation efforts on previously reported material weaknesses</w:t>
      </w:r>
    </w:p>
    <w:p>
      <w:pPr>
        <w:spacing w:after="0" w:line="185" w:lineRule="exact"/>
        <w:rPr>
          <w:sz w:val="20"/>
          <w:szCs w:val="20"/>
          <w:color w:val="auto"/>
        </w:rPr>
      </w:pPr>
    </w:p>
    <w:p>
      <w:pPr>
        <w:jc w:val="both"/>
        <w:ind w:left="20" w:right="160" w:firstLine="509"/>
        <w:spacing w:after="0" w:line="270" w:lineRule="auto"/>
        <w:rPr>
          <w:sz w:val="20"/>
          <w:szCs w:val="20"/>
          <w:color w:val="auto"/>
        </w:rPr>
      </w:pPr>
      <w:r>
        <w:rPr>
          <w:rFonts w:ascii="Arial" w:cs="Arial" w:eastAsia="Arial" w:hAnsi="Arial"/>
          <w:sz w:val="17"/>
          <w:szCs w:val="17"/>
          <w:color w:val="auto"/>
        </w:rPr>
        <w:t>We are committed to remediating the control deficiencies that constituted the above material weaknesses by implementing changes to our internal control over financial reporting. During 2021 and the three months ended March 31, 2022 we executed and continue to execute the following steps intended to remediate the material weaknesses described above and strengthen our internal control over financial reporting: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39</w:t>
      </w:r>
    </w:p>
    <w:p>
      <w:pPr>
        <w:spacing w:after="0" w:line="104" w:lineRule="exact"/>
        <w:rPr>
          <w:sz w:val="20"/>
          <w:szCs w:val="20"/>
          <w:color w:val="auto"/>
        </w:rPr>
      </w:pPr>
    </w:p>
    <w:p>
      <w:pPr>
        <w:ind w:left="1020" w:right="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engaged external consultants to assist us in designing, implementing, and monitoring an appropriate system of internal control, including Information Technology General Controls.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added and will continue to add qualified personnel within our accounting and information technology function.</w:t>
      </w:r>
    </w:p>
    <w:p>
      <w:pPr>
        <w:spacing w:after="0" w:line="103"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initiated formalizing our internal controls environment and performed a risk assessment and scoped key systems and business processes, including a risk assessment at the financial statement assertion level to ensure that the level of precision of relevant controls is adequate to address the identified risks. We will continue to revise and enhance the design of existing controls and implement new controls, update documentation and strengthen supervisory reviews by our management.</w:t>
      </w:r>
    </w:p>
    <w:p>
      <w:pPr>
        <w:spacing w:after="0" w:line="79"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strengthened, and will continue to strengthen, access and segregation of duties for Information Technology General Controls related to financial accounting and reporting systems including implementing monitoring controls as appropriate.</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implemented automated workflows and enhanced oversight over the execution and review of manual journal entry controls, and will continue to provide training for such enhanced oversight and review.</w:t>
      </w:r>
    </w:p>
    <w:p>
      <w:pPr>
        <w:spacing w:after="0" w:line="63"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7"/>
          <w:szCs w:val="17"/>
          <w:color w:val="auto"/>
        </w:rPr>
        <w:t>We plan to continue to devote significant time and attention to remediate the above material weaknesses as soon as reasonably practicable. As we continue to evaluate our controls, we will make the changes described above as well as any others needed to enhance our control environment and remediate the material weaknesses. We believe these actions will be sufficient to remediate the identified material weaknesses and strengthen our internal control over financial reporting; however, there can be no guarantee that such remediation will be sufficient. We will continue to evaluate the effectiveness of our controls and will make any further changes management determines appropriate.</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left="20" w:right="20" w:firstLine="509"/>
        <w:spacing w:after="0" w:line="248" w:lineRule="auto"/>
        <w:rPr>
          <w:sz w:val="20"/>
          <w:szCs w:val="20"/>
          <w:color w:val="auto"/>
        </w:rPr>
      </w:pPr>
      <w:r>
        <w:rPr>
          <w:rFonts w:ascii="Arial" w:cs="Arial" w:eastAsia="Arial" w:hAnsi="Arial"/>
          <w:sz w:val="18"/>
          <w:szCs w:val="18"/>
          <w:color w:val="auto"/>
        </w:rPr>
        <w:t>Other than the changes intended to remediate the material weaknesses noted above, there was no change in our internal control over financial reporting that occurred during the three months ended March 31, 2022 that materially affected, or were reasonably likely to materially affect, our internal control over financial reporting.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the Effectiveness of Internal Control</w:t>
      </w:r>
    </w:p>
    <w:p>
      <w:pPr>
        <w:spacing w:after="0" w:line="171" w:lineRule="exact"/>
        <w:rPr>
          <w:sz w:val="20"/>
          <w:szCs w:val="20"/>
          <w:color w:val="auto"/>
        </w:rPr>
      </w:pPr>
    </w:p>
    <w:p>
      <w:pPr>
        <w:jc w:val="both"/>
        <w:ind w:left="20" w:right="20" w:firstLine="509"/>
        <w:spacing w:after="0" w:line="284"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pacing w:after="0" w:line="12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b w:val="1"/>
          <w:bCs w:val="1"/>
          <w:color w:val="auto"/>
        </w:rPr>
        <w:t>ITEM 1</w:t>
      </w:r>
      <w:r>
        <w:rPr>
          <w:rFonts w:ascii="Arial" w:cs="Arial" w:eastAsia="Arial" w:hAnsi="Arial"/>
          <w:sz w:val="14"/>
          <w:szCs w:val="14"/>
          <w:b w:val="1"/>
          <w:bCs w:val="1"/>
          <w:color w:val="auto"/>
        </w:rPr>
        <w:t>.</w:t>
      </w:r>
      <w:r>
        <w:rPr>
          <w:sz w:val="20"/>
          <w:szCs w:val="20"/>
          <w:color w:val="auto"/>
        </w:rPr>
        <w:tab/>
      </w:r>
      <w:r>
        <w:rPr>
          <w:rFonts w:ascii="Arial" w:cs="Arial" w:eastAsia="Arial" w:hAnsi="Arial"/>
          <w:sz w:val="17"/>
          <w:szCs w:val="17"/>
          <w:b w:val="1"/>
          <w:bCs w:val="1"/>
          <w:color w:val="auto"/>
        </w:rPr>
        <w:t>LEGAL PROCEEDINGS</w:t>
      </w:r>
    </w:p>
    <w:p>
      <w:pPr>
        <w:spacing w:after="0" w:line="324" w:lineRule="exact"/>
        <w:rPr>
          <w:sz w:val="20"/>
          <w:szCs w:val="20"/>
          <w:color w:val="auto"/>
        </w:rPr>
      </w:pPr>
    </w:p>
    <w:p>
      <w:pPr>
        <w:jc w:val="both"/>
        <w:ind w:right="40" w:firstLine="578"/>
        <w:spacing w:after="0" w:line="263"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presently a party to any legal proceedings that, if determined adversely to us, would individually or taken together have a material adverse effect on our business, operating results, financial condition or cash flows.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40</w:t>
      </w:r>
    </w:p>
    <w:p>
      <w:pPr>
        <w:spacing w:after="0" w:line="200" w:lineRule="exact"/>
        <w:rPr>
          <w:sz w:val="20"/>
          <w:szCs w:val="20"/>
          <w:color w:val="auto"/>
        </w:rPr>
      </w:pPr>
    </w:p>
    <w:p>
      <w:pPr>
        <w:spacing w:after="0" w:line="332" w:lineRule="exact"/>
        <w:rPr>
          <w:sz w:val="20"/>
          <w:szCs w:val="20"/>
          <w:color w:val="auto"/>
        </w:rPr>
      </w:pPr>
    </w:p>
    <w:p>
      <w:pPr>
        <w:ind w:left="2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310" w:lineRule="exact"/>
        <w:rPr>
          <w:sz w:val="20"/>
          <w:szCs w:val="20"/>
          <w:color w:val="auto"/>
        </w:rPr>
      </w:pPr>
    </w:p>
    <w:p>
      <w:pPr>
        <w:jc w:val="both"/>
        <w:ind w:firstLine="578"/>
        <w:spacing w:after="0" w:line="254" w:lineRule="auto"/>
        <w:rPr>
          <w:sz w:val="20"/>
          <w:szCs w:val="20"/>
          <w:color w:val="auto"/>
        </w:rPr>
      </w:pPr>
      <w:r>
        <w:rPr>
          <w:rFonts w:ascii="Arial" w:cs="Arial" w:eastAsia="Arial" w:hAnsi="Arial"/>
          <w:sz w:val="18"/>
          <w:szCs w:val="18"/>
          <w:i w:val="1"/>
          <w:iCs w:val="1"/>
          <w:color w:val="auto"/>
        </w:rPr>
        <w:t>Our operations and financial results are subject to numerous risks and uncertainties, including those described below, which may have a material and adverse effect on our business, results of operations, cash flows, financial conditions, and the trading price of our common stock. The risks and uncertainties described below are not the only ones facing us. Additional risks and uncertainties not presently known to us or that we currently deem immaterial also may impair our business operations. You should consider these risks and uncertainties carefully, together with all of the other information included or incorporated by reference in this Quarterly Report on Form 10-Q. If any of the following risks actually occur, our business, financial condition, results of operations and future prospects could be materially and adversely affected. You should not interpret our disclosure of any of the following risks to imply that such risks have not already materialized.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216"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8"/>
          <w:szCs w:val="18"/>
          <w:color w:val="auto"/>
        </w:rPr>
        <w:t>We may be unable for many reasons, including those that are beyond our control, to implement our business strategy successfully. Below is a summary of material factors that make an investment in our shares of common stock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w:t>
      </w:r>
    </w:p>
    <w:p>
      <w:pPr>
        <w:spacing w:after="0" w:line="80" w:lineRule="exact"/>
        <w:rPr>
          <w:sz w:val="20"/>
          <w:szCs w:val="20"/>
          <w:color w:val="auto"/>
        </w:rPr>
      </w:pPr>
    </w:p>
    <w:p>
      <w:pPr>
        <w:ind w:left="1020" w:right="20" w:hanging="503"/>
        <w:spacing w:after="0" w:line="291"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38" w:lineRule="exact"/>
        <w:rPr>
          <w:rFonts w:ascii="Arial" w:cs="Arial" w:eastAsia="Arial" w:hAnsi="Arial"/>
          <w:sz w:val="17"/>
          <w:szCs w:val="17"/>
          <w:color w:val="auto"/>
        </w:rPr>
      </w:pPr>
    </w:p>
    <w:p>
      <w:pPr>
        <w:jc w:val="both"/>
        <w:ind w:left="1020" w:hanging="503"/>
        <w:spacing w:after="0" w:line="294" w:lineRule="auto"/>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are highly dependent on a limited number of product offerings. Our revenue has been primarily generated from sales of our core Aurora and Northern Light systems, which require a substantial sales cycle and are prone to quarterly fluctuations in revenue. Our future success depends on our ability to develop and successfully introduce new and enhanced products that meet the needs of our customers.</w:t>
      </w:r>
    </w:p>
    <w:p>
      <w:pPr>
        <w:spacing w:after="0" w:line="39" w:lineRule="exact"/>
        <w:rPr>
          <w:rFonts w:ascii="Arial" w:cs="Arial" w:eastAsia="Arial" w:hAnsi="Arial"/>
          <w:sz w:val="16"/>
          <w:szCs w:val="16"/>
          <w:color w:val="auto"/>
        </w:rPr>
      </w:pPr>
    </w:p>
    <w:p>
      <w:pPr>
        <w:jc w:val="both"/>
        <w:ind w:left="1020" w:hanging="503"/>
        <w:spacing w:after="0" w:line="239"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 On August 25, 2021, we and Cytek (Wuxi) Biosciences Co., Ltd, our China subsidiary (the “Subsidiary”), entered into a Supply Agreement (the “Coherent Agreement”) with Coherent NA, Inc. (“Coherent”). Pursuant to the Coherent Agreement, Coherent has agreed to sell and supply to us and the Subsidiary, on a non-exclusive basis, laser products manufactured by Coherent. Other than the Coherent Agreement, we do not currently have long-term supply contracts with our sole and single source suppliers of key components.</w:t>
      </w:r>
    </w:p>
    <w:p>
      <w:pPr>
        <w:spacing w:after="0" w:line="8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results of operations will be harmed if we are unable to accurately forecast customer demand for our products and manage our inventory.</w:t>
      </w:r>
    </w:p>
    <w:p>
      <w:pPr>
        <w:spacing w:after="0" w:line="126" w:lineRule="exact"/>
        <w:rPr>
          <w:rFonts w:ascii="Arial" w:cs="Arial" w:eastAsia="Arial" w:hAnsi="Arial"/>
          <w:sz w:val="16"/>
          <w:szCs w:val="16"/>
          <w:color w:val="auto"/>
        </w:rPr>
      </w:pPr>
    </w:p>
    <w:p>
      <w:pPr>
        <w:jc w:val="both"/>
        <w:ind w:left="1020" w:hanging="503"/>
        <w:spacing w:after="0" w:line="262" w:lineRule="auto"/>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adopt our products, it will negatively affect our business, financial condition, prospects and results of operations.</w:t>
      </w:r>
    </w:p>
    <w:p>
      <w:pPr>
        <w:spacing w:after="0" w:line="64" w:lineRule="exact"/>
        <w:rPr>
          <w:rFonts w:ascii="Arial" w:cs="Arial" w:eastAsia="Arial" w:hAnsi="Arial"/>
          <w:sz w:val="17"/>
          <w:szCs w:val="17"/>
          <w:color w:val="auto"/>
        </w:rPr>
      </w:pPr>
    </w:p>
    <w:p>
      <w:pPr>
        <w:ind w:left="1020" w:right="20" w:hanging="503"/>
        <w:spacing w:after="0" w:line="261"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are unable to manufacture our products in high-quality commercial quantities successfully and consistently to meet demand, our growth will be limited.</w:t>
      </w:r>
    </w:p>
    <w:p>
      <w:pPr>
        <w:spacing w:after="0" w:line="62"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future success is dependent upon our ability to increase penetration in our existing markets and expand into adjacent markets. If we are unable to successfully expand our commercial operations, including hiring additional qualified sales representatives, technical applications specialists and customer support staff, our business may be adversely affected.</w:t>
      </w:r>
    </w:p>
    <w:p>
      <w:pPr>
        <w:spacing w:after="0" w:line="73" w:lineRule="exact"/>
        <w:rPr>
          <w:rFonts w:ascii="Arial" w:cs="Arial" w:eastAsia="Arial" w:hAnsi="Arial"/>
          <w:sz w:val="18"/>
          <w:szCs w:val="18"/>
          <w:color w:val="auto"/>
        </w:rPr>
      </w:pPr>
    </w:p>
    <w:p>
      <w:pPr>
        <w:jc w:val="both"/>
        <w:ind w:left="1020" w:hanging="503"/>
        <w:spacing w:after="0" w:line="24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and our suppliers are subject to ongoing regulatory obligations and continued regulatory review, which may result in significant additional expense and subject us to penalties if we fail to comply with applicable regulatory requirements. Our products may become subject to more onerous regulation by the FDA or other regulatory agencies in the future, which could increase our costs and delay or prevent sales of our products or commercialization of new products and product enhancements.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41</w:t>
      </w:r>
    </w:p>
    <w:p>
      <w:pPr>
        <w:spacing w:after="0" w:line="104" w:lineRule="exact"/>
        <w:rPr>
          <w:sz w:val="20"/>
          <w:szCs w:val="20"/>
          <w:color w:val="auto"/>
        </w:rPr>
      </w:pPr>
    </w:p>
    <w:p>
      <w:pPr>
        <w:jc w:val="both"/>
        <w:ind w:left="1020" w:hanging="503"/>
        <w:spacing w:after="0" w:line="259"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Concentration of ownership of our common stock among our executive officers, directors and principal stockholders may prevent new investors from influencing significant corporate decisions. Based on shares outstanding as of March 31, 2022, our executive officers, directors and current beneficial owners of 5% or more of our common stock, in the aggregate, beneficially owned approximately 44.8% of our common stock. These stockholders, acting together, will be able to significantly influence all matters requiring stockholder approval, including the election and removal of directors and any merger or other significant corporate transactions.</w:t>
      </w:r>
    </w:p>
    <w:p>
      <w:pPr>
        <w:spacing w:after="0" w:line="65" w:lineRule="exact"/>
        <w:rPr>
          <w:rFonts w:ascii="Arial" w:cs="Arial" w:eastAsia="Arial" w:hAnsi="Arial"/>
          <w:sz w:val="17"/>
          <w:szCs w:val="17"/>
          <w:color w:val="auto"/>
        </w:rPr>
      </w:pPr>
    </w:p>
    <w:p>
      <w:pPr>
        <w:jc w:val="both"/>
        <w:ind w:left="1020" w:hanging="503"/>
        <w:spacing w:after="0" w:line="243"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79" w:lineRule="exact"/>
        <w:rPr>
          <w:rFonts w:ascii="Arial" w:cs="Arial" w:eastAsia="Arial" w:hAnsi="Arial"/>
          <w:sz w:val="18"/>
          <w:szCs w:val="18"/>
          <w:color w:val="auto"/>
        </w:rPr>
      </w:pPr>
    </w:p>
    <w:p>
      <w:pPr>
        <w:ind w:left="1020" w:right="20" w:hanging="503"/>
        <w:spacing w:after="0" w:line="291"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business currently depends significantly on research and development spending by academic institutions and government-owned institutions, a reduction in which could limit demand for our solutions and adversely affect our business and operating results.</w:t>
      </w:r>
    </w:p>
    <w:p>
      <w:pPr>
        <w:spacing w:after="0" w:line="38"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International operations and expansion of our international business exposes us to business, regulatory, political, operational, financial and economic risks associated with doing business outside of the United States.</w:t>
      </w:r>
    </w:p>
    <w:p>
      <w:pPr>
        <w:spacing w:after="0" w:line="62" w:lineRule="exact"/>
        <w:rPr>
          <w:rFonts w:ascii="Arial" w:cs="Arial" w:eastAsia="Arial" w:hAnsi="Arial"/>
          <w:sz w:val="18"/>
          <w:szCs w:val="18"/>
          <w:color w:val="auto"/>
        </w:rPr>
      </w:pPr>
    </w:p>
    <w:p>
      <w:pPr>
        <w:jc w:val="both"/>
        <w:ind w:left="1020" w:hanging="503"/>
        <w:spacing w:after="0" w:line="262"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market for cell analysis technologies and life sciences tools, including flow cytometry, is rapidly evolving and highly competitive. 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64" w:lineRule="exact"/>
        <w:rPr>
          <w:rFonts w:ascii="Arial" w:cs="Arial" w:eastAsia="Arial" w:hAnsi="Arial"/>
          <w:sz w:val="17"/>
          <w:szCs w:val="17"/>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our products do not perform as expected, our operating results, reputation and business will suffer.</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62" w:lineRule="exact"/>
        <w:rPr>
          <w:rFonts w:ascii="Arial" w:cs="Arial" w:eastAsia="Arial" w:hAnsi="Arial"/>
          <w:sz w:val="18"/>
          <w:szCs w:val="18"/>
          <w:color w:val="auto"/>
        </w:rPr>
      </w:pPr>
    </w:p>
    <w:p>
      <w:pPr>
        <w:ind w:left="1020" w:hanging="503"/>
        <w:spacing w:after="0" w:line="324"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16" w:lineRule="exact"/>
        <w:rPr>
          <w:rFonts w:ascii="Arial" w:cs="Arial" w:eastAsia="Arial" w:hAnsi="Arial"/>
          <w:sz w:val="16"/>
          <w:szCs w:val="16"/>
          <w:color w:val="auto"/>
        </w:rPr>
      </w:pPr>
    </w:p>
    <w:p>
      <w:pPr>
        <w:jc w:val="both"/>
        <w:ind w:left="1020" w:hanging="503"/>
        <w:spacing w:after="0" w:line="248"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7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7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which makes our future operating results difficult to predict and could cause our operating results to fall below expectations or any guidance we may provide.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existing operations, develop our products and/or expand our operations.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COVID-19 pandemic has had and could continue to have an adverse impact on our business, operations, and the markets and communities in which we, our partners, and customers operate.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162"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have a limited operating history and only recently launched our commercial products, which may make it difficult to evaluate the prospects for our future viability and predict our future performance. We have limited experience marketing and selling our products.</w:t>
      </w:r>
    </w:p>
    <w:p>
      <w:pPr>
        <w:spacing w:after="0" w:line="39" w:lineRule="exact"/>
        <w:rPr>
          <w:sz w:val="20"/>
          <w:szCs w:val="20"/>
          <w:color w:val="auto"/>
        </w:rPr>
      </w:pPr>
    </w:p>
    <w:p>
      <w:pPr>
        <w:jc w:val="both"/>
        <w:ind w:firstLine="578"/>
        <w:spacing w:after="0" w:line="290" w:lineRule="auto"/>
        <w:rPr>
          <w:sz w:val="20"/>
          <w:szCs w:val="20"/>
          <w:color w:val="auto"/>
        </w:rPr>
      </w:pPr>
      <w:r>
        <w:rPr>
          <w:rFonts w:ascii="Arial" w:cs="Arial" w:eastAsia="Arial" w:hAnsi="Arial"/>
          <w:sz w:val="16"/>
          <w:szCs w:val="16"/>
          <w:color w:val="auto"/>
        </w:rPr>
        <w:t>We have a limited operating history and may encounter unforeseen expenses, difficulties, complications, delays and other known and unknown obstacles. We launched our first core commercial product, the Aurora system, in June 2017. Our limited commercial and operating history makes it difficult to evaluate our current business and predict our future performance. Although we have experienced significant revenue growth in recent periods, any assessment of our future revenue, profitability or prediction about our future success or viability is subject to significant uncertainty. We have encountered in the past, and will encounter in the future, risks and uncertainties frequently experienced by growing companies with limited operating histories in emerging and rapidly changing industries, including scaling up our infrastructure and headcount.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materially and adversely affected.</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42</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We are highly dependent on a limited number of product offerings. Our revenue has been primarily generated from sale of our core Aurora and Northern Lights systems, which require a substantial sales cycle and are prone to quarterly fluctuations in revenue.</w:t>
      </w:r>
    </w:p>
    <w:p>
      <w:pPr>
        <w:spacing w:after="0" w:line="78" w:lineRule="exact"/>
        <w:rPr>
          <w:sz w:val="20"/>
          <w:szCs w:val="20"/>
          <w:color w:val="auto"/>
        </w:rPr>
      </w:pPr>
    </w:p>
    <w:p>
      <w:pPr>
        <w:jc w:val="both"/>
        <w:ind w:firstLine="578"/>
        <w:spacing w:after="0" w:line="289" w:lineRule="auto"/>
        <w:rPr>
          <w:sz w:val="20"/>
          <w:szCs w:val="20"/>
          <w:color w:val="auto"/>
        </w:rPr>
      </w:pPr>
      <w:r>
        <w:rPr>
          <w:rFonts w:ascii="Arial" w:cs="Arial" w:eastAsia="Arial" w:hAnsi="Arial"/>
          <w:sz w:val="16"/>
          <w:szCs w:val="16"/>
          <w:color w:val="auto"/>
        </w:rPr>
        <w:t>Our Aurora system was commercially launched in June 2017, our Northern Lights system was commercially launched in October 2018 and our Aurora CS was first commercially shipped in June 2021. Sales of the Aurora and Northern Lights systems together accounted for a substantial portion of our revenue for the periods presented. We expect that, for at least the foreseeable future, sales of our Aurora and Northern Lights systems will continue to account for a substantial portion of our revenue. The sales cycle for our flow cytometer instruments is slow and can take up to six months or longer to complete. As a result of this lengthy and unpredictable sales cycle, we will be prone to quarterly fluctuations in our revenue as sales of the Aurora and Northern Lights systems are expected to continue to comprise a significant component of our revenue. Additionally, we experience seasonality in our business, with revenue in the fourth quarter typically being higher as a result of higher sales volume due to marketing campaign closing activity. Quarterly fluctuations may make it difficult for us to predict our future operating results. Consequently, comparisons of our operating results on a period-to-period basis may not be meaningful. Investors should not rely on our past results as an indication of our future performance.</w:t>
      </w:r>
    </w:p>
    <w:p>
      <w:pPr>
        <w:spacing w:after="0" w:line="139" w:lineRule="exact"/>
        <w:rPr>
          <w:sz w:val="20"/>
          <w:szCs w:val="20"/>
          <w:color w:val="auto"/>
        </w:rPr>
      </w:pPr>
    </w:p>
    <w:p>
      <w:pPr>
        <w:jc w:val="both"/>
        <w:ind w:firstLine="578"/>
        <w:spacing w:after="0" w:line="259" w:lineRule="auto"/>
        <w:rPr>
          <w:sz w:val="20"/>
          <w:szCs w:val="20"/>
          <w:color w:val="auto"/>
        </w:rPr>
      </w:pPr>
      <w:r>
        <w:rPr>
          <w:rFonts w:ascii="Arial" w:cs="Arial" w:eastAsia="Arial" w:hAnsi="Arial"/>
          <w:sz w:val="18"/>
          <w:szCs w:val="18"/>
          <w:color w:val="auto"/>
        </w:rPr>
        <w:t>As a result of variability and unpredictability, we may also fail to meet the expectations of industry or financial analysts or investors for any period. If our revenue or operating results fall short of the expectations of analysts or investors or any guidance we may provide, or if the guidance we provide falls short of the expectations of analysts or investors, the price of our common stock could decline substantially. Such a stock price decline could occur even when we have met or exceeded any previously publicly stated guidance we may have provided.</w:t>
      </w:r>
    </w:p>
    <w:p>
      <w:pPr>
        <w:spacing w:after="0" w:line="14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currently rely on single source suppliers and, in some cases, sole source suppliers, for certain components and materials used in our systems and may not be able to find replacements or immediately transition to alternative suppliers, which could have an adverse effect on our business, financial condition and results of operations.</w:t>
      </w:r>
    </w:p>
    <w:p>
      <w:pPr>
        <w:spacing w:after="0" w:line="74" w:lineRule="exact"/>
        <w:rPr>
          <w:sz w:val="20"/>
          <w:szCs w:val="20"/>
          <w:color w:val="auto"/>
        </w:rPr>
      </w:pPr>
    </w:p>
    <w:p>
      <w:pPr>
        <w:jc w:val="both"/>
        <w:ind w:firstLine="578"/>
        <w:spacing w:after="0" w:line="286" w:lineRule="auto"/>
        <w:rPr>
          <w:sz w:val="20"/>
          <w:szCs w:val="20"/>
          <w:color w:val="auto"/>
        </w:rPr>
      </w:pPr>
      <w:r>
        <w:rPr>
          <w:rFonts w:ascii="Arial" w:cs="Arial" w:eastAsia="Arial" w:hAnsi="Arial"/>
          <w:sz w:val="16"/>
          <w:szCs w:val="16"/>
          <w:color w:val="auto"/>
        </w:rPr>
        <w:t>We have sourced and will continue to source certain components of the Aurora, Northern Lights and Aurora CS systems from a limited number of suppliers and, in some cases, sole source suppliers. Key components in our products that are supplied by sole or single source suppliers include certain lasers, semiconductors and mechanical components that are used in our optical, electrical and fluidic subassemblies. On August 25, 2021, we and our China Subsidiary entered into the Coherent Agreement with Coherent. Pursuant to the Coherent Agreement, Coherent has agreed to sell and supply to us and the Subsidiary, on a non-exclusive basis, laser products manufactured by Coherent. We and the Subsidiary provide Coherent with rolling forecasts of our and the Subsidiary’s anticipated orders, which are non-binding. Purchase orders submitted by us and the Subsidiary pursuant to the terms of the Coherent Agreement will be deemed accepted upon written acknowledgement of acceptance by Coherent. Other than the Coherent Agreement, we do not currently have long-term supply contracts with our sole and single source suppliers of key components. Additionally, we believe we are not a major customer to most of our suppliers. Our suppliers may therefore give other customers’ needs higher priority than ours, and we may not be able to obtain adequate supply in a timely manner or on commercially reasonable terms. While we are in the process of qualifying additional sources of supply, qualifications can take 12 to 24 months and, in some cases, longer. If we were to lose one or more of our sole or single source suppliers, it would take significant time and effort to qualify alternative suppliers, if available. Moreover, in the event that we transition to a new supplier, particularly from any of our single source suppliers, doing so could be time-consuming and expensive, may result in interruptions in our ability to supply our products to the market and could affect the performance of our products, resulting in increased costs and negative customer perception.</w:t>
      </w:r>
    </w:p>
    <w:p>
      <w:pPr>
        <w:spacing w:after="0" w:line="144"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7"/>
          <w:szCs w:val="17"/>
          <w:color w:val="auto"/>
        </w:rPr>
        <w:t>Although we believe that we have stable relationships with our existing suppliers, we cannot assure you that we will be able to secure a stable supply of components materials going forward. In the event that any adverse developments occur with our suppliers, in particular for those products that are sole-sourced,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 In addition, quarantines, shelter-in-place and similar government orders related to the COVID-19 pandemic or other infectious disease outbreaks, or the perception that such orders, shutdowns or other restrictions on the conduct of business operations could occur, could impact the suppliers upon which we rely, or the availability or cost of materials, which could disrupt the supply chain for our products.</w:t>
      </w:r>
    </w:p>
    <w:p>
      <w:pPr>
        <w:spacing w:after="0" w:line="138"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In addition, we cannot assure you that our suppliers have obtained and will be able to obtain or maintain all licenses, permits and approvals necessary for their operations or comply with all applicable laws and regulations, and failure to do so by them may lead to interruption in their business operations, which in turn may result in shortages of components supplied to us.</w:t>
      </w:r>
    </w:p>
    <w:p>
      <w:pPr>
        <w:spacing w:after="0" w:line="157"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Supply interruptions have in the past arisen and could arise in the future from effects of the COVID-19 pandemic, shortages of raw materials, labor disputes or weather conditions affecting products or shipments, transportation disruptions, adjustments to our inventory levels or other factors within and beyond our control, and such supply interruption risk is increased by the limited number 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43</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suppliers for certain of the components we use in our products. Our failure to maintain a continued supply of components that meets our quality control requirements for any reason, including changes to or termination of our agreements with key suppliers, or to enter into new agreements with other suppliers, particularly in the case of single or sole source suppliers, could result in the loss of access to important components and materials used in our products and impact our ability to manufacture and sell our products. Any delay or interruption in the supply of our materials could delay or suspend sales of our products and increase the costs of manufacturing our products, which could have an adverse effect on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results of operations will be harmed if we are unable to accurately forecast customer demand for our products and manage our inventory.</w:t>
      </w:r>
    </w:p>
    <w:p>
      <w:pPr>
        <w:spacing w:after="0" w:line="127" w:lineRule="exact"/>
        <w:rPr>
          <w:sz w:val="20"/>
          <w:szCs w:val="20"/>
          <w:color w:val="auto"/>
        </w:rPr>
      </w:pPr>
    </w:p>
    <w:p>
      <w:pPr>
        <w:jc w:val="both"/>
        <w:ind w:firstLine="578"/>
        <w:spacing w:after="0" w:line="255" w:lineRule="auto"/>
        <w:rPr>
          <w:sz w:val="20"/>
          <w:szCs w:val="20"/>
          <w:color w:val="auto"/>
        </w:rPr>
      </w:pPr>
      <w:r>
        <w:rPr>
          <w:rFonts w:ascii="Arial" w:cs="Arial" w:eastAsia="Arial" w:hAnsi="Arial"/>
          <w:sz w:val="18"/>
          <w:szCs w:val="18"/>
          <w:color w:val="auto"/>
        </w:rPr>
        <w:t>To ensure adequate supply of our instruments and other products, we must forecast the inventory needs of our current and prospective customers, and manufacture our products based on our estimates of future demand. Our ability to accurately forecast demand for our products could be negatively affected by many factors, many of which are beyond our control, including our failure to accurately manage our expansion strategy, product introductions by competitors, an increase or decrease in customer demand for our products or for products of our competitors, our failure to accurately forecast market acceptance of new products, changes in general market conditions, including as a result of the COVID-19 pandemic, seasonal demands, regulatory matters or weakening of general economic conditions.</w:t>
      </w:r>
    </w:p>
    <w:p>
      <w:pPr>
        <w:spacing w:after="0" w:line="152"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7"/>
          <w:szCs w:val="17"/>
          <w:color w:val="auto"/>
        </w:rPr>
        <w:t>We seek to maintain sufficient levels of inventory of our instruments and other products to protect ourselves from supply interruptions. We rely in part on our support organizations and distributors to supply forecasts of anticipated product orders in their respective territories. If we fail to accurately estimate customer demand for our products, our inventory forecasts may be inaccurate, resulting in shortages or excesses of inventory. Inventory levels in excess of customer demand may result in inventory write-downs or write-offs, which would cause our gross margin to be adversely affected and negatively impact our business, prospects, financial condition and results of operations. Conversely, if we underestimate customer demand for our products, we may not be able to deliver products in a timely manner or at all, and this could result in reduced revenue and damage to our reputation and customer relationships. In addition, if we experience a significant increase in demand, we may not have adequate manufacturing capacity to meet such demand, and additional supplies may not be available when required on terms that are acceptable to us, or at all, or suppliers may not be able to allocate sufficient capacity to meet our increased requirements, all of which would negatively affect our business, financial condition and results of operations. If we are unable to meet customer demand, we could lose our existing customers or lose our ability to acquire new customers, which would also negatively impact our business, financial condition and results of operations.</w:t>
      </w:r>
    </w:p>
    <w:p>
      <w:pPr>
        <w:spacing w:after="0" w:line="15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have limited experience manufacturing our products and if we are unable to manufacture our products in high-quality commercial quantities successfully and consistently to meet demand, our growth will be limited.</w:t>
      </w:r>
    </w:p>
    <w:p>
      <w:pPr>
        <w:spacing w:after="0" w:line="63" w:lineRule="exact"/>
        <w:rPr>
          <w:sz w:val="20"/>
          <w:szCs w:val="20"/>
          <w:color w:val="auto"/>
        </w:rPr>
      </w:pPr>
    </w:p>
    <w:p>
      <w:pPr>
        <w:jc w:val="both"/>
        <w:ind w:firstLine="578"/>
        <w:spacing w:after="0" w:line="275" w:lineRule="auto"/>
        <w:rPr>
          <w:sz w:val="20"/>
          <w:szCs w:val="20"/>
          <w:color w:val="auto"/>
        </w:rPr>
      </w:pPr>
      <w:r>
        <w:rPr>
          <w:rFonts w:ascii="Arial" w:cs="Arial" w:eastAsia="Arial" w:hAnsi="Arial"/>
          <w:sz w:val="17"/>
          <w:szCs w:val="17"/>
          <w:color w:val="auto"/>
        </w:rPr>
        <w:t>We have limited experience manufacturing our products. We currently manufacture our instruments and reagents at our manufacturing facilities in Fremont, California, and Wuxi, China, and reagents at our facility in San Diego, California. To manufacture our products in the quantities that we believe will be required to meet the currently anticipated market demand beyond the next several years, we will need to increase manufacturing capacity, which will involve significant challenges and may require additional quality controls and regulatory approvals. We may not successfully complete any required increase to existing manufacturing capacity in a timely manner, or at all.</w:t>
      </w:r>
    </w:p>
    <w:p>
      <w:pPr>
        <w:spacing w:after="0" w:line="136" w:lineRule="exact"/>
        <w:rPr>
          <w:sz w:val="20"/>
          <w:szCs w:val="20"/>
          <w:color w:val="auto"/>
        </w:rPr>
      </w:pPr>
    </w:p>
    <w:p>
      <w:pPr>
        <w:jc w:val="both"/>
        <w:ind w:firstLine="578"/>
        <w:spacing w:after="0" w:line="296" w:lineRule="auto"/>
        <w:rPr>
          <w:sz w:val="20"/>
          <w:szCs w:val="20"/>
          <w:color w:val="auto"/>
        </w:rPr>
      </w:pPr>
      <w:r>
        <w:rPr>
          <w:rFonts w:ascii="Arial" w:cs="Arial" w:eastAsia="Arial" w:hAnsi="Arial"/>
          <w:sz w:val="16"/>
          <w:szCs w:val="16"/>
          <w:color w:val="auto"/>
        </w:rPr>
        <w:t>If there is a disruption to our manufacturing operations, we will have no other means of producing our products until we resolve such issues with our manufacturing facilities, develop alternative manufacturing facilities, or contract with third-party manufacturers capable of producing our products. Additionally, any damage to or destruction of our manufacturing facilities or equipment may significantly impair our ability to manufacture products on a timely basis. There may also be unforeseen occurrences that increase our costs, such as increased prices of the components of our products, changes to labor costs or less favorable terms with third-party suppliers. There can be no assurance that we will not encounter such problems in the future.</w:t>
      </w:r>
    </w:p>
    <w:p>
      <w:pPr>
        <w:spacing w:after="0" w:line="134" w:lineRule="exact"/>
        <w:rPr>
          <w:sz w:val="20"/>
          <w:szCs w:val="20"/>
          <w:color w:val="auto"/>
        </w:rPr>
      </w:pPr>
    </w:p>
    <w:p>
      <w:pPr>
        <w:jc w:val="both"/>
        <w:ind w:firstLine="578"/>
        <w:spacing w:after="0" w:line="255" w:lineRule="auto"/>
        <w:rPr>
          <w:sz w:val="20"/>
          <w:szCs w:val="20"/>
          <w:color w:val="auto"/>
        </w:rPr>
      </w:pPr>
      <w:r>
        <w:rPr>
          <w:rFonts w:ascii="Arial" w:cs="Arial" w:eastAsia="Arial" w:hAnsi="Arial"/>
          <w:sz w:val="18"/>
          <w:szCs w:val="18"/>
          <w:color w:val="auto"/>
        </w:rPr>
        <w:t>If we are unable to manufacture products consistently and in sufficient quantities to meet anticipated customer demand, our business, financial condition, results of operations and prospects would be harmed. As we continue to scale the commercial production of our products and increase our manufacturing capacity, we may encounter quality issues that could result in product defects, errors or recalls. Manufacturing delays related to quality control could negatively impact our ability to bring our products to market, harm our reputation and decrease our revenue. Any defects, errors or recalls could be expensive and generate negative publicity, which could impair our ability to market or sell our products, and adversely affect our results of operations.</w:t>
      </w:r>
    </w:p>
    <w:p>
      <w:pPr>
        <w:spacing w:after="0" w:line="152"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In addition, the introduction of new products may require the development of new manufacturing sites, processes or procedures as well as new suppliers. Developing new processes and negotiating supply agreements can be very time consuming, and any unexpected difficulty in doing so could delay the introduction of a product.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44</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is dependent upon our ability to increase penetration in our existing markets and expand into adjacent markets.</w:t>
      </w:r>
    </w:p>
    <w:p>
      <w:pPr>
        <w:spacing w:after="0" w:line="99" w:lineRule="exact"/>
        <w:rPr>
          <w:sz w:val="20"/>
          <w:szCs w:val="20"/>
          <w:color w:val="auto"/>
        </w:rPr>
      </w:pPr>
    </w:p>
    <w:p>
      <w:pPr>
        <w:jc w:val="both"/>
        <w:ind w:firstLine="578"/>
        <w:spacing w:after="0" w:line="293" w:lineRule="auto"/>
        <w:rPr>
          <w:sz w:val="20"/>
          <w:szCs w:val="20"/>
          <w:color w:val="auto"/>
        </w:rPr>
      </w:pPr>
      <w:r>
        <w:rPr>
          <w:rFonts w:ascii="Arial" w:cs="Arial" w:eastAsia="Arial" w:hAnsi="Arial"/>
          <w:sz w:val="16"/>
          <w:szCs w:val="16"/>
          <w:color w:val="auto"/>
        </w:rPr>
        <w:t>Our customer base includes academic and government institutions, pharmaceutical and biotechnology companies, clinical research organizations and clinical laboratories focused on cell analysis. Approximately 40% and 42% of our revenue came from sales to academic and government-owned institutions and 60% and 58% of our revenue came from sales to pharmaceutical and biotechnology companies, distributors and CROs in the three months ended March 31, 2022 and 2021, respectively. Our success will depend upon our ability to increase our market penetration. We cannot guarantee that we will be able to further penetrate our existing markets or that these markets will be able to sustain our current and future product and service offerings. Any failure to increase penetration in our existing markets would adversely affect our ability to improve our operating results.</w:t>
      </w:r>
    </w:p>
    <w:p>
      <w:pPr>
        <w:spacing w:after="0" w:line="137" w:lineRule="exact"/>
        <w:rPr>
          <w:sz w:val="20"/>
          <w:szCs w:val="20"/>
          <w:color w:val="auto"/>
        </w:rPr>
      </w:pPr>
    </w:p>
    <w:p>
      <w:pPr>
        <w:jc w:val="both"/>
        <w:ind w:firstLine="578"/>
        <w:spacing w:after="0" w:line="253" w:lineRule="auto"/>
        <w:rPr>
          <w:sz w:val="20"/>
          <w:szCs w:val="20"/>
          <w:color w:val="auto"/>
        </w:rPr>
      </w:pPr>
      <w:r>
        <w:rPr>
          <w:rFonts w:ascii="Arial" w:cs="Arial" w:eastAsia="Arial" w:hAnsi="Arial"/>
          <w:sz w:val="18"/>
          <w:szCs w:val="18"/>
          <w:color w:val="auto"/>
        </w:rPr>
        <w:t xml:space="preserve">Our success will also depend on our ability to further expand into adjacent markets, such as immunotherapy, immuno-oncology, bio-processing, infectious diseases and immune-deficiencies, as well as areas outside of healthcare, such as marine biology and alternative biofuels and other environmental fields. For example, in the United States, our products are currently labeled and promoted, and are, and in the near-future are 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or approval of a pre-market approval application from the FDA. Our failure to further expand in adjacent markets and attract new customers could adversely affect our ability to improve our operating results.</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b w:val="1"/>
          <w:bCs w:val="1"/>
          <w:i w:val="1"/>
          <w:iCs w:val="1"/>
          <w:color w:val="auto"/>
        </w:rPr>
        <w:t>Our business is dependent on adoption of our products by academic and government institutions, clinical research organizations, pharmaceutical companies and clinical laboratories for their research and development activities focused on cell analysis. If academic and government institutions, clinical research organizations, pharmaceutical companies and clinical laboratories are unwilling to change current practices to adopt our products, it will negatively affect our business, financial condition, prospects and results of operations.</w:t>
      </w:r>
    </w:p>
    <w:p>
      <w:pPr>
        <w:spacing w:after="0" w:line="64"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Our primary strategy to grow our revenue is to take a stepwise approach to market our products across key stakeholders in flow cytometry and cell analysis, such as academic and government institutions, clinical research organizations, pharmaceutical companies and clinical laboratories. While the number of customers using our products has increased in recent years, many academic and government institutions, clinical research organizations, pharmaceutical companies and clinical laboratories have not yet adopted our products, and such institutions and companies may choose not to adopt our products for a number of reasons, including:</w:t>
      </w:r>
    </w:p>
    <w:p>
      <w:pPr>
        <w:spacing w:after="0" w:line="161" w:lineRule="exact"/>
        <w:rPr>
          <w:sz w:val="20"/>
          <w:szCs w:val="20"/>
          <w:color w:val="auto"/>
        </w:rPr>
      </w:pPr>
    </w:p>
    <w:p>
      <w:pPr>
        <w:ind w:left="102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inadequate recruiting or training of talented sales force in existing and new markets to facilitate outreach and further adoption and awareness of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lack of experience with our products for cell analysis;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perceived inadequacy of evidence supporting benefits or cost-effectiveness of our products over existing alternatives;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liability risks generally associated with the use of new products and processes;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training required to use new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decrease or delay in the research and development activities using our products as a result of the COVID-19 pandemic;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competing products and alternatives;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introduction of other novel alternative products for cell analysis.</w:t>
      </w:r>
    </w:p>
    <w:p>
      <w:pPr>
        <w:spacing w:after="0" w:line="306"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We believe that educating notable industry KOLs, representatives of academic and government institutions, clinical research organizations, pharmaceutical companies and clinical laboratories, about the merits and benefits of our products for flow cytometry and cell analysis is one of key elements of increasing the adoption of our products. If these institutions and companies do not adopt our products for any reason, including those listed above, our ability to execute our growth strategy will be impaired, and it will negatively affect our business, financial condition, prospects and results of operations.</w:t>
      </w:r>
    </w:p>
    <w:p>
      <w:pPr>
        <w:spacing w:after="0" w:line="1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business currently depends significantly on research and development spending by academic and government-owned institutions, a reduction in which could limit demand for our solutions and adversely affect our business and operating results.</w:t>
      </w:r>
    </w:p>
    <w:p>
      <w:pPr>
        <w:spacing w:after="0" w:line="63"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Approximately 40% and 42% of our revenue came from sales to academic and government-owned institutions in the three months ended March 31, 2022 and 2021, respectively. Much of their funding was, in turn, provided by various state, federal and foreign government agencies. In the near term, we expect that a large portion of our revenue will continue to be derived from sales to academic</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45</w:t>
      </w:r>
    </w:p>
    <w:p>
      <w:pPr>
        <w:spacing w:after="0" w:line="10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and government-owned institutions. As a result, the demand for our solutions may depend upon the research and development budgets of these customers, which are impacted by factors beyond our control, such as:</w:t>
      </w:r>
    </w:p>
    <w:p>
      <w:pPr>
        <w:spacing w:after="0" w:line="143" w:lineRule="exact"/>
        <w:rPr>
          <w:sz w:val="20"/>
          <w:szCs w:val="20"/>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including as a result of the COVID-19 pandemic;</w:t>
      </w:r>
    </w:p>
    <w:p>
      <w:pPr>
        <w:spacing w:after="0" w:line="103" w:lineRule="exact"/>
        <w:rPr>
          <w:rFonts w:ascii="Arial" w:cs="Arial" w:eastAsia="Arial" w:hAnsi="Arial"/>
          <w:sz w:val="18"/>
          <w:szCs w:val="18"/>
          <w:color w:val="auto"/>
        </w:rPr>
      </w:pPr>
    </w:p>
    <w:p>
      <w:pPr>
        <w:ind w:left="1020" w:hanging="503"/>
        <w:spacing w:after="0" w:line="291"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to programs that provide funding to research laboratories, hospitals and related institutions, including changes in the amount of funds allocated to different areas of research or changes that have the effect of increasing the length of the funding process;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macroeconomic conditions and the political climate;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scientists’ and customers’ opinions of the utility of new products or services;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regulatory environment;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differences in budgetary cycles;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competitor product offerings or pricing;</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market-driven pressures to consolidate operations and reduce costs;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acceptance of relatively new technologies, such as ours.</w:t>
      </w:r>
    </w:p>
    <w:p>
      <w:pPr>
        <w:spacing w:after="0" w:line="104"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7"/>
          <w:szCs w:val="17"/>
          <w:color w:val="auto"/>
        </w:rPr>
        <w:t>In addition, various state, federal and foreign agencies that provide grants and other funding may be subject to stringent budgetary constraints that could result in spending reductions, reduced grant making, reduced allocations or budget cutbacks, which could jeopardize the ability of these customers, or the customers to whom they provide funding, to purchase our solutions. For example, congressional appropriations to the National Institutes of Health (the “NIH”) have generally increased year-over-year in recent years, but the NIH also experiences occasional year-over-year decreases in appropriations. There is no guarantee that NIH appropriations will not decrease or halt in the future. A decrease in the amount or halt of, or delay in the approval of, appropriations to NIH or other similar United States or foreign organizations, such as the Medical Research Council in the United Kingdom,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cause our customers and potential customers to reduce or delay purchases of our solutions. Our operating results may fluctuate substantially due to any such reductions and delays. Any decrease in our customers’ budgets or expenditures, or in the size, scope or frequency of their capital or operating expenditures, could materially and adversely affect our business, operating results and financial condition.</w:t>
      </w:r>
    </w:p>
    <w:p>
      <w:pPr>
        <w:spacing w:after="0" w:line="141" w:lineRule="exact"/>
        <w:rPr>
          <w:sz w:val="20"/>
          <w:szCs w:val="20"/>
          <w:color w:val="auto"/>
        </w:rPr>
      </w:pPr>
    </w:p>
    <w:p>
      <w:pPr>
        <w:jc w:val="both"/>
        <w:ind w:firstLine="36"/>
        <w:spacing w:after="0" w:line="356" w:lineRule="auto"/>
        <w:rPr>
          <w:sz w:val="20"/>
          <w:szCs w:val="20"/>
          <w:color w:val="auto"/>
        </w:rPr>
      </w:pPr>
      <w:r>
        <w:rPr>
          <w:rFonts w:ascii="Arial" w:cs="Arial" w:eastAsia="Arial" w:hAnsi="Arial"/>
          <w:sz w:val="15"/>
          <w:szCs w:val="15"/>
          <w:b w:val="1"/>
          <w:bCs w:val="1"/>
          <w:i w:val="1"/>
          <w:iCs w:val="1"/>
          <w:color w:val="auto"/>
        </w:rPr>
        <w:t>We rely on distributors for sales of our products in certain geographies outside of the United States. If we are unable to secure additional distributors or maintain good relationships with our existing distributors, or if such distributors do not perform adequately or effectively, our business could suffer.</w:t>
      </w:r>
    </w:p>
    <w:p>
      <w:pPr>
        <w:spacing w:after="0" w:line="1" w:lineRule="exact"/>
        <w:rPr>
          <w:sz w:val="20"/>
          <w:szCs w:val="20"/>
          <w:color w:val="auto"/>
        </w:rPr>
      </w:pPr>
    </w:p>
    <w:p>
      <w:pPr>
        <w:jc w:val="both"/>
        <w:ind w:firstLine="578"/>
        <w:spacing w:after="0" w:line="255" w:lineRule="auto"/>
        <w:rPr>
          <w:sz w:val="20"/>
          <w:szCs w:val="20"/>
          <w:color w:val="auto"/>
        </w:rPr>
      </w:pPr>
      <w:r>
        <w:rPr>
          <w:rFonts w:ascii="Arial" w:cs="Arial" w:eastAsia="Arial" w:hAnsi="Arial"/>
          <w:sz w:val="18"/>
          <w:szCs w:val="18"/>
          <w:color w:val="auto"/>
        </w:rPr>
        <w:t>In addition to selling our products through our direct sales force and support organizations in North America, Europe, China, and several countries in the Asia-Pacific region, we sell our products through third-party distributors or sales agents in certain countries in Europe, Latin America, the Middle East and the Asia-Pacific region. If current or future distributors do not perform adequately or effectively or fail to obtain or maintain any required regulatory approvals, we may not realize long-term international revenue growth and our business, operating results and financial condition may be harmed. We have limited control over our distributors, which may not commit the necessary resources to market our products to the level of our expectations.</w:t>
      </w:r>
    </w:p>
    <w:p>
      <w:pPr>
        <w:spacing w:after="0" w:line="165" w:lineRule="exact"/>
        <w:rPr>
          <w:sz w:val="20"/>
          <w:szCs w:val="20"/>
          <w:color w:val="auto"/>
        </w:rPr>
      </w:pPr>
    </w:p>
    <w:p>
      <w:pPr>
        <w:jc w:val="both"/>
        <w:ind w:firstLine="578"/>
        <w:spacing w:after="0" w:line="259" w:lineRule="auto"/>
        <w:rPr>
          <w:sz w:val="20"/>
          <w:szCs w:val="20"/>
          <w:color w:val="auto"/>
        </w:rPr>
      </w:pPr>
      <w:r>
        <w:rPr>
          <w:rFonts w:ascii="Arial" w:cs="Arial" w:eastAsia="Arial" w:hAnsi="Arial"/>
          <w:sz w:val="18"/>
          <w:szCs w:val="18"/>
          <w:color w:val="auto"/>
        </w:rPr>
        <w:t>We intend to continue to grow our business internationally and to do so we may choose to partner with additional distributors to maximize the commercial opportunity for our products. There is no guarantee that we will be successful in attracting or retaining desirable sales and distribution partners or that we will be able to enter into such arrangements on favorable terms, which could affect our ability to expand into or further penetrate certain geographies and adversely impact our business, operating results and financial condition.</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International operations and expansion of our international business exposes us to business, regulatory, political, operational, financial and economic risks associated with doing business outside of the United States.</w:t>
      </w:r>
    </w:p>
    <w:p>
      <w:pPr>
        <w:spacing w:after="0" w:line="63" w:lineRule="exact"/>
        <w:rPr>
          <w:sz w:val="20"/>
          <w:szCs w:val="20"/>
          <w:color w:val="auto"/>
        </w:rPr>
      </w:pPr>
    </w:p>
    <w:p>
      <w:pPr>
        <w:jc w:val="both"/>
        <w:ind w:firstLine="578"/>
        <w:spacing w:after="0" w:line="259" w:lineRule="auto"/>
        <w:rPr>
          <w:sz w:val="20"/>
          <w:szCs w:val="20"/>
          <w:color w:val="auto"/>
        </w:rPr>
      </w:pPr>
      <w:r>
        <w:rPr>
          <w:rFonts w:ascii="Arial" w:cs="Arial" w:eastAsia="Arial" w:hAnsi="Arial"/>
          <w:sz w:val="18"/>
          <w:szCs w:val="18"/>
          <w:color w:val="auto"/>
        </w:rPr>
        <w:t>We currently have significant international operations and our business strategy incorporates further international expansion. We currently maintain relationships with distributors and suppliers outside of the United States and may in the future enter into new distributor and supplier relationships outside of the United States. In addition, we currently have manufacturing operations in both the United States and China. Doing business internationally involves a number of risks, including: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46</w:t>
      </w:r>
    </w:p>
    <w:p>
      <w:pPr>
        <w:spacing w:after="0" w:line="104" w:lineRule="exact"/>
        <w:rPr>
          <w:sz w:val="20"/>
          <w:szCs w:val="20"/>
          <w:color w:val="auto"/>
        </w:rPr>
      </w:pPr>
    </w:p>
    <w:p>
      <w:pPr>
        <w:ind w:left="1020" w:hanging="503"/>
        <w:spacing w:after="0" w:line="324" w:lineRule="auto"/>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multiple, conflicting and changing laws and regulations such as privacy regulations, tax laws, export and import restrictions, tariffs, economic sanctions and embargoes, employment laws, regulatory requirements and other governmental approvals, permits and licenses;</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by us or our distributors to obtain approvals to conduct our business in various countries;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differing intellectual property rights;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complexities and difficulties in obtaining intellectual property protection, enforcing our intellectual property and defending against third party intellectual property claims;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logistics and regulations associated with shipping systems and parts and components for our products, as well as transportation delays;</w:t>
      </w:r>
    </w:p>
    <w:p>
      <w:pPr>
        <w:spacing w:after="0" w:line="11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travel restrictions that limit the ability of marketing, presales, sales, services and support teams to service customers, including those resulting from the COVID-19 pandemic;</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international trade disputes that could result in tariffs and other protective measures;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such as Russia's recent incursion into Ukraine, outbreak of disease, boycotts, curtailment of trade and other business restrictions; and</w:t>
      </w:r>
    </w:p>
    <w:p>
      <w:pPr>
        <w:spacing w:after="0" w:line="62" w:lineRule="exact"/>
        <w:rPr>
          <w:rFonts w:ascii="Arial" w:cs="Arial" w:eastAsia="Arial" w:hAnsi="Arial"/>
          <w:sz w:val="18"/>
          <w:szCs w:val="18"/>
          <w:color w:val="auto"/>
        </w:rPr>
      </w:pPr>
    </w:p>
    <w:p>
      <w:pPr>
        <w:ind w:left="1020" w:right="20" w:hanging="503"/>
        <w:spacing w:after="0" w:line="324" w:lineRule="auto"/>
        <w:tabs>
          <w:tab w:leader="none" w:pos="10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regulatory and compliance risks that relate to maintaining accurate information and control over sales and distributors’ activities that may fall within the purview of the U.S. Foreign Corrupt Practices Act (the “FCPA”), its books and records provisions, or its anti-bribery provisions.</w:t>
      </w:r>
    </w:p>
    <w:p>
      <w:pPr>
        <w:spacing w:after="0" w:line="16"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business, financial condition, results of operations and prospects. In addition, certain international markets are subject to significant political and economic uncertainty, including, for example, the effect of the withdrawal of the United Kingdom from the European Union. Significant political and economic developments in international markets in which we currently or intend to operate, or the perception that any of them could occur, creates further challenges for operating in these markets in addition to creating instability in global economic conditions.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The market for cell analysis technologies and life sciences tools, including flow cytometry, is highly competitive, and if we cannot compete successfully with our competitors, we may be unable to increase or sustain our revenue, or achieve and sustain profitability.</w:t>
      </w:r>
    </w:p>
    <w:p>
      <w:pPr>
        <w:spacing w:after="0" w:line="39"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7"/>
          <w:szCs w:val="17"/>
          <w:color w:val="auto"/>
        </w:rPr>
        <w:t>We face significant competition in the cell analysis and life sciences tools markets. We currently compete with both established and early stage life sciences technology companies that design, manufacture and market conventional flow cytometry (“CFCs”), spectral flow cytometry and mass cytometry instruments, consumables and software for cell analysis and/or provide services related to the same. An increasing number of applications for cell analysis, and more particularly flow cytometry, is leading to more companies offering competitive products and services. Our competitors include Agilent Technologies, Beckman Coulter (Danaher Corporation), Becton, Dickinson and Company (“BD”), Bio-Rad Laboratories, Standard BioTools Inc., Miltenyi Biotec, Sony Biotechnology (Sony Corporation), and Thermo Fisher Scientific. Our target customers may also elect to develop their workflows using other technologies rather than implementing our platform or existing customers may decide to stop using our platform. In addition, there are many large, established companies in the life sciences tools market that could develop instruments or other products that will compete with us in the future. These large, established companies have substantially greater financial and other resources than us, including larger research and development staff or more established marketing and sales forces.</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competitors and potential competitors may enjoy a number of competitive advantages over us, including:</w:t>
      </w:r>
    </w:p>
    <w:p>
      <w:pPr>
        <w:spacing w:after="0" w:line="198"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longer operating histories;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larger customer bases;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brand recognition and market penetration;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financial resources and capabilities;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technological and research and development resources;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larger intellectual property portfolios;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47</w:t>
      </w:r>
    </w:p>
    <w:p>
      <w:pPr>
        <w:spacing w:after="0" w:line="104"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better system reliability and robustness;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greater selling and marketing capabilities;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04" w:lineRule="exact"/>
        <w:rPr>
          <w:sz w:val="20"/>
          <w:szCs w:val="20"/>
          <w:color w:val="auto"/>
        </w:rPr>
      </w:pPr>
    </w:p>
    <w:p>
      <w:pPr>
        <w:jc w:val="both"/>
        <w:ind w:firstLine="578"/>
        <w:spacing w:after="0" w:line="272" w:lineRule="auto"/>
        <w:rPr>
          <w:sz w:val="20"/>
          <w:szCs w:val="20"/>
          <w:color w:val="auto"/>
        </w:rPr>
      </w:pPr>
      <w:r>
        <w:rPr>
          <w:rFonts w:ascii="Arial" w:cs="Arial" w:eastAsia="Arial" w:hAnsi="Arial"/>
          <w:sz w:val="17"/>
          <w:szCs w:val="17"/>
          <w:color w:val="auto"/>
        </w:rPr>
        <w:t>In addition, competitors may be acquired by, receive investments from or enter into other commercial relationships with larger, well-established and well-financed companies. Our competitors and potential competitors may be able to respond more quickly to changes in customer requirements, devote greater resources to the development, promotion and sale of their products and services than we can, secure key components from suppliers on more favorable terms, adopt more aggressive pricing policies or sell their products or offer services competitive with our products at prices and margins designed to win significant levels of market share. We may not be able to compete effectively against these organizations. If we are unable to compete successfully against current and future competitors, we may be unable to increase market adoption and sales of our products, which could negatively impact our business, financial condition, results of operations and prospects.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develop and successfully introduce new and enhanced products that meet the needs of our customers.</w:t>
      </w:r>
    </w:p>
    <w:p>
      <w:pPr>
        <w:spacing w:after="0" w:line="138" w:lineRule="exact"/>
        <w:rPr>
          <w:sz w:val="20"/>
          <w:szCs w:val="20"/>
          <w:color w:val="auto"/>
        </w:rPr>
      </w:pPr>
    </w:p>
    <w:p>
      <w:pPr>
        <w:jc w:val="both"/>
        <w:ind w:firstLine="578"/>
        <w:spacing w:after="0" w:line="273" w:lineRule="auto"/>
        <w:rPr>
          <w:sz w:val="20"/>
          <w:szCs w:val="20"/>
          <w:color w:val="auto"/>
        </w:rPr>
      </w:pPr>
      <w:r>
        <w:rPr>
          <w:rFonts w:ascii="Arial" w:cs="Arial" w:eastAsia="Arial" w:hAnsi="Arial"/>
          <w:sz w:val="17"/>
          <w:szCs w:val="17"/>
          <w:color w:val="auto"/>
        </w:rPr>
        <w:t>Our current products include instruments, consumables and services to advance high-content and high-sensitivity cell analysis by utilizing our full spectrum profiling (“FSP”) technology. We cannot assure you that the market for our current products will continue to generate significant or consistent demand. Demand for our current products could be significantly diminished by competitive technologies or products that replace them or render them obsolete or less desirable. Accordingly, we must continue to invest in research and development to develop competitive products and enabling services. Restrictions resulting from the COVID-19 pandemic have had a negative impact on the work on some of our research and development programs due to the inability of some personnel being able to work in our applicable regional facilities.</w:t>
      </w:r>
    </w:p>
    <w:p>
      <w:pPr>
        <w:spacing w:after="0" w:line="137" w:lineRule="exact"/>
        <w:rPr>
          <w:sz w:val="20"/>
          <w:szCs w:val="20"/>
          <w:color w:val="auto"/>
        </w:rPr>
      </w:pPr>
    </w:p>
    <w:p>
      <w:pPr>
        <w:jc w:val="both"/>
        <w:ind w:firstLine="578"/>
        <w:spacing w:after="0" w:line="296" w:lineRule="auto"/>
        <w:rPr>
          <w:sz w:val="20"/>
          <w:szCs w:val="20"/>
          <w:color w:val="auto"/>
        </w:rPr>
      </w:pPr>
      <w:r>
        <w:rPr>
          <w:rFonts w:ascii="Arial" w:cs="Arial" w:eastAsia="Arial" w:hAnsi="Arial"/>
          <w:sz w:val="16"/>
          <w:szCs w:val="16"/>
          <w:color w:val="auto"/>
        </w:rPr>
        <w:t>Our future success depends on our ability to anticipate our customers’ needs and develop new products and enhance current products and services to address those needs. Introduction of new products and product enhancements will require that we effectively transfer production processes from research and development to manufacturing and coordinate our efforts with those of our suppliers to achieve the desired level of production. If we fail to transfer production processes effectively, develop product enhancements or introduce new products or enabling services in sufficient quantities to meet the needs of our customers, or effectively coordinate with our suppliers, our net sales may be reduced and our business would be harmed.</w:t>
      </w:r>
    </w:p>
    <w:p>
      <w:pPr>
        <w:spacing w:after="0" w:line="134" w:lineRule="exact"/>
        <w:rPr>
          <w:sz w:val="20"/>
          <w:szCs w:val="20"/>
          <w:color w:val="auto"/>
        </w:rPr>
      </w:pPr>
    </w:p>
    <w:p>
      <w:pPr>
        <w:jc w:val="both"/>
        <w:ind w:firstLine="578"/>
        <w:spacing w:after="0" w:line="301" w:lineRule="auto"/>
        <w:rPr>
          <w:sz w:val="20"/>
          <w:szCs w:val="20"/>
          <w:color w:val="auto"/>
        </w:rPr>
      </w:pPr>
      <w:r>
        <w:rPr>
          <w:rFonts w:ascii="Arial" w:cs="Arial" w:eastAsia="Arial" w:hAnsi="Arial"/>
          <w:sz w:val="16"/>
          <w:szCs w:val="16"/>
          <w:color w:val="auto"/>
        </w:rPr>
        <w:t>The commercial success of all of our products and services will depend upon their acceptance by the life sciences and biopharmaceutical industries. Some of the products and services that we are developing are based upon new technologies or approaches. As a result, there can be no assurance that these new products and services, even if successfully developed and introduced, will be accepted by customers. If customers do not adopt our new products, services and technologies, our results of operations may suffer and, as a result, the market price of our common stock may decline.</w:t>
      </w:r>
    </w:p>
    <w:p>
      <w:pPr>
        <w:spacing w:after="0" w:line="1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If we are unable to successfully develop new products, adapt to rapid and significant technological change, respond to introductions of new products by competitors, make strategic and operational decisions to prioritize certain markets, technology offerings or partnerships, and develop and capitalize on markets, technologies or partnerships, our business could suffer.</w:t>
      </w:r>
    </w:p>
    <w:p>
      <w:pPr>
        <w:spacing w:after="0" w:line="74" w:lineRule="exact"/>
        <w:rPr>
          <w:sz w:val="20"/>
          <w:szCs w:val="20"/>
          <w:color w:val="auto"/>
        </w:rPr>
      </w:pPr>
    </w:p>
    <w:p>
      <w:pPr>
        <w:jc w:val="both"/>
        <w:ind w:firstLine="578"/>
        <w:spacing w:after="0" w:line="290" w:lineRule="auto"/>
        <w:rPr>
          <w:sz w:val="20"/>
          <w:szCs w:val="20"/>
          <w:color w:val="auto"/>
        </w:rPr>
      </w:pPr>
      <w:r>
        <w:rPr>
          <w:rFonts w:ascii="Arial" w:cs="Arial" w:eastAsia="Arial" w:hAnsi="Arial"/>
          <w:sz w:val="16"/>
          <w:szCs w:val="16"/>
          <w:color w:val="auto"/>
        </w:rPr>
        <w:t>We currently sell our products primarily in the cell analysis market, which is characterized by significant enhancements and evolving industry and regulatory standards. As a result, our customers’ needs are rapidly evolving. If we do not appropriately innovate and offer our customers comprehensive solutions and otherwise invest in new technologies, our offerings may become less desirable in the markets we serve, and our customers could move to new technologies offered by our competitors or make products themselves. Without the timely introduction of new instruments, consumables, software, services and enhancements, our offerings may become less competitive over time, in which case our competitive position and operating results could suffer. Accordingly, we focus significant efforts and resources on the development and identification of new products and applications to further drive adoption of our platform. To the extent we fail to timely introduce new and innovative products, offer enhancements to our existing products, adequately predict our customers’ needs or fail to obtain desired levels of market acceptance, our business may suffer and our operating results could be adversely affected.</w:t>
      </w:r>
    </w:p>
    <w:p>
      <w:pPr>
        <w:spacing w:after="0" w:line="138"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We believe our products have potential applications across a wide range of markets and we have targeted certain markets in which we believe our technology has significant advantages, or for which we believe we have a higher probability of success or revenue opportunity. For example, we are committed to developing our platform’s applications within the clinical market, and in particular, within disease detection, diagnosis, and treatment monitoring. We seek to maintain a process of prioritization and resource allocation among our programs to maintain a balance between advancing near-term opportunities and exploring additional markets and use cases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48</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our technology. However, due to the significant resources required for the development of products or services for new markets, we must make decisions on which markets to pursue and the amount of resources to allocate to each. Our decisions concerning the allocation of research, development, collaboration, management and financial resources toward particular markets, products or services may not lead to the development of any viable products or services and may divert resources away from better opportunities. Similarly, our potential decisions to delay, terminate or collaborate with third parties in respect of certain markets may subsequently also prove to be suboptimal and could cause us to miss valuable opportunities. In particular, if we are unable to accelerate adoption of our FSP solutions, it could slow or stop our business growth and negatively impact our business, financial condition, results of operations and prospects.</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New product development involves a lengthy and complex process and we may be unable to develop or commercialize products on a timely basis, or at all.</w:t>
      </w:r>
    </w:p>
    <w:p>
      <w:pPr>
        <w:spacing w:after="0" w:line="63" w:lineRule="exact"/>
        <w:rPr>
          <w:sz w:val="20"/>
          <w:szCs w:val="20"/>
          <w:color w:val="auto"/>
        </w:rPr>
      </w:pPr>
    </w:p>
    <w:p>
      <w:pPr>
        <w:jc w:val="both"/>
        <w:ind w:firstLine="578"/>
        <w:spacing w:after="0" w:line="279" w:lineRule="auto"/>
        <w:rPr>
          <w:sz w:val="20"/>
          <w:szCs w:val="20"/>
          <w:color w:val="auto"/>
        </w:rPr>
      </w:pPr>
      <w:r>
        <w:rPr>
          <w:rFonts w:ascii="Arial" w:cs="Arial" w:eastAsia="Arial" w:hAnsi="Arial"/>
          <w:sz w:val="17"/>
          <w:szCs w:val="17"/>
          <w:color w:val="auto"/>
        </w:rPr>
        <w:t>Products from our research and development programs will take time and considerable resources to develop, and may include improvements or changes to our current products, and we may not be able to complete development and commercialization of new or enhanced products on a timely basis, or at all. There can be no assurance that our research and development efforts will produce commercially viable products and solutions and before we can commercialize any new products, we will need to expend significant funds to, for example:</w:t>
      </w:r>
    </w:p>
    <w:p>
      <w:pPr>
        <w:spacing w:after="0" w:line="131"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conduct substantial research and development;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necessary regulatory approval;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further develop and scale our laboratory, engineering and manufacturing processes to accommodate different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and enter into agreements with new suppliers;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further develop and scale our infrastructure.</w:t>
      </w:r>
    </w:p>
    <w:p>
      <w:pPr>
        <w:spacing w:after="0" w:line="104" w:lineRule="exact"/>
        <w:rPr>
          <w:sz w:val="20"/>
          <w:szCs w:val="20"/>
          <w:color w:val="auto"/>
        </w:rPr>
      </w:pPr>
    </w:p>
    <w:p>
      <w:pPr>
        <w:jc w:val="both"/>
        <w:ind w:firstLine="578"/>
        <w:spacing w:after="0" w:line="277" w:lineRule="auto"/>
        <w:rPr>
          <w:sz w:val="20"/>
          <w:szCs w:val="20"/>
          <w:color w:val="auto"/>
        </w:rPr>
      </w:pPr>
      <w:r>
        <w:rPr>
          <w:rFonts w:ascii="Arial" w:cs="Arial" w:eastAsia="Arial" w:hAnsi="Arial"/>
          <w:sz w:val="18"/>
          <w:szCs w:val="18"/>
          <w:color w:val="auto"/>
        </w:rPr>
        <w:t>Our product development processes involve a high degree of risk, and these efforts may be delayed or fail for many reasons, including failure of the product to perform as expected and failure to reliably demonstrate the advantages of the product.</w:t>
      </w:r>
    </w:p>
    <w:p>
      <w:pPr>
        <w:spacing w:after="0" w:line="143"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Even if we are successful in developing new products, it will require us to make significant additional investments in marketing and selling resources to commercialize any such products. As a result, we may be unsuccessful in commercializing new products that we develop, which could adversely affect our business, financial condition, results of operations and prospects.</w:t>
      </w:r>
    </w:p>
    <w:p>
      <w:pPr>
        <w:spacing w:after="0" w:line="1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Our FSP systems are complex in design and may contain defects that are not detected until deployed by our customers, which could increase our costs and reduce our net sales. If our products do not perform as expected or the reliability of the technology on which our products and services are based is questioned, our operating results, reputation and business will suffer.</w:t>
      </w:r>
    </w:p>
    <w:p>
      <w:pPr>
        <w:spacing w:after="0" w:line="74" w:lineRule="exact"/>
        <w:rPr>
          <w:sz w:val="20"/>
          <w:szCs w:val="20"/>
          <w:color w:val="auto"/>
        </w:rPr>
      </w:pPr>
    </w:p>
    <w:p>
      <w:pPr>
        <w:jc w:val="both"/>
        <w:ind w:firstLine="578"/>
        <w:spacing w:after="0" w:line="253" w:lineRule="auto"/>
        <w:rPr>
          <w:sz w:val="20"/>
          <w:szCs w:val="20"/>
          <w:color w:val="auto"/>
        </w:rPr>
      </w:pPr>
      <w:r>
        <w:rPr>
          <w:rFonts w:ascii="Arial" w:cs="Arial" w:eastAsia="Arial" w:hAnsi="Arial"/>
          <w:sz w:val="18"/>
          <w:szCs w:val="18"/>
          <w:color w:val="auto"/>
        </w:rPr>
        <w:t>Our success depends on our ability to provide reliable, high quality products that enable high-content and high-sensitivity cell analysis through flexible, efficient and cost-effective solutions. Our FSP systems are complex in design and involve a highly complex and precise manufacturing process. As a result of the technological complexity of our systems, changes in our or our suppliers’ manufacturing processes or the inadvertent use of defective materials by us or our suppliers could result in an adverse effect on our ability to achieve acceptable manufacturing yields and product reliability. To the extent that we do not achieve and maintain our projected yields or product reliability, our business, operating results, financial condition and customer relationships would be adversely affected. We provide warranties on a majority of our product sales, and reserves for estimated warranty costs are recorded during the period of sale. The determination of such reserves requires us to make estimates of failure rates and expected costs to repair or replace the products under warranty. We typically establish warranty reserves based on historical warranty costs for each product line. If actual repair and replacement costs differ significantly from our estimates, adjustments to cost of sales may be required in future periods which could have an adverse effect on our results of operations.</w:t>
      </w:r>
    </w:p>
    <w:p>
      <w:pPr>
        <w:spacing w:after="0" w:line="167"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Our customers may discover defects in our products after the products have been fully installed and operated. In addition, some of our products include components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143"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customers or orders;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costs of warranty expenses;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attract new customers;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49</w:t>
      </w:r>
    </w:p>
    <w:p>
      <w:pPr>
        <w:spacing w:after="0" w:line="104"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diversion of development, engineering and manufacturing resources;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actions by governmental authorities;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185"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We believe that customers in our target markets are likely to be particularly sensitive to product defects and errors. 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and we may also be subject to legal claims arising from product limitations, errors, or inaccuracies. Any of the foregoing could have an adverse effect on our business, financial condition and results of operations.</w:t>
      </w:r>
    </w:p>
    <w:p>
      <w:pPr>
        <w:spacing w:after="0" w:line="147" w:lineRule="exact"/>
        <w:rPr>
          <w:sz w:val="20"/>
          <w:szCs w:val="20"/>
          <w:color w:val="auto"/>
        </w:rPr>
      </w:pPr>
    </w:p>
    <w:p>
      <w:pPr>
        <w:jc w:val="both"/>
        <w:ind w:firstLine="578"/>
        <w:spacing w:after="0" w:line="275" w:lineRule="auto"/>
        <w:rPr>
          <w:sz w:val="20"/>
          <w:szCs w:val="20"/>
          <w:color w:val="auto"/>
        </w:rPr>
      </w:pPr>
      <w:r>
        <w:rPr>
          <w:rFonts w:ascii="Arial" w:cs="Arial" w:eastAsia="Arial" w:hAnsi="Arial"/>
          <w:sz w:val="17"/>
          <w:szCs w:val="17"/>
          <w:color w:val="auto"/>
        </w:rPr>
        <w:t>Although our products are tested prior to shipment, defects or errors could nonetheless occur. Our operating results depend on our ability to execute and, when necessary, improve our quality management strategy and systems and our ability to effectively train and maintain our employee base with respect to quality management. A failure of our quality control systems could result in problems with facility operations or preparation or provision of products. In each case, such problems could arise for a variety of reasons, including equipment malfunction, failure to follow specific protocols and procedures, problems with raw materials or environmental factors and damage to, or loss of, manufacturing operations.</w:t>
      </w:r>
    </w:p>
    <w:p>
      <w:pPr>
        <w:spacing w:after="0" w:line="149" w:lineRule="exact"/>
        <w:rPr>
          <w:sz w:val="20"/>
          <w:szCs w:val="20"/>
          <w:color w:val="auto"/>
        </w:rPr>
      </w:pPr>
    </w:p>
    <w:p>
      <w:pPr>
        <w:jc w:val="both"/>
        <w:ind w:firstLine="578"/>
        <w:spacing w:after="0" w:line="290" w:lineRule="auto"/>
        <w:rPr>
          <w:sz w:val="20"/>
          <w:szCs w:val="20"/>
          <w:color w:val="auto"/>
        </w:rPr>
      </w:pPr>
      <w:r>
        <w:rPr>
          <w:rFonts w:ascii="Arial" w:cs="Arial" w:eastAsia="Arial" w:hAnsi="Arial"/>
          <w:sz w:val="16"/>
          <w:szCs w:val="16"/>
          <w:color w:val="auto"/>
        </w:rPr>
        <w:t>We provide a one-year assurance-type warranty on our instruments. Existing and future warranties place us at the risk of incurring future repair and/or replacement costs. At the time revenue is recognized, we establish an accrual for estimated warranty expenses based on historical data and trends of product reliability and costs of repairing and replacing defective products. We exercise judgment in estimating the expected product warranty costs, using data such as the actual and projected product failure rates, estimated repair costs, freight, material, labor and overhead costs. While we believe that historical experience provides a reliable basis for estimating such warranty cost, unforeseen quality issues or component failure rates could result in future costs in excess of such estimates, or alternatively, improved quality and reliability in our products and consumables could result in actual expenses that are below those currently estimated. As of March 31, 2022, we had accrued approximately $1.6 million in expenses relating to product warranty accruals. Substantial amounts of warranty claims could have an adverse effect on our business, financial condition and results of operations.</w:t>
      </w:r>
    </w:p>
    <w:p>
      <w:pPr>
        <w:spacing w:after="0" w:line="125"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Even after any underlying concerns or problems are resolved, any lingering concerns in our target markets regarding our technology or any manufacturing defects or performance errors in our products or services could continue to result in lost revenue, delayed market acceptance, damage to our reputation and claims against us.</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Shipping is a critical part of our business and any changes in our shipping arrangements or damages or losses sustained during shipping could adversely affect our business, financial condition, results of operations and prospects.</w:t>
      </w:r>
    </w:p>
    <w:p>
      <w:pPr>
        <w:spacing w:after="0" w:line="63" w:lineRule="exact"/>
        <w:rPr>
          <w:sz w:val="20"/>
          <w:szCs w:val="20"/>
          <w:color w:val="auto"/>
        </w:rPr>
      </w:pPr>
    </w:p>
    <w:p>
      <w:pPr>
        <w:jc w:val="both"/>
        <w:ind w:firstLine="578"/>
        <w:spacing w:after="0" w:line="287" w:lineRule="auto"/>
        <w:rPr>
          <w:sz w:val="20"/>
          <w:szCs w:val="20"/>
          <w:color w:val="auto"/>
        </w:rPr>
      </w:pPr>
      <w:r>
        <w:rPr>
          <w:rFonts w:ascii="Arial" w:cs="Arial" w:eastAsia="Arial" w:hAnsi="Arial"/>
          <w:sz w:val="16"/>
          <w:szCs w:val="16"/>
          <w:color w:val="auto"/>
        </w:rPr>
        <w:t>We currently rely on third-party vendors for our shipping. If we are not able to negotiate acceptable pricing and other terms with these entities or they experience performance problems or other difficulties, it could negatively impact our operating results and our customers’ experience. Additionally, our manufacturing operations in Fremont and San Diego, California, and Wuxi, China require global shipping services which are subject to certain factors outside of our control, such as delays passing through customs and disruptions to global shipping routes. We have also experienced shipping delays and difficulties due to the COVID-19 pandemic and may again experience such delays or difficulties due to future quarantines, shelter-in-place and similar government orders related to the COVID-19 pandemic or other infectious disease outbreaks or natural disasters. Moreover, there is no guarantee that our systems will not become damaged or lost in transit, and we have experienced, and expect to continue to experience, delivery difficulties. If a system is damaged in transit, it may result in a substantial delay in the fulfillment of the customer’s order, and depending on the type and extent of the damage and whether the incident is covered by insurance, it may result in customer dissatisfaction and a substantial financial loss for us. If our products are not delivered in a timely fashion or are lost during the delivery process, our customers could also become dissatisfied and cease using our products or services, which would adversely affect our business, financial condition, results of operations and prospects. Additionally, delays in shipping could have an adverse impact on our ability to recognize revenue in a timely manner, which could have an adverse impact on our quarterly results of operations.</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successfully expand our commercial operations, including hiring additional qualified sales representatives, technical applications specialists and customer support staff, our business may be adversely affected.</w:t>
      </w:r>
    </w:p>
    <w:p>
      <w:pPr>
        <w:spacing w:after="0" w:line="63"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Our future sales will depend, in large part, on our ability to develop and substantially expand our sales infrastructure, particularly as we enter into new markets, rollout new solutions and applications and manage inbound interest from new customers. We distribute our products through our direct sales force and support organizations located in North America, Europe, China, and several countries in the Asia-Pacific region, and through distributors or sales agents in several countries in Europe, Latin America, the Middle East and the Asia-Pacific region. Our sales and marketing efforts are targeted at academic and governmental institutions, pharmaceutical and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50</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biotechnology companies, clinical research organizations and clinical laboratories focused on cell analysis. To continue driving adoption of our solutions and to support our global brand, we will need to further expand our sales infrastructure by hiring additional, highly qualified and reputable sales representatives, technical applications specialists and customer support staff, in addition to increasing advertising efforts.</w:t>
      </w:r>
    </w:p>
    <w:p>
      <w:pPr>
        <w:spacing w:after="0" w:line="157" w:lineRule="exact"/>
        <w:rPr>
          <w:sz w:val="20"/>
          <w:szCs w:val="20"/>
          <w:color w:val="auto"/>
        </w:rPr>
      </w:pPr>
    </w:p>
    <w:p>
      <w:pPr>
        <w:jc w:val="both"/>
        <w:ind w:firstLine="578"/>
        <w:spacing w:after="0" w:line="293" w:lineRule="auto"/>
        <w:rPr>
          <w:sz w:val="20"/>
          <w:szCs w:val="20"/>
          <w:color w:val="auto"/>
        </w:rPr>
      </w:pPr>
      <w:r>
        <w:rPr>
          <w:rFonts w:ascii="Arial" w:cs="Arial" w:eastAsia="Arial" w:hAnsi="Arial"/>
          <w:sz w:val="16"/>
          <w:szCs w:val="16"/>
          <w:color w:val="auto"/>
        </w:rPr>
        <w:t>Identifying and recruiting qualified personnel with sufficient industry experience and training them requires significant time, expense and attention. We have limited experience in training our personnel to successfully market and sell our products. If we provide inadequate training, fail to increase our sales and marketing capabilities or fail to develop broad brand awareness in a cost-effective manner, our business may be harmed. In addition, if our efforts to expand do not generate a corresponding increase in revenue or result in a decrease in our operating margin, our financial results will be adversely impacted. If we are unable to hire, develop and retain talented sales personnel or if new sales personnel are unable to achieve desired productivity levels in a reasonable period of time, we may not be able to realize the expected benefits of this investment or increase our revenue.</w:t>
      </w:r>
    </w:p>
    <w:p>
      <w:pPr>
        <w:spacing w:after="0" w:line="124" w:lineRule="exact"/>
        <w:rPr>
          <w:sz w:val="20"/>
          <w:szCs w:val="20"/>
          <w:color w:val="auto"/>
        </w:rPr>
      </w:pPr>
    </w:p>
    <w:p>
      <w:pPr>
        <w:jc w:val="both"/>
        <w:ind w:firstLine="578"/>
        <w:spacing w:after="0" w:line="272" w:lineRule="auto"/>
        <w:rPr>
          <w:sz w:val="20"/>
          <w:szCs w:val="20"/>
          <w:color w:val="auto"/>
        </w:rPr>
      </w:pPr>
      <w:r>
        <w:rPr>
          <w:rFonts w:ascii="Arial" w:cs="Arial" w:eastAsia="Arial" w:hAnsi="Arial"/>
          <w:sz w:val="17"/>
          <w:szCs w:val="17"/>
          <w:color w:val="auto"/>
        </w:rPr>
        <w:t>Additionally, our technical applications specialists work closely with researchers and clinicians to optimize and implement new panels and applications to meet their specific needs. Hiring these highly skilled specialists is competitive due to the limited number of people available with the necessary scientific and technical backgrounds and ability to understand our products at a technical level, and training such individuals requires significant time, expense and attention. Furthermore, we face intense competition in the labor market for such highly skilled specialists from competitors in our industry as well as competition from companies in other industries. To effectively support current and potential customers, we will need to hire, maintain, train and grow the number of our technical application specialists and customer support staff. If we are unable to maintain, attract, train or retain the number of qualified support personnel that our business needs, our business and prospects will suffer.</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expand or leverage the number of peer-reviewed articles published using data generated by our products or otherwise increase brand awareness, the demand for our products and our business may be adversely affected.</w:t>
      </w:r>
    </w:p>
    <w:p>
      <w:pPr>
        <w:spacing w:after="0" w:line="63" w:lineRule="exact"/>
        <w:rPr>
          <w:sz w:val="20"/>
          <w:szCs w:val="20"/>
          <w:color w:val="auto"/>
        </w:rPr>
      </w:pPr>
    </w:p>
    <w:p>
      <w:pPr>
        <w:jc w:val="both"/>
        <w:ind w:firstLine="578"/>
        <w:spacing w:after="0" w:line="270" w:lineRule="auto"/>
        <w:rPr>
          <w:sz w:val="20"/>
          <w:szCs w:val="20"/>
          <w:color w:val="auto"/>
        </w:rPr>
      </w:pPr>
      <w:r>
        <w:rPr>
          <w:rFonts w:ascii="Arial" w:cs="Arial" w:eastAsia="Arial" w:hAnsi="Arial"/>
          <w:sz w:val="17"/>
          <w:szCs w:val="17"/>
          <w:color w:val="auto"/>
        </w:rPr>
        <w:t>We rely on a significant base of peer-reviewed publications to showcase and validate the importance and application of our technology in academic and clinical research settings. To date, there have been more than 385 peer-reviewed articles published, including many published in prominent journals, using data generated by our technology across a wide range of key scientific research areas, including immunology and inflammation, infectious diseases, immuno-oncology, oncology and others. We believe that expanding the base of these publications, and otherwise developing and maintaining awareness of our brand in a cost-effective manner is critical to achieving broad acceptance of our solutions and attracting new customers. Such publications and other brand promotion activities may not generate customer awareness or increase revenue and, even if they do, any increase in revenue may not offset the costs and expenses we incur in building our brand. If we fail to successfully promote, maintain and protect our brand, we may fail to attract or retain the customers necessary to realize a sufficient return on our brand-building efforts, or to achieve the widespread brand awareness that is critical for broad customer adoption of our solutions.</w:t>
      </w:r>
    </w:p>
    <w:p>
      <w:pPr>
        <w:spacing w:after="0" w:line="14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63" w:lineRule="exact"/>
        <w:rPr>
          <w:sz w:val="20"/>
          <w:szCs w:val="20"/>
          <w:color w:val="auto"/>
        </w:rPr>
      </w:pPr>
    </w:p>
    <w:p>
      <w:pPr>
        <w:jc w:val="both"/>
        <w:ind w:firstLine="578"/>
        <w:spacing w:after="0" w:line="275" w:lineRule="auto"/>
        <w:rPr>
          <w:sz w:val="20"/>
          <w:szCs w:val="20"/>
          <w:color w:val="auto"/>
        </w:rPr>
      </w:pPr>
      <w:r>
        <w:rPr>
          <w:rFonts w:ascii="Arial" w:cs="Arial" w:eastAsia="Arial" w:hAnsi="Arial"/>
          <w:sz w:val="17"/>
          <w:szCs w:val="17"/>
          <w:color w:val="auto"/>
        </w:rPr>
        <w:t>We are highly dependent on our senior management team and key personnel. Our success will depend on our ability to retain senior management and to attract and retain qualified personnel in the future, including sales, marketing, scientific and technical professionals, and to integrate current and additional personnel in all departments. The loss of members of our senior management, sales, marketing, scientific and technical professionals could result in lower than expected sales and delays in product development. If we are not successful in attracting and retaining highly qualified personnel, it would have a negative impact on our business, financial condition and results of operations.</w:t>
      </w:r>
    </w:p>
    <w:p>
      <w:pPr>
        <w:spacing w:after="0" w:line="149" w:lineRule="exact"/>
        <w:rPr>
          <w:sz w:val="20"/>
          <w:szCs w:val="20"/>
          <w:color w:val="auto"/>
        </w:rPr>
      </w:pPr>
    </w:p>
    <w:p>
      <w:pPr>
        <w:jc w:val="both"/>
        <w:ind w:firstLine="578"/>
        <w:spacing w:after="0" w:line="272" w:lineRule="auto"/>
        <w:rPr>
          <w:sz w:val="20"/>
          <w:szCs w:val="20"/>
          <w:color w:val="auto"/>
        </w:rPr>
      </w:pPr>
      <w:r>
        <w:rPr>
          <w:rFonts w:ascii="Arial" w:cs="Arial" w:eastAsia="Arial" w:hAnsi="Arial"/>
          <w:sz w:val="17"/>
          <w:szCs w:val="17"/>
          <w:color w:val="auto"/>
        </w:rPr>
        <w:t>Competition for skilled personnel in our market is intense and has recently intensified further due to macro-economic conditions and industry trends in many areas where our employees are located. This may limit our ability to hire and retain highly qualified personnel on acceptable terms, or at all. To induce valuable employees to remain at our company, in addition to salary and cash incentives, we have issued, and will in the future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they may terminate their employment with us on short notice. Our employment arrangements with our employees provide for at-will employment, which means that any of our employees could leave our employment at any time, with or without notice.</w:t>
      </w:r>
    </w:p>
    <w:p>
      <w:pPr>
        <w:spacing w:after="0" w:line="137"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Many of the other cell analysis technology companies that we compete against for qualified personnel have greater financial and other resources, different risk profiles and a longer history in the industry than we do. They may also provide more diverse opportunities, better chances for career advancement and higher compensation. Some of these characteristics are more appealing to high quality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51</w:t>
      </w:r>
    </w:p>
    <w:p>
      <w:pPr>
        <w:spacing w:after="0" w:line="1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candidates than what we can offer. Further, if we hire employees from competitors or other companies, their former employers may attempt to assert that these employees or we have breached legal obligations, resulting in a diversion of our time and resources and, potentially, damages.</w:t>
      </w:r>
    </w:p>
    <w:p>
      <w:pPr>
        <w:spacing w:after="0" w:line="119" w:lineRule="exact"/>
        <w:rPr>
          <w:sz w:val="20"/>
          <w:szCs w:val="20"/>
          <w:color w:val="auto"/>
        </w:rPr>
      </w:pPr>
    </w:p>
    <w:p>
      <w:pPr>
        <w:jc w:val="both"/>
        <w:ind w:firstLine="578"/>
        <w:spacing w:after="0" w:line="255" w:lineRule="auto"/>
        <w:rPr>
          <w:sz w:val="20"/>
          <w:szCs w:val="20"/>
          <w:color w:val="auto"/>
        </w:rPr>
      </w:pPr>
      <w:r>
        <w:rPr>
          <w:rFonts w:ascii="Arial" w:cs="Arial" w:eastAsia="Arial" w:hAnsi="Arial"/>
          <w:sz w:val="18"/>
          <w:szCs w:val="18"/>
          <w:color w:val="auto"/>
        </w:rPr>
        <w:t>In addition, job candidates and existing employees often consider the value of the equity awards they receive in connection with their employment. If the perceived benefits of our stock awards decline, either because we are a public company or for other reasons, it may harm our ability to recruit and retain highly skilled employees. Many of our employees have become or will soon become vested in a substantial amount of their equity awards. Our employees may be more likely to leave us if the equity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spacing w:after="0" w:line="152"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Our future success also depends on our ability to continue to attract and retain additional executive officers and other key employees as we expand our business and operations. If we fail to attract new personnel or fail to retain and motivate our current personnel, it will negatively affect our business, financial condition and results of operations.</w:t>
      </w:r>
    </w:p>
    <w:p>
      <w:pPr>
        <w:spacing w:after="0" w:line="157"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b w:val="1"/>
          <w:bCs w:val="1"/>
          <w:i w:val="1"/>
          <w:iCs w:val="1"/>
          <w:color w:val="auto"/>
        </w:rPr>
        <w:t>We have increased the size of our organization and expect to further increase it in the future, and we may experience difficulties in managing our growth. If we are unable to manage the anticipated growth of our business, our future revenue and operating results may be harmed.</w:t>
      </w:r>
    </w:p>
    <w:p>
      <w:pPr>
        <w:spacing w:after="0" w:line="16"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As of March 31, 2022, we had 511 full-time employees. As our sales and marketing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143"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contractors and other third parties;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04" w:lineRule="exact"/>
        <w:rPr>
          <w:sz w:val="20"/>
          <w:szCs w:val="20"/>
          <w:color w:val="auto"/>
        </w:rPr>
      </w:pPr>
    </w:p>
    <w:p>
      <w:pPr>
        <w:jc w:val="both"/>
        <w:ind w:firstLine="578"/>
        <w:spacing w:after="0" w:line="287" w:lineRule="auto"/>
        <w:rPr>
          <w:sz w:val="20"/>
          <w:szCs w:val="20"/>
          <w:color w:val="auto"/>
        </w:rPr>
      </w:pPr>
      <w:r>
        <w:rPr>
          <w:rFonts w:ascii="Arial" w:cs="Arial" w:eastAsia="Arial" w:hAnsi="Arial"/>
          <w:sz w:val="16"/>
          <w:szCs w:val="16"/>
          <w:color w:val="auto"/>
        </w:rPr>
        <w:t>Since our inception, we have experienced growth and anticipate further growth in our business operations both inside and outside the United States. This future growth could strain our organizational, administrative and operational infrastructure, including quality control, operational, finance, customer service and sales organization management. We expect to continue to increase our headcount and to hire more specialized personnel in the future as we grow our business. We will need to continue to hire, train and manage additional qualified scientists, engineers, technical personnel and sales and marketing staff and improve and maintain our products to properly manage our growth. Rapid expansion in personnel could mean that less experienced people develop, market and sell our products, which could result in inefficiencies and unanticipated costs, reduced quality and disruptions to our operations. If our new hires perform poorly, if we are unsuccessful in hiring, training, managing and integrating these new employees or if we are not successful in retaining our employees, our business may be harmed. We may not be able to maintain the quality or expected turnaround times of our products,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efficient and effective manner could adversely affect our operations.</w:t>
      </w:r>
    </w:p>
    <w:p>
      <w:pPr>
        <w:spacing w:after="0" w:line="14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w:t>
      </w:r>
    </w:p>
    <w:p>
      <w:pPr>
        <w:spacing w:after="0" w:line="74" w:lineRule="exact"/>
        <w:rPr>
          <w:sz w:val="20"/>
          <w:szCs w:val="20"/>
          <w:color w:val="auto"/>
        </w:rPr>
      </w:pPr>
    </w:p>
    <w:p>
      <w:pPr>
        <w:jc w:val="both"/>
        <w:ind w:firstLine="578"/>
        <w:spacing w:after="0" w:line="272" w:lineRule="auto"/>
        <w:rPr>
          <w:sz w:val="20"/>
          <w:szCs w:val="20"/>
          <w:color w:val="auto"/>
        </w:rPr>
      </w:pPr>
      <w:r>
        <w:rPr>
          <w:rFonts w:ascii="Arial" w:cs="Arial" w:eastAsia="Arial" w:hAnsi="Arial"/>
          <w:sz w:val="17"/>
          <w:szCs w:val="17"/>
          <w:color w:val="auto"/>
        </w:rPr>
        <w:t>Prior to our initial public offering ("IPO") in July 2021, we were a private company with limited accounting personnel to adequately execute our accounting processes to address our internal control over financial reporting. In connection with our financial statement close process for the years ended December 31, 2019 and 2020, we identified material weaknesses associated with our control environment and control activities components of the Committee of Sponsoring Organizations (“COSO”) framework related to (i) the lack of sufficient qualified personnel within its accounting and IT function and (ii) establishing policies and procedures to identify, select and apply GAAP in order to ensure that transactions were being appropriately recorded; and the design of appropriate control activities over information technology systems and financial and reporting processes necessary to ensure the accuracy of financial reporting and the preparation of financial statements.</w:t>
      </w:r>
    </w:p>
    <w:p>
      <w:pPr>
        <w:spacing w:after="0" w:line="137" w:lineRule="exact"/>
        <w:rPr>
          <w:sz w:val="20"/>
          <w:szCs w:val="20"/>
          <w:color w:val="auto"/>
        </w:rPr>
      </w:pPr>
    </w:p>
    <w:p>
      <w:pPr>
        <w:jc w:val="both"/>
        <w:ind w:firstLine="578"/>
        <w:spacing w:after="0" w:line="277"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such that there is a reasonable possibility that a material misstatement of its financial statements would not be prevented or detected on a timely basis.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52</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deficiencies could result in additional material misstatements to our consolidated financial statements that could not be prevented or detected on a timely basis.</w:t>
      </w:r>
    </w:p>
    <w:p>
      <w:pPr>
        <w:spacing w:after="0" w:line="143" w:lineRule="exact"/>
        <w:rPr>
          <w:sz w:val="20"/>
          <w:szCs w:val="20"/>
          <w:color w:val="auto"/>
        </w:rPr>
      </w:pPr>
    </w:p>
    <w:p>
      <w:pPr>
        <w:jc w:val="both"/>
        <w:ind w:firstLine="578"/>
        <w:spacing w:after="0" w:line="254" w:lineRule="auto"/>
        <w:rPr>
          <w:sz w:val="20"/>
          <w:szCs w:val="20"/>
          <w:color w:val="auto"/>
        </w:rPr>
      </w:pPr>
      <w:r>
        <w:rPr>
          <w:rFonts w:ascii="Arial" w:cs="Arial" w:eastAsia="Arial" w:hAnsi="Arial"/>
          <w:sz w:val="18"/>
          <w:szCs w:val="18"/>
          <w:color w:val="auto"/>
        </w:rPr>
        <w:t>We cannot be certain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because no such evaluation has been previously required. If we are unable to successfully remediate our existing or any future material weaknesses in our internal control over financial reporting, or identify any additional material weaknesses, the accuracy and timing of our financial reporting may be negatively impacted,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to fund our existing operations, develop our products and/or expand our operations.</w:t>
      </w:r>
    </w:p>
    <w:p>
      <w:pPr>
        <w:spacing w:after="0" w:line="104" w:lineRule="exact"/>
        <w:rPr>
          <w:sz w:val="20"/>
          <w:szCs w:val="20"/>
          <w:color w:val="auto"/>
        </w:rPr>
      </w:pPr>
    </w:p>
    <w:p>
      <w:pPr>
        <w:jc w:val="both"/>
        <w:ind w:firstLine="578"/>
        <w:spacing w:after="0" w:line="259" w:lineRule="auto"/>
        <w:rPr>
          <w:sz w:val="20"/>
          <w:szCs w:val="20"/>
          <w:color w:val="auto"/>
        </w:rPr>
      </w:pPr>
      <w:r>
        <w:rPr>
          <w:rFonts w:ascii="Arial" w:cs="Arial" w:eastAsia="Arial" w:hAnsi="Arial"/>
          <w:sz w:val="18"/>
          <w:szCs w:val="18"/>
          <w:color w:val="auto"/>
        </w:rPr>
        <w:t>Based on our current planned operations, we expect that our existing cash will enable us to fund our operating expenses for at least 12 months from the date hereof. However, if our available cash balances and anticipated cash flow from operations are insufficient to satisfy our liquidity requirements or otherwise, we may seek to issue equity or convertible debt securities, enter into a credit facility or another form of third-party funding, seek other debt financing or enter into collaborations or licensing arrangements.</w:t>
      </w:r>
    </w:p>
    <w:p>
      <w:pPr>
        <w:spacing w:after="0" w:line="160" w:lineRule="exact"/>
        <w:rPr>
          <w:sz w:val="20"/>
          <w:szCs w:val="20"/>
          <w:color w:val="auto"/>
        </w:rPr>
      </w:pPr>
    </w:p>
    <w:p>
      <w:pPr>
        <w:jc w:val="both"/>
        <w:ind w:right="20" w:firstLine="578"/>
        <w:spacing w:after="0" w:line="311" w:lineRule="auto"/>
        <w:rPr>
          <w:sz w:val="20"/>
          <w:szCs w:val="20"/>
          <w:color w:val="auto"/>
        </w:rPr>
      </w:pPr>
      <w:r>
        <w:rPr>
          <w:rFonts w:ascii="Arial" w:cs="Arial" w:eastAsia="Arial" w:hAnsi="Arial"/>
          <w:sz w:val="16"/>
          <w:szCs w:val="16"/>
          <w:color w:val="auto"/>
        </w:rPr>
        <w:t>We may consider raising additional capital in the future to expand our business, to pursue strategic investments, to take advantage of financing opportunities or for other reasons, including to further scale up our manufacturing of our products, to increase our sales and marketing efforts to drive market adoption of our products and address competitive developments, and to finance capital expenditures and general and administrative expenses.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present and future funding requirements will depend on many factors, some of which are beyond our control, including:</w:t>
      </w:r>
    </w:p>
    <w:p>
      <w:pPr>
        <w:spacing w:after="0" w:line="198"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achieve and maintain revenue growth;</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of expanding our operations, including our sales and marketing efforts;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rate of progress in launching and commercializing new products, and the cost of the sales and marketing activities associated with, establishing adoption of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rate of progress in, and cost of research and development activities associated with, products in research and development;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potential cost of and delays in product development as a result of any regulatory oversight applicable to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associated with any product recall that may occur;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costs related to domestic and international expansion;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costs of attaining, defending and enforcing our intellectual property rights;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and timing of any other collaborative, licensing and other arrangements that we may establish.</w:t>
      </w:r>
    </w:p>
    <w:p>
      <w:pPr>
        <w:spacing w:after="0" w:line="171" w:lineRule="exact"/>
        <w:rPr>
          <w:sz w:val="20"/>
          <w:szCs w:val="20"/>
          <w:color w:val="auto"/>
        </w:rPr>
      </w:pPr>
    </w:p>
    <w:p>
      <w:pPr>
        <w:jc w:val="both"/>
        <w:ind w:firstLine="578"/>
        <w:spacing w:after="0" w:line="254" w:lineRule="auto"/>
        <w:rPr>
          <w:sz w:val="20"/>
          <w:szCs w:val="20"/>
          <w:color w:val="auto"/>
        </w:rPr>
      </w:pPr>
      <w:r>
        <w:rPr>
          <w:rFonts w:ascii="Arial" w:cs="Arial" w:eastAsia="Arial" w:hAnsi="Arial"/>
          <w:sz w:val="18"/>
          <w:szCs w:val="18"/>
          <w:color w:val="auto"/>
        </w:rPr>
        <w:t>Additional funding may not be available on acceptable terms, or at all.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If we raise additional funds through other third-party funding, collaborations agreements, strategic alliances, licensing arrangements or marketing and distribution arrangements, we may have to relinquish valuable rights to our technologies, future revenue streams, research programs or products or grant licenses on terms that may not be favorable to us.</w:t>
      </w:r>
    </w:p>
    <w:p>
      <w:pPr>
        <w:spacing w:after="0" w:line="168" w:lineRule="exact"/>
        <w:rPr>
          <w:sz w:val="20"/>
          <w:szCs w:val="20"/>
          <w:color w:val="auto"/>
        </w:rPr>
      </w:pPr>
    </w:p>
    <w:p>
      <w:pPr>
        <w:jc w:val="both"/>
        <w:ind w:firstLine="578"/>
        <w:spacing w:after="0" w:line="259" w:lineRule="auto"/>
        <w:rPr>
          <w:sz w:val="20"/>
          <w:szCs w:val="20"/>
          <w:color w:val="auto"/>
        </w:rPr>
      </w:pPr>
      <w:r>
        <w:rPr>
          <w:rFonts w:ascii="Arial" w:cs="Arial" w:eastAsia="Arial" w:hAnsi="Arial"/>
          <w:sz w:val="18"/>
          <w:szCs w:val="18"/>
          <w:color w:val="auto"/>
        </w:rPr>
        <w:t>In addition, our ability to raise additional funds may be adversely impacted by potential worsening global economic conditions and the disruptions to, and volatility in, the credit and financial markets in the United States and worldwide resulting from the COVID-19 pandemic, and geopolitical tensions, such as Russia’s recent incursion into Ukraine. If the equity and credit markets deteriorate, it may make any necessary debt or equity financing more difficult, more costly and more dilutive. If we are unable to raise additional capital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53</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sufficient amounts or on terms acceptable to us, we may have to significantly delay, scale back or discontinue the development, manufacturing or commercialization of our products, or other research and development initiatives. If this were to occur, our ability to grow and support our business and to respond to market challenges could be significantly limited, which could have an adverse effect on our business, financial condition and results of operations.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63" w:lineRule="exact"/>
        <w:rPr>
          <w:sz w:val="20"/>
          <w:szCs w:val="20"/>
          <w:color w:val="auto"/>
        </w:rPr>
      </w:pPr>
    </w:p>
    <w:p>
      <w:pPr>
        <w:jc w:val="both"/>
        <w:ind w:firstLine="578"/>
        <w:spacing w:after="0" w:line="277"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30"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demand for any of our products, which may vary significantly;</w:t>
      </w:r>
    </w:p>
    <w:p>
      <w:pPr>
        <w:spacing w:after="0" w:line="103"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manufacturing, regulatory approval and commercialization activities relating to our products, which may change from time to time;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size, seasonality and customer mix of the cell analysis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sales and marketing efforts and expenses;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rate at which we grow our sales force and the speed at which newly-hired salespeople become effective;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productivity of our sales force;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effectiveness of our distribution partners in selling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positive or negative coverage in the media or publications of our products or competitive products;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manufacturing our products, which may vary depending on the quantity of production and the terms of our arrangements with our suppliers;</w:t>
      </w:r>
    </w:p>
    <w:p>
      <w:pPr>
        <w:spacing w:after="0" w:line="62" w:lineRule="exact"/>
        <w:rPr>
          <w:rFonts w:ascii="Arial" w:cs="Arial" w:eastAsia="Arial" w:hAnsi="Arial"/>
          <w:sz w:val="18"/>
          <w:szCs w:val="18"/>
          <w:color w:val="auto"/>
        </w:rPr>
      </w:pPr>
    </w:p>
    <w:p>
      <w:pPr>
        <w:ind w:left="1020" w:right="20" w:hanging="503"/>
        <w:spacing w:after="0" w:line="291"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degree of competition in our industry and any change in the competitive landscape of our industry, including the introduction of new products or enhancements or technologies by us or others in the cell analysis market and competition-related pricing pressures;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 or applications;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03" w:lineRule="exact"/>
        <w:rPr>
          <w:rFonts w:ascii="Arial" w:cs="Arial" w:eastAsia="Arial" w:hAnsi="Arial"/>
          <w:sz w:val="18"/>
          <w:szCs w:val="18"/>
          <w:color w:val="auto"/>
        </w:rPr>
      </w:pPr>
    </w:p>
    <w:p>
      <w:pPr>
        <w:ind w:left="1020" w:right="20" w:hanging="503"/>
        <w:spacing w:after="0" w:line="291" w:lineRule="auto"/>
        <w:tabs>
          <w:tab w:leader="none" w:pos="10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disruptions to our business and operations or to the business and operations of our suppliers, distributors, and other third parties with whom we conduct business resulting from the COVID-19 pandemic or other widespread health crises such as the COVID-19 pandemic;</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shipping delays due to customs requirements, disruptions to global shipping routes and due to the COVID-19 pandemic;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global financial crises and economic downturns, including those caused by widespread public health crises; and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144" w:lineRule="exact"/>
        <w:rPr>
          <w:sz w:val="20"/>
          <w:szCs w:val="20"/>
          <w:color w:val="auto"/>
        </w:rPr>
      </w:pPr>
    </w:p>
    <w:p>
      <w:pPr>
        <w:jc w:val="both"/>
        <w:ind w:firstLine="578"/>
        <w:spacing w:after="0" w:line="273" w:lineRule="auto"/>
        <w:rPr>
          <w:sz w:val="20"/>
          <w:szCs w:val="20"/>
          <w:color w:val="auto"/>
        </w:rPr>
      </w:pPr>
      <w:r>
        <w:rPr>
          <w:rFonts w:ascii="Arial" w:cs="Arial" w:eastAsia="Arial" w:hAnsi="Arial"/>
          <w:sz w:val="17"/>
          <w:szCs w:val="17"/>
          <w:color w:val="auto"/>
        </w:rPr>
        <w:t>The cumulative effects of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previously publicly stated guidance we may provide.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sizes of the markets for our products may be smaller than we estimate.</w:t>
      </w:r>
    </w:p>
    <w:p>
      <w:pPr>
        <w:spacing w:after="0" w:line="104"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Within the life sciences technology market, flow cytometry technologies currently provide solutions largely within cell proliferation, cell counting, cell identification, cell quality control and single-cell applications, representing an initial total addressable market (“TAM”) of nearly $8 billion. However, we believe that the enhanced capabilities of our FSP platform has the potential to capture an increasingly greater share of the broader cell analysis TAM. Our Northern Lights system has been approved for clinical use in the European Union and China. In the United States, our products are currently labeled and promoted, and are, and in the near-future are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54</w:t>
      </w:r>
    </w:p>
    <w:p>
      <w:pPr>
        <w:spacing w:after="0" w:line="1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expected to continue to be, sold primarily to academic and research institutions and biopharmaceutical companies as research use only products for non-diagnostic and non-clinical purposes, and are not currently designed, or intended to be used, for clinical diagnostic tests. We plan to continue generating supporting publications and data, as well as pursue any required regulatory approvals for clinical use for our products in the United States. Our ability to penetrate the clinical markets in the United States will depend in part on our ability to receive 510(k) clearance,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or approval of a pre-market approval application from the FDA. Further, we believe our differentiated platform will enable us to expand the use of cell analysis into new markets, well beyond current applications addressed by prior flow cytometry technologies and other cell analysis technologies. While we believe our assumptions and the data underlying our estimates are reasonable, we have not independently verified the accuracy of the third-party data on which we have based our assumptions and estimates, and these assumptions and estimates may not be correct and significantly different than actual market sizes, and the conditions supporting our assumptions or estimates may change at any time, including as a result of factors outside our control, thereby reducing the predictive accuracy of these underlying factors. If the actual number of customers who would benefit from our products, the price at which we can sell products or the annual addressable market for our products is smaller than we have estimated, it may impair our sales growth and have an adverse impact on our business, financial condition and results of operations.</w:t>
      </w:r>
    </w:p>
    <w:p>
      <w:pPr>
        <w:spacing w:after="0" w:line="152"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In addition, our growth strategy involves launching new solutions and expanding sales of existing solutions into new markets and geographies in which we have limited experience. For example, we intend to develop our platform’s applications within the clinical market, and in particular, within disease detection, diagnosis, and treatment monitoring. Sales of new or existing solutions into new market opportunities may take several years to develop and mature, and we cannot be certain that these market opportunities will develop as we expect. As a result, the sizes of the annual total addressable market for new markets and new products are even more difficult to predict.</w:t>
      </w:r>
    </w:p>
    <w:p>
      <w:pPr>
        <w:spacing w:after="0" w:line="1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If we were to be sued for product liability, we could face substantial liabilities that exceed our resources, limit sales of our existing products and limit commercialization of any products that we may develop.</w:t>
      </w:r>
    </w:p>
    <w:p>
      <w:pPr>
        <w:spacing w:after="0" w:line="63" w:lineRule="exact"/>
        <w:rPr>
          <w:sz w:val="20"/>
          <w:szCs w:val="20"/>
          <w:color w:val="auto"/>
        </w:rPr>
      </w:pPr>
    </w:p>
    <w:p>
      <w:pPr>
        <w:jc w:val="both"/>
        <w:ind w:firstLine="578"/>
        <w:spacing w:after="0" w:line="255" w:lineRule="auto"/>
        <w:rPr>
          <w:sz w:val="20"/>
          <w:szCs w:val="20"/>
          <w:color w:val="auto"/>
        </w:rPr>
      </w:pPr>
      <w:r>
        <w:rPr>
          <w:rFonts w:ascii="Arial" w:cs="Arial" w:eastAsia="Arial" w:hAnsi="Arial"/>
          <w:sz w:val="18"/>
          <w:szCs w:val="18"/>
          <w:color w:val="auto"/>
        </w:rPr>
        <w:t>The marketing, sale and use of our products could lead to the filing of product liability claims where someone may allege that our products identified inaccurate or incomplete information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w:t>
      </w:r>
    </w:p>
    <w:p>
      <w:pPr>
        <w:spacing w:after="0" w:line="165"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 litigation costs;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to commercialize our products or new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damage to our business reputation;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recalls or withdrawals from the market;</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of sales;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termination of existing agreements by our partners and potential partners failing to partner with us.</w:t>
      </w:r>
    </w:p>
    <w:p>
      <w:pPr>
        <w:spacing w:after="0" w:line="171"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w:t>
      </w:r>
    </w:p>
    <w:p>
      <w:pPr>
        <w:spacing w:after="0" w:line="157" w:lineRule="exact"/>
        <w:rPr>
          <w:sz w:val="20"/>
          <w:szCs w:val="20"/>
          <w:color w:val="auto"/>
        </w:rPr>
      </w:pPr>
    </w:p>
    <w:p>
      <w:pPr>
        <w:jc w:val="both"/>
        <w:ind w:firstLine="578"/>
        <w:spacing w:after="0" w:line="275" w:lineRule="auto"/>
        <w:rPr>
          <w:sz w:val="20"/>
          <w:szCs w:val="20"/>
          <w:color w:val="auto"/>
        </w:rPr>
      </w:pPr>
      <w:r>
        <w:rPr>
          <w:rFonts w:ascii="Arial" w:cs="Arial" w:eastAsia="Arial" w:hAnsi="Arial"/>
          <w:sz w:val="17"/>
          <w:szCs w:val="17"/>
          <w:color w:val="auto"/>
        </w:rPr>
        <w:t>While we may attempt to manage our product liability exposure by proactively recalling or withdrawing from the market any defective products, any recall or market withdrawal of our products may delay the supply of those products to our customers and may impact our reputation. We may not be successful in initiating appropriate market recall or market withdrawal efforts that may be required in the future and these efforts may not have the intended effect of preventing product malfunctions and the accompanying product liability that may result. Such recalls and withdrawals may also harm our reputation with customers, which could negatively affect our business, financial condition and results of operations.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55</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harm our business.</w:t>
      </w:r>
    </w:p>
    <w:p>
      <w:pPr>
        <w:spacing w:after="0" w:line="88" w:lineRule="exact"/>
        <w:rPr>
          <w:sz w:val="20"/>
          <w:szCs w:val="20"/>
          <w:color w:val="auto"/>
        </w:rPr>
      </w:pPr>
    </w:p>
    <w:p>
      <w:pPr>
        <w:jc w:val="both"/>
        <w:ind w:firstLine="578"/>
        <w:spacing w:after="0" w:line="270" w:lineRule="auto"/>
        <w:rPr>
          <w:sz w:val="20"/>
          <w:szCs w:val="20"/>
          <w:color w:val="auto"/>
        </w:rPr>
      </w:pPr>
      <w:r>
        <w:rPr>
          <w:rFonts w:ascii="Arial" w:cs="Arial" w:eastAsia="Arial" w:hAnsi="Arial"/>
          <w:sz w:val="17"/>
          <w:szCs w:val="17"/>
          <w:color w:val="auto"/>
        </w:rPr>
        <w:t>We have been, and may become, involved in legal proceedings relating to patent and other intellectual property matters, product liability claims, employee claims, tort or contract claims, federal or state regulatory investigations, securities class actions and other legal proceedings or investigations, which could have a negative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harm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the United States or worldwide could adversely affect our business. The COVID-19 pandemic has had and could continue to have an adverse impact on our business, operations, and the markets and communities in which we, our partners, and customers operate.</w:t>
      </w:r>
    </w:p>
    <w:p>
      <w:pPr>
        <w:spacing w:after="0" w:line="74" w:lineRule="exact"/>
        <w:rPr>
          <w:sz w:val="20"/>
          <w:szCs w:val="20"/>
          <w:color w:val="auto"/>
        </w:rPr>
      </w:pPr>
    </w:p>
    <w:p>
      <w:pPr>
        <w:jc w:val="both"/>
        <w:ind w:firstLine="578"/>
        <w:spacing w:after="0" w:line="254" w:lineRule="auto"/>
        <w:rPr>
          <w:sz w:val="20"/>
          <w:szCs w:val="20"/>
          <w:color w:val="auto"/>
        </w:rPr>
      </w:pPr>
      <w:r>
        <w:rPr>
          <w:rFonts w:ascii="Arial" w:cs="Arial" w:eastAsia="Arial" w:hAnsi="Arial"/>
          <w:sz w:val="18"/>
          <w:szCs w:val="18"/>
          <w:color w:val="auto"/>
        </w:rPr>
        <w:t>If a pandemic, epidemic or outbreak of an infectious disease occurs in the United States or worldwide, our business may be adversely affected. The COVID-19 pandemic has caused general business disruption worldwide beginning in January 2020. While the duration and extent of the COVID-19 pandemic depends on future developments and potential resurgences that cannot be accurately predicted at this time, such as the extent and effectiveness of containment actions and available vaccines, the pandemic has had an adverse effect on the global economy and the ultimate societal and economic impact of the COVID-19 pandemic remains unknown. The potential impact and duration of the COVID-19 pandemic on the global economy and our business are difficult to assess or predict, due in part to new variant strains of the virus and the degree of their vaccine resistance. Potential impacts, some of which we have already experienced, include:</w:t>
      </w:r>
    </w:p>
    <w:p>
      <w:pPr>
        <w:spacing w:after="0" w:line="154" w:lineRule="exact"/>
        <w:rPr>
          <w:sz w:val="20"/>
          <w:szCs w:val="20"/>
          <w:color w:val="auto"/>
        </w:rPr>
      </w:pPr>
    </w:p>
    <w:p>
      <w:pPr>
        <w:jc w:val="both"/>
        <w:ind w:left="1020" w:hanging="503"/>
        <w:spacing w:after="0" w:line="270" w:lineRule="auto"/>
        <w:tabs>
          <w:tab w:leader="none" w:pos="10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customer prospects and our existing customers may experience slowdowns in their businesses, and our academic institution customers may experience decreases in government funding of research and development, which in turn may result in reduced demand for our products, lengthening of sales cycles, loss of customers, difficulties in collections, and inaccurate inventory forecasting;</w:t>
      </w:r>
    </w:p>
    <w:p>
      <w:pPr>
        <w:spacing w:after="0" w:line="55" w:lineRule="exact"/>
        <w:rPr>
          <w:rFonts w:ascii="Arial" w:cs="Arial" w:eastAsia="Arial" w:hAnsi="Arial"/>
          <w:sz w:val="17"/>
          <w:szCs w:val="17"/>
          <w:color w:val="auto"/>
        </w:rPr>
      </w:pPr>
    </w:p>
    <w:p>
      <w:pPr>
        <w:ind w:left="102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interruption of or delays in receiving supplies from the third parties we rely on to manufacture components to our products, which may impair our ability sell our products;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interruption of or delays in installation of our products for our customers;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interruption of or delays in the shipments of purchased products to customers or to our distribution partners;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decreased employee productivity and morale, with increased employee attrition and risk of a cyberattack resulting from certain employees working from home;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disruptions and significant costs to our growth planning, such as for facilities and international expansion;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legal liability for safe workplace claims;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of critical vendors or third-party partners, which may go out of business; and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cancellation of in-person marketing events, including industry conferences, and prolonged delays in our ability to reschedule or conduct in-person marketing events and other sales and marketing activities.</w:t>
      </w:r>
    </w:p>
    <w:p>
      <w:pPr>
        <w:spacing w:after="0" w:line="265"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The impact of any of the foregoing, individually or collectively, could adversely affect our business, financial condition, and results of operations. Moreover, to the extent the COVID-19 pandemic adversely affects our business, financial condition, and results of operations, it may also have the effect of heightening many of the other risks described in this “Risk Factors” section.</w:t>
      </w:r>
    </w:p>
    <w:p>
      <w:pPr>
        <w:spacing w:after="0" w:line="15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If our security measures, or those maintained on our behalf, are compromised now, or in the future, or the security, confidentiality, integrity or availability of our information technology, software, services, networks, communications or data is compromised, limited or fails, this could have a material adverse effect on our business, financial condition and results of operations.</w:t>
      </w:r>
    </w:p>
    <w:p>
      <w:pPr>
        <w:spacing w:after="0" w:line="74" w:lineRule="exact"/>
        <w:rPr>
          <w:sz w:val="20"/>
          <w:szCs w:val="20"/>
          <w:color w:val="auto"/>
        </w:rPr>
      </w:pPr>
    </w:p>
    <w:p>
      <w:pPr>
        <w:jc w:val="both"/>
        <w:ind w:firstLine="584"/>
        <w:spacing w:after="0" w:line="243" w:lineRule="auto"/>
        <w:rPr>
          <w:sz w:val="20"/>
          <w:szCs w:val="20"/>
          <w:color w:val="auto"/>
        </w:rPr>
      </w:pPr>
      <w:r>
        <w:rPr>
          <w:rFonts w:ascii="Arial" w:cs="Arial" w:eastAsia="Arial" w:hAnsi="Arial"/>
          <w:sz w:val="18"/>
          <w:szCs w:val="18"/>
          <w:color w:val="auto"/>
        </w:rPr>
        <w:t>In the ordinary course of our business, we may collect, use, store, safeguard, disclose, share, transfer, secure and otherwise process (collectively, “Process” or “Processing”) proprietary, confidential and sensitive data, including personal data (such as key-coded data, health information and other special categories of personal data), intellectual property, trade secrets and proprietary business information owned or controlled by ourselves, our customers and other parties (collectively “Sensitive Information”). We may rely upon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56</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third parties (such as service providers) for our data processing–related activities. We may share or receive sensitive data with or from third parties.</w:t>
      </w:r>
    </w:p>
    <w:p>
      <w:pPr>
        <w:spacing w:after="0" w:line="196" w:lineRule="exact"/>
        <w:rPr>
          <w:sz w:val="20"/>
          <w:szCs w:val="20"/>
          <w:color w:val="auto"/>
        </w:rPr>
      </w:pPr>
    </w:p>
    <w:p>
      <w:pPr>
        <w:jc w:val="both"/>
        <w:ind w:firstLine="584"/>
        <w:spacing w:after="0" w:line="251" w:lineRule="auto"/>
        <w:rPr>
          <w:sz w:val="20"/>
          <w:szCs w:val="20"/>
          <w:color w:val="auto"/>
        </w:rPr>
      </w:pPr>
      <w:r>
        <w:rPr>
          <w:rFonts w:ascii="Arial" w:cs="Arial" w:eastAsia="Arial" w:hAnsi="Arial"/>
          <w:sz w:val="17"/>
          <w:szCs w:val="17"/>
          <w:color w:val="auto"/>
        </w:rPr>
        <w:t>We face a variety of evolving threats, which could cause security incidents. Cyberattacks, malicious internet-based activity, and online and offline fraud are prevalent and continue to increase. These threats are becoming increasingly difficult to detect. These threats come from a variety of sources. In addition to traditional computer “hackers,” threat actors, personnel (such as through theft or misuse), sophisticated nation-states, and nation-state-supported actors now engage in attacks.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cyberattacks, that could materially disrupt our systems and operations, supply chain, and ability to produce, sell and distribute our goods and services. We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telecommunications failures, and other similar threats. Ransomware attacks, including those perpetrated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The COVID-19 pandemic and our remote workforce poses increased risks to our information technology systems and data, as more of our employees work from home, utilizing network connections outside our premises.</w:t>
      </w:r>
    </w:p>
    <w:p>
      <w:pPr>
        <w:spacing w:after="0" w:line="145" w:lineRule="exact"/>
        <w:rPr>
          <w:sz w:val="20"/>
          <w:szCs w:val="20"/>
          <w:color w:val="auto"/>
        </w:rPr>
      </w:pPr>
    </w:p>
    <w:p>
      <w:pPr>
        <w:jc w:val="both"/>
        <w:ind w:firstLine="584"/>
        <w:spacing w:after="0" w:line="268" w:lineRule="auto"/>
        <w:rPr>
          <w:sz w:val="20"/>
          <w:szCs w:val="20"/>
          <w:color w:val="auto"/>
        </w:rPr>
      </w:pPr>
      <w:r>
        <w:rPr>
          <w:rFonts w:ascii="Arial" w:cs="Arial" w:eastAsia="Arial" w:hAnsi="Arial"/>
          <w:sz w:val="16"/>
          <w:szCs w:val="16"/>
          <w:color w:val="auto"/>
        </w:rPr>
        <w:t>Any of the previously identified or similar threats could cause a security incident. A security incident could result in unauthorized, unlawful, or accidental acquisition, modification, destruction, loss, alteration, encryption, disclosure of, or access to data. A security incident could disrupt our ability (and that of third parties upon whom we rely) to provide our platform. We may expend significant resources or modify our business activities in an effort to protect against security incidents. Certain data privacy and security obligations may require us to implement and maintain specific security measures, industry-standard or reasonable security measures to protect our information technology systems and data. 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Applicable data privacy and security obligations may require us to notify relevant stakeholders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These consequences may include government enforcement actions (for example, investigations, fines, penalties, audits, and inspections), additional reporting requirements and/or oversight; restrictions on processing data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and services, deter new customers from purchasing our products and services, and negatively impact our ability to grow and operate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71"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6"/>
          <w:szCs w:val="16"/>
          <w:color w:val="auto"/>
        </w:rPr>
        <w:t>Our operations (including our manufacturing operations) and the operations of our distribution partners could be subject to earthquakes, power shortages, telecommunications failures, water shortages, floods, hurricanes, typhoons, fires, extreme weather conditions, medical epidemics and pandemics, including the COVID-19 pandemic, and other natural or man-made disasters or business interruptions, for which we are predominantly self-insured. Our ability to obtain components for our products could be disrupted if the operations of our suppliers were affected by a man-made or natural disaster or other business interruption, including interruptions related to the COVID-19 pandemic. In addition, our corporate headquarters is located in Fremont, California and one of our reagents manufacturing facilities is located in San Diego, California, near major earthquake faults and fire zones, and the ultimate impact on us for being located near earthquake faults and fire zones and being consolidated in a certain geographical area is unknown. The occurrence of any of these business disruptions could seriously harm our operations and financial condition and increase our costs and expenses.</w:t>
      </w:r>
    </w:p>
    <w:p>
      <w:pPr>
        <w:spacing w:after="0" w:line="141" w:lineRule="exact"/>
        <w:rPr>
          <w:sz w:val="20"/>
          <w:szCs w:val="20"/>
          <w:color w:val="auto"/>
        </w:rPr>
      </w:pPr>
    </w:p>
    <w:p>
      <w:pPr>
        <w:jc w:val="both"/>
        <w:ind w:firstLine="584"/>
        <w:spacing w:after="0" w:line="238" w:lineRule="auto"/>
        <w:rPr>
          <w:sz w:val="20"/>
          <w:szCs w:val="20"/>
          <w:color w:val="auto"/>
        </w:rPr>
      </w:pPr>
      <w:r>
        <w:rPr>
          <w:rFonts w:ascii="Arial" w:cs="Arial" w:eastAsia="Arial" w:hAnsi="Arial"/>
          <w:sz w:val="18"/>
          <w:szCs w:val="18"/>
          <w:color w:val="auto"/>
        </w:rPr>
        <w:t>We manufacture our products at our manufacturing facilities located in Fremont and San Diego, California, and Wuxi, China, and we rely on various suppliers in the United States, China and other countries. Should our manufacturing facilities or the facilities of our suppliers be damaged or destroyed by natural or man-made disasters, such as earthquakes, fires or other events, or should events such as political unrest unfold, it could take months to relocate or rebuild, during which time our manufacturing and the operations of our suppliers would cease or be delayed and our products may be unavailable. Moreover, the use of a new facility or new manufacturing, quality control, or environmental control equipment or systems generally requires FDA review and approval. Because of the time required to authorize manufacturing in a new facility under FDA and non-U.S. regulatory requirements, we may not be able to resume production on a timely basis even if we are able to replace production capacity in the event we lose our manufacturing capacity.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57</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inability to perform our manufacturing activities, combined with our limited inventory of materials and components and manufactured products, or the inability of our suppliers to continue their operations, may cause us to be unable to meet customer demand or harm our reputation, and we may be unable to reestablish relationships with such customers in the future. Consequently, a catastrophic event or business interruption at our manufacturing facilities or at our suppliers’ facilities could harm our business, financial 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insurance policies are expensive and protect us only from some business risks, which leaves us exposed to significant uninsured liabilities.</w:t>
      </w:r>
    </w:p>
    <w:p>
      <w:pPr>
        <w:spacing w:after="0" w:line="127" w:lineRule="exact"/>
        <w:rPr>
          <w:sz w:val="20"/>
          <w:szCs w:val="20"/>
          <w:color w:val="auto"/>
        </w:rPr>
      </w:pPr>
    </w:p>
    <w:p>
      <w:pPr>
        <w:jc w:val="both"/>
        <w:ind w:firstLine="584"/>
        <w:spacing w:after="0" w:line="252" w:lineRule="auto"/>
        <w:rPr>
          <w:sz w:val="20"/>
          <w:szCs w:val="20"/>
          <w:color w:val="auto"/>
        </w:rPr>
      </w:pPr>
      <w:r>
        <w:rPr>
          <w:rFonts w:ascii="Arial" w:cs="Arial" w:eastAsia="Arial" w:hAnsi="Arial"/>
          <w:sz w:val="17"/>
          <w:szCs w:val="17"/>
          <w:color w:val="auto"/>
        </w:rPr>
        <w:t>We do not carry insurance for all categories of risk that our business may encounter. Although we have general and product liability insurance that we believe is appropriate, this insurance is subject to deductibles and coverage limitations. Our current product liability insurance may not continue to be available to us on acceptable terms, if at all, and, if available, coverage may not be adequate to protect us against any future product liability claims. If we are unable to obtain insurance at an acceptable cost or on acceptable terms or otherwise protect against potential product liability claims, we could be exposed to significant liabilities. A product liability claim, recall or other claim with respect to uninsured liabilities or for amounts in excess of insured liabilities could negatively affect our business, financial condition and results of operations. We do not carry specific hazardous waste insurance coverage, and our property, casualty and general liability insurance policies specifically exclude coverage for damages and fines arising from hazardous waste exposure or contamination. Accordingly, in the event of contamination or injury, we could be held liable for damages or be penalized with fines in an amount exceeding our resources, and our clinical trials or regulatory approvals could be suspended. Although we carry cyber insurance, the coverage may not be sufficient to cover our losses in the event of a Security Breach. Additionally, no assurance can be given that such policies can be retained on acceptable terms or that litigation will not occur following an insurance claim.</w:t>
      </w:r>
    </w:p>
    <w:p>
      <w:pPr>
        <w:spacing w:after="0" w:line="145" w:lineRule="exact"/>
        <w:rPr>
          <w:sz w:val="20"/>
          <w:szCs w:val="20"/>
          <w:color w:val="auto"/>
        </w:rPr>
      </w:pPr>
    </w:p>
    <w:p>
      <w:pPr>
        <w:jc w:val="both"/>
        <w:ind w:firstLine="578"/>
        <w:spacing w:after="0" w:line="296" w:lineRule="auto"/>
        <w:rPr>
          <w:sz w:val="20"/>
          <w:szCs w:val="20"/>
          <w:color w:val="auto"/>
        </w:rPr>
      </w:pPr>
      <w:r>
        <w:rPr>
          <w:rFonts w:ascii="Arial" w:cs="Arial" w:eastAsia="Arial" w:hAnsi="Arial"/>
          <w:sz w:val="16"/>
          <w:szCs w:val="16"/>
          <w:color w:val="auto"/>
        </w:rPr>
        <w:t>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13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use hazardous biological materials that require considerable expertise for handling, storage and disposal and may result in claims against us. We and third parties with whom we contract must comply with environmental laws and regulations, which can be expensive and restrict how we do business, and could expose us to liability if our use of such hazardous materials cause injury.</w:t>
      </w:r>
    </w:p>
    <w:p>
      <w:pPr>
        <w:spacing w:after="0" w:line="74"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7"/>
          <w:szCs w:val="17"/>
          <w:color w:val="auto"/>
        </w:rPr>
        <w:t>Our research and development and manufacturing processes involve the controlled use of hazardous materials, including flammables, toxics, corrosives and biologics. Our research operations produce hazardous biological and chemical waste products, and we largely contract with third parties for the disposal of these products. Federal, state and local laws and regulations govern the use, generation, manufacture, storage, handling and disposal of these materials and wastes. We are subject to periodic inspections by federal, state and local authorities to ensure compliance with applicable laws. Compliance with applicable environmental laws and regulations is expensive, and current or future environmental laws and regulations may restrict our operations. If we do not comply with applicable regulations, we may be subject to fines and penalties. In the event of accidental contamination or injury from these materials or wastes, we could be liable for damages or penalized with fines in an amount exceeding our resources and our operations could be suspended or otherwise adversely affected.</w:t>
      </w:r>
    </w:p>
    <w:p>
      <w:pPr>
        <w:spacing w:after="0" w:line="138" w:lineRule="exact"/>
        <w:rPr>
          <w:sz w:val="20"/>
          <w:szCs w:val="20"/>
          <w:color w:val="auto"/>
        </w:rPr>
      </w:pPr>
    </w:p>
    <w:p>
      <w:pPr>
        <w:jc w:val="both"/>
        <w:ind w:firstLine="578"/>
        <w:spacing w:after="0" w:line="268" w:lineRule="auto"/>
        <w:rPr>
          <w:sz w:val="20"/>
          <w:szCs w:val="20"/>
          <w:color w:val="auto"/>
        </w:rPr>
      </w:pPr>
      <w:r>
        <w:rPr>
          <w:rFonts w:ascii="Arial" w:cs="Arial" w:eastAsia="Arial" w:hAnsi="Arial"/>
          <w:sz w:val="17"/>
          <w:szCs w:val="17"/>
          <w:color w:val="auto"/>
        </w:rPr>
        <w:t>In addition, because our product contains metals and electronic components which are purchased from third-party vendors, we may be required under rules promulgated by the U.S. Securities and Exchange Commission ("SEC") governing disclosure of the use of “conflict minerals” (tin, tungsten, tantalum and gold) to determine whether those minerals are necessary to the functionality or production of our products and, if so, conduct a country of origin inquiry with respect to all such minerals. If any such minerals may have originated in the Democratic Republic of the Congo, or DRC, or any of its adjoining countries, or covered countries, then we must conduct diligence on the source and chain of custody of those conflict minerals to determine if they originated in one of the covered countries and, if so, whether they financed or benefited armed groups in the covered countries. Disclosures relating to the products that may contain conflict minerals, the country of origin of those minerals and whether they are “DRC conflict free” must be provided in a Form SD (and accompanying conflict minerals report, if required, to disclose the diligence undertaken by us in sourcing the minerals and our conclusions relating to such diligence). If we are required to submit a conflict minerals report, that report must be audited by an independent auditor pursuant to existing government auditing standards. Compliance with this disclosure rule may be very time-consuming for our management and personnel (as well as time-consuming for our suppliers) and could involve the expenditure of significant amounts of money by us and them. Disclosures mandated by this rule, which can be perceived by the market to be “negative,” may cause customers to refuse to purchase our products. The cost of compliance with the rule could adversely affect our results of operations.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58</w:t>
      </w:r>
    </w:p>
    <w:p>
      <w:pPr>
        <w:spacing w:after="0" w:line="104" w:lineRule="exact"/>
        <w:rPr>
          <w:sz w:val="20"/>
          <w:szCs w:val="20"/>
          <w:color w:val="auto"/>
        </w:rPr>
      </w:pPr>
    </w:p>
    <w:p>
      <w:pPr>
        <w:jc w:val="both"/>
        <w:ind w:firstLine="578"/>
        <w:spacing w:after="0" w:line="259" w:lineRule="auto"/>
        <w:rPr>
          <w:sz w:val="20"/>
          <w:szCs w:val="20"/>
          <w:color w:val="auto"/>
        </w:rPr>
      </w:pPr>
      <w:r>
        <w:rPr>
          <w:rFonts w:ascii="Arial" w:cs="Arial" w:eastAsia="Arial" w:hAnsi="Arial"/>
          <w:sz w:val="18"/>
          <w:szCs w:val="18"/>
          <w:color w:val="auto"/>
        </w:rPr>
        <w:t>Furthermore, environmental laws and regulations are complex, change frequently and have tended to become more stringent. We cannot predict the impact of such changes and cannot be certain of our future compliance. We do not currently maintain separate environmental liability coverage and any accidental contamination or discharge or any resultant injury from these materials could result in significant cost to us in penalties, damages and suspension of our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received funding under the Coronavirus Aid, Relief and Economic Security Act, or the CARES Act.</w:t>
      </w:r>
    </w:p>
    <w:p>
      <w:pPr>
        <w:spacing w:after="0" w:line="104"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In June 2020, we executed a note in favor of Wells Fargo Bank, National Association, evidencing an unsecured loan, (“PPP loan”), in the aggregate principal amount of $4.1 million, which was made pursuant to the Paycheck Protection Program, or the PPP. The PPP was established under the CARES Act, which was enacted on March 27, 2020, and is administered by the U.S. Small Business Administration, or the SBA. We have used all of the proceeds from the loan to retain employees, maintain payroll and make lease and utility payments and expect to repay the PPP loan in the second quarter of 2021. On May 4, 2021, we fully repaid the PPP loan.</w:t>
      </w:r>
    </w:p>
    <w:p>
      <w:pPr>
        <w:spacing w:after="0" w:line="147" w:lineRule="exact"/>
        <w:rPr>
          <w:sz w:val="20"/>
          <w:szCs w:val="20"/>
          <w:color w:val="auto"/>
        </w:rPr>
      </w:pPr>
    </w:p>
    <w:p>
      <w:pPr>
        <w:jc w:val="both"/>
        <w:ind w:firstLine="578"/>
        <w:spacing w:after="0" w:line="272" w:lineRule="auto"/>
        <w:rPr>
          <w:sz w:val="20"/>
          <w:szCs w:val="20"/>
          <w:color w:val="auto"/>
        </w:rPr>
      </w:pPr>
      <w:r>
        <w:rPr>
          <w:rFonts w:ascii="Arial" w:cs="Arial" w:eastAsia="Arial" w:hAnsi="Arial"/>
          <w:sz w:val="17"/>
          <w:szCs w:val="17"/>
          <w:color w:val="auto"/>
        </w:rPr>
        <w:t>The PPP loan application required us to certify, among other things, that the current economic uncertainty made the PPP loan request necessary to support our ongoing operations. In 2020, the SBA, in consultation with the Department of Treasury, issued new guidance requiring borrowers to consider their ability to access other sources of liquidity before certifying in their loan applications that current economic uncertainty makes this loan request necessary to support the ongoing operations. We made the certification in good faith after analyzing our financial situation and access to capital and believe that we satisfied all eligibility criteria for the PPP loan. However, the SBA guidance and criteria are subject to interpretation, including by the new Biden Administration, and if we are found to have been ineligible, we could be subject to significant penalties. If we become subject to penalties, it could result in harm to our business, results of operation and financial condition.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foreign currency exchange risk.</w:t>
      </w:r>
    </w:p>
    <w:p>
      <w:pPr>
        <w:spacing w:after="0" w:line="104" w:lineRule="exact"/>
        <w:rPr>
          <w:sz w:val="20"/>
          <w:szCs w:val="20"/>
          <w:color w:val="auto"/>
        </w:rPr>
      </w:pPr>
    </w:p>
    <w:p>
      <w:pPr>
        <w:jc w:val="both"/>
        <w:ind w:firstLine="578"/>
        <w:spacing w:after="0" w:line="254" w:lineRule="auto"/>
        <w:rPr>
          <w:sz w:val="20"/>
          <w:szCs w:val="20"/>
          <w:color w:val="auto"/>
        </w:rPr>
      </w:pPr>
      <w:r>
        <w:rPr>
          <w:rFonts w:ascii="Arial" w:cs="Arial" w:eastAsia="Arial" w:hAnsi="Arial"/>
          <w:sz w:val="18"/>
          <w:szCs w:val="18"/>
          <w:color w:val="auto"/>
        </w:rPr>
        <w:t>A substantial amount of our revenues is derived from international operations, and we anticipate that a significant portion of our sales will continue to come from outside the United States in the future. The revenues we report with respect to our operations outside the United States may be adversely affected by fluctuations in foreign currency exchange rates. See the section titled “Management’s Discussion and Analysis of Financial Condition and Results of Operations” for additional information on the financial impact of exchange rate fluctuations and the ways and extent to which we may attempt to address any impact. Any hedging activities we engage in may only offset a portion of the adverse financial impact resulting from unfavorable changes in foreign currency exchange rates. We cannot predict with any certainty changes in foreign currency exchange rates or the degree to which we can mitigate these risks.</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We may acquire other businesses or form other joint ventures or make investments in other companies or technologies that could negatively affect our operating results, dilute our stockholders’ ownership, increase our debt or cause us to incur significant expense.</w:t>
      </w:r>
    </w:p>
    <w:p>
      <w:pPr>
        <w:spacing w:after="0" w:line="39" w:lineRule="exact"/>
        <w:rPr>
          <w:sz w:val="20"/>
          <w:szCs w:val="20"/>
          <w:color w:val="auto"/>
        </w:rPr>
      </w:pPr>
    </w:p>
    <w:p>
      <w:pPr>
        <w:jc w:val="both"/>
        <w:ind w:firstLine="578"/>
        <w:spacing w:after="0" w:line="288" w:lineRule="auto"/>
        <w:rPr>
          <w:sz w:val="20"/>
          <w:szCs w:val="20"/>
          <w:color w:val="auto"/>
        </w:rPr>
      </w:pPr>
      <w:r>
        <w:rPr>
          <w:rFonts w:ascii="Arial" w:cs="Arial" w:eastAsia="Arial" w:hAnsi="Arial"/>
          <w:sz w:val="16"/>
          <w:szCs w:val="16"/>
          <w:color w:val="auto"/>
        </w:rPr>
        <w:t>Although we currently have no agreements or commitments to complete any such transactions, we may pursue acquisitions of businesses and assets in the future. We also may pursue strategic alliances and additional joint ventures that leverage products and industry experience to expand our offerings or distribution. We have limited experience with acquiring other companies and forming strategic partnerships.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the incurrence of debt, contingent liabilities or future write-offs of intangible assets or goodwill, any of which could have an adverse effect on our financial condition, results of operations and cash flows. In addition, any pursuit of an acquisition and any potential integration of an acquired company also may disrupt ongoing operations and divert management attention and resources that we would otherwise focus on developing our existing business. We may experience losses related to investments in other companies, which could have a negative effect on our results of operations and financial condition. We may not realize the anticipated benefits of any acquisition, technology license, strategic alliance or joint venture.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59</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and Our Industry</w:t>
      </w:r>
    </w:p>
    <w:p>
      <w:pPr>
        <w:spacing w:after="0" w:line="18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Our products may become subject to more onerous regulation by the FDA or other regulatory agencies in the future, which could increase our costs and delay or prevent sales of our products or commercialization of new products and product enhancements, thereby materially and adversely affecting our business, financial condition, results of operations and prospects.</w:t>
      </w:r>
    </w:p>
    <w:p>
      <w:pPr>
        <w:spacing w:after="0" w:line="141" w:lineRule="exact"/>
        <w:rPr>
          <w:sz w:val="20"/>
          <w:szCs w:val="20"/>
          <w:color w:val="auto"/>
        </w:rPr>
      </w:pPr>
    </w:p>
    <w:p>
      <w:pPr>
        <w:jc w:val="both"/>
        <w:ind w:firstLine="578"/>
        <w:spacing w:after="0" w:line="287" w:lineRule="auto"/>
        <w:rPr>
          <w:sz w:val="20"/>
          <w:szCs w:val="20"/>
          <w:color w:val="auto"/>
        </w:rPr>
      </w:pPr>
      <w:r>
        <w:rPr>
          <w:rFonts w:ascii="Arial" w:cs="Arial" w:eastAsia="Arial" w:hAnsi="Arial"/>
          <w:sz w:val="16"/>
          <w:szCs w:val="16"/>
          <w:color w:val="auto"/>
        </w:rPr>
        <w:t>Currently, our Northern Lights CLC system is available for clinical use in only China and the European Union. Our Aurora and Northern Lights systems are otherwise available to customers as research-use-only (“RUO”) products. RUO products are regulated by the FDA as medical devices. Although medical devices are subject to stringent FDA oversight, products that are intended for RUO and are labeled as RUO are exempt from compliance with most FDA requirements, including premarket clearance or approval, manufacturing requirements and others. A product labeled RUO but which is actually intended for clinical diagnostic use may be viewed by the FDA as adulterated and misbranded under the Federal Food, Drug, and Cosmetic Act (“FDCA”), and subject to FDA enforcement action. The FDA has indicated that when determining the intended use of a product labeled RUO, the FDA will consider the totality of the circumstances surrounding distribution and use of the product, including how the product is marketed and to whom. The FDA could disagree with our assessment that our products are properly marketed as RUOs, or could conclude that products labeled as RUO are actually intended for clinical diagnostic use, and could take enforcement action against us, including requiring us to stop distribution of our products until we are in compliance with applicable regulations, which would reduce our revenue, increase our costs and adversely affect our business, prospects, results of operations and financial condition. In the event that the FDA requires us to obtain marketing authorization of our RUO products in the future, there can be no assurance that the FDA will grant any clearance or approval requested by us in a timely manner, or at all.</w:t>
      </w:r>
    </w:p>
    <w:p>
      <w:pPr>
        <w:spacing w:after="0" w:line="141" w:lineRule="exact"/>
        <w:rPr>
          <w:sz w:val="20"/>
          <w:szCs w:val="20"/>
          <w:color w:val="auto"/>
        </w:rPr>
      </w:pPr>
    </w:p>
    <w:p>
      <w:pPr>
        <w:jc w:val="both"/>
        <w:ind w:firstLine="578"/>
        <w:spacing w:after="0" w:line="268" w:lineRule="auto"/>
        <w:rPr>
          <w:sz w:val="20"/>
          <w:szCs w:val="20"/>
          <w:color w:val="auto"/>
        </w:rPr>
      </w:pPr>
      <w:r>
        <w:rPr>
          <w:rFonts w:ascii="Arial" w:cs="Arial" w:eastAsia="Arial" w:hAnsi="Arial"/>
          <w:sz w:val="17"/>
          <w:szCs w:val="17"/>
          <w:color w:val="auto"/>
        </w:rPr>
        <w:t>As part of our growth strategy, we plan to seek approval to offer our Aurora and Northern Lights systems for clinical use in the United States and in other countries. In the United States, before we can market a new medical device, or a new use of, new claim for or significant modification to an existing product, we must first receive either clearance under Section 510(k) of the FDCA, or approval of a premarket approval application from the FDA, unless an exemption applies. The process of obtaining approval or clearance from the FDA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approvals or clearances for any new products or for modifications to our existing products on a timely basis or that any approval or clearance will not be subsequently withdrawn or conditioned upon extensive post-market study requirements. Moreover, even if we receive FDA clearance or approval of new products or modifications to existing products, we will be required to comply with extensive regulations relating to the development, research, clearance, approval,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clearances or approvals, withdrawals or suspensions of current approvals, resulting in prohibitions on sales of our products, and in the most serious cases, criminal penalties. Occurrence of any of the foregoing could harm our reputation, business, financial condition, results of operations and prospects.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and our suppliers are subject to ongoing regulatory obligations and continued regulatory review, which may result in significant additional expense and subject us to penalties if we fail to comply with applicable regulatory requirements.</w:t>
      </w:r>
    </w:p>
    <w:p>
      <w:pPr>
        <w:spacing w:after="0" w:line="63" w:lineRule="exact"/>
        <w:rPr>
          <w:sz w:val="20"/>
          <w:szCs w:val="20"/>
          <w:color w:val="auto"/>
        </w:rPr>
      </w:pPr>
    </w:p>
    <w:p>
      <w:pPr>
        <w:jc w:val="both"/>
        <w:ind w:firstLine="578"/>
        <w:spacing w:after="0" w:line="272" w:lineRule="auto"/>
        <w:rPr>
          <w:sz w:val="20"/>
          <w:szCs w:val="20"/>
          <w:color w:val="auto"/>
        </w:rPr>
      </w:pPr>
      <w:r>
        <w:rPr>
          <w:rFonts w:ascii="Arial" w:cs="Arial" w:eastAsia="Arial" w:hAnsi="Arial"/>
          <w:sz w:val="17"/>
          <w:szCs w:val="17"/>
          <w:color w:val="auto"/>
        </w:rPr>
        <w:t>Any medical device we market will be subject to continued regulatory review, oversight, requirements, and periodic inspections by the FDA and other domestic and foreign regulatory bodies. In particular, unless exempt, we and our suppliers are required to comply with the FDA’s Quality System Regulation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 adequately respond to any adverse inspectional observations or product safety issues, could result in, among other things, any of the following enforcement actions:</w:t>
      </w:r>
    </w:p>
    <w:p>
      <w:pPr>
        <w:spacing w:after="0" w:line="150" w:lineRule="exact"/>
        <w:rPr>
          <w:sz w:val="20"/>
          <w:szCs w:val="20"/>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customer notifications for repair, replacement or refunds;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60</w:t>
      </w:r>
    </w:p>
    <w:p>
      <w:pPr>
        <w:spacing w:after="0" w:line="104"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510(k) clearances on PMA approvals that have already been granted;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85"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If any of these actions were to occur, our reputation would be harmed and our product sales and profitability would be adversely impacted.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43" w:lineRule="exact"/>
        <w:rPr>
          <w:sz w:val="20"/>
          <w:szCs w:val="20"/>
          <w:color w:val="auto"/>
        </w:rPr>
      </w:pPr>
    </w:p>
    <w:p>
      <w:pPr>
        <w:jc w:val="both"/>
        <w:ind w:firstLine="584"/>
        <w:spacing w:after="0" w:line="241" w:lineRule="auto"/>
        <w:rPr>
          <w:sz w:val="20"/>
          <w:szCs w:val="20"/>
          <w:color w:val="auto"/>
        </w:rPr>
      </w:pPr>
      <w:r>
        <w:rPr>
          <w:rFonts w:ascii="Arial" w:cs="Arial" w:eastAsia="Arial" w:hAnsi="Arial"/>
          <w:sz w:val="18"/>
          <w:szCs w:val="18"/>
          <w:color w:val="auto"/>
        </w:rPr>
        <w:t>Later discovery of previously unknown problems with our products, including manufacturing problems, or failure to comply with regulatory requirements such as the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62" w:lineRule="exact"/>
        <w:rPr>
          <w:sz w:val="20"/>
          <w:szCs w:val="20"/>
          <w:color w:val="auto"/>
        </w:rPr>
      </w:pPr>
    </w:p>
    <w:p>
      <w:pPr>
        <w:jc w:val="both"/>
        <w:ind w:firstLine="584"/>
        <w:spacing w:after="0" w:line="24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clearance or approval is withdrawn, it would have a material adverse effect on our business, financial condition and results of operations.</w:t>
      </w:r>
    </w:p>
    <w:p>
      <w:pPr>
        <w:spacing w:after="0" w:line="147" w:lineRule="exact"/>
        <w:rPr>
          <w:sz w:val="20"/>
          <w:szCs w:val="20"/>
          <w:color w:val="auto"/>
        </w:rPr>
      </w:pPr>
    </w:p>
    <w:p>
      <w:pPr>
        <w:jc w:val="both"/>
        <w:spacing w:after="0" w:line="356" w:lineRule="auto"/>
        <w:rPr>
          <w:sz w:val="20"/>
          <w:szCs w:val="20"/>
          <w:color w:val="auto"/>
        </w:rPr>
      </w:pPr>
      <w:r>
        <w:rPr>
          <w:rFonts w:ascii="Arial" w:cs="Arial" w:eastAsia="Arial" w:hAnsi="Arial"/>
          <w:sz w:val="15"/>
          <w:szCs w:val="15"/>
          <w:b w:val="1"/>
          <w:bCs w:val="1"/>
          <w:i w:val="1"/>
          <w:iCs w:val="1"/>
          <w:color w:val="auto"/>
        </w:rPr>
        <w:t>Our products or any component thereof may be subject to product recalls in the future. A recall of our products, either voluntarily or at the direction of the FDA or another governmental authority, or the discovery of serious safety issues with our products, could have a significant adverse impact on us.</w:t>
      </w:r>
    </w:p>
    <w:p>
      <w:pPr>
        <w:spacing w:after="0" w:line="1" w:lineRule="exact"/>
        <w:rPr>
          <w:sz w:val="20"/>
          <w:szCs w:val="20"/>
          <w:color w:val="auto"/>
        </w:rPr>
      </w:pPr>
    </w:p>
    <w:p>
      <w:pPr>
        <w:jc w:val="both"/>
        <w:ind w:firstLine="584"/>
        <w:spacing w:after="0" w:line="252" w:lineRule="auto"/>
        <w:rPr>
          <w:sz w:val="20"/>
          <w:szCs w:val="20"/>
          <w:color w:val="auto"/>
        </w:rPr>
      </w:pPr>
      <w:r>
        <w:rPr>
          <w:rFonts w:ascii="Arial" w:cs="Arial" w:eastAsia="Arial" w:hAnsi="Arial"/>
          <w:sz w:val="17"/>
          <w:szCs w:val="17"/>
          <w:color w:val="auto"/>
        </w:rPr>
        <w:t>The FDA has the authority to require the recall of commercialized products that are subject to FDA regulation. Manufacturers may, under their own initiative, recall a product if any deficiency is found. For reportable corrections and removals, companies are required to make additional periodic submissions to the FDA after initiating the recall, and often engage with the FDA on their recall strategy prior to initiating the recall. A government-mandated or voluntary recall by us or one of our distributors could occur as a result of an unacceptable health risk, component failures, failures in laboratory processes, malfunctions, manufacturing errors, design or labeling defects, or other deficiencies and issues. Recalls of any of our products would divert managerial and financial resources and adversely affect our business, results of operations, financial condition and reputation. We may also be subject to liability claims, be required to bear other costs or take other actions that may negatively impact our future sales and our ability to generate profits. Companies are also required to maintain certain records of corrections and removals, even if these do not require reporting to the FDA. We may initiate voluntary recalls involving our products. A recall announcement by us could harm our reputation with customers and negatively affect our business, financial condition, and results of operations. In addition, the FDA or other agency could take enforcement action for failing to report the recalls when they were conducted.</w:t>
      </w:r>
    </w:p>
    <w:p>
      <w:pPr>
        <w:spacing w:after="0" w:line="159" w:lineRule="exact"/>
        <w:rPr>
          <w:sz w:val="20"/>
          <w:szCs w:val="20"/>
          <w:color w:val="auto"/>
        </w:rPr>
      </w:pPr>
    </w:p>
    <w:p>
      <w:pPr>
        <w:jc w:val="both"/>
        <w:ind w:firstLine="584"/>
        <w:spacing w:after="0" w:line="241" w:lineRule="auto"/>
        <w:rPr>
          <w:sz w:val="20"/>
          <w:szCs w:val="20"/>
          <w:color w:val="auto"/>
        </w:rPr>
      </w:pPr>
      <w:r>
        <w:rPr>
          <w:rFonts w:ascii="Arial" w:cs="Arial" w:eastAsia="Arial" w:hAnsi="Arial"/>
          <w:sz w:val="18"/>
          <w:szCs w:val="18"/>
          <w:color w:val="auto"/>
        </w:rPr>
        <w:t>If we initiate a recall, including a correction or removal, for one of our products, issue a safety alert, or undertake a field action or recall to reduce a health risk, this could lead to increased scrutiny by the FDA, other governmental and regulatory enforcement bodies, and our customers regarding the quality and safety of our products, and to negative publicity, including FDA alerts, press releases, or administrative or judicial actions. Furthermore, the submission of these reports could be used against us by competitors and cause customers to delay purchase decisions or cancel orders, which would harm our reputation.</w:t>
      </w:r>
    </w:p>
    <w:p>
      <w:pPr>
        <w:spacing w:after="0" w:line="149"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The misuse or off-label use of our products may harm our reputation in the marketplace, or result in injuries that lead to product liability suits, which could be costly to our business. Moreover, we could be subject to FDA sanctions if we are deemed to have engaged in off-label promotion.</w:t>
      </w:r>
    </w:p>
    <w:p>
      <w:pPr>
        <w:spacing w:after="0" w:line="16" w:lineRule="exact"/>
        <w:rPr>
          <w:sz w:val="20"/>
          <w:szCs w:val="20"/>
          <w:color w:val="auto"/>
        </w:rPr>
      </w:pPr>
    </w:p>
    <w:p>
      <w:pPr>
        <w:jc w:val="both"/>
        <w:ind w:firstLine="578"/>
        <w:spacing w:after="0" w:line="254" w:lineRule="auto"/>
        <w:rPr>
          <w:sz w:val="20"/>
          <w:szCs w:val="20"/>
          <w:color w:val="auto"/>
        </w:rPr>
      </w:pPr>
      <w:r>
        <w:rPr>
          <w:rFonts w:ascii="Arial" w:cs="Arial" w:eastAsia="Arial" w:hAnsi="Arial"/>
          <w:sz w:val="18"/>
          <w:szCs w:val="18"/>
          <w:color w:val="auto"/>
        </w:rPr>
        <w:t>Our promotional materials and training methods must comply with FDA and other applicable laws and regulations, including the prohibition on the promotion of an RUO device or medical device for an indication that has not been approved or cleared by the FDA, referred to as an off-label use. We cannot prevent our customers from using our products for off-label uses, including in laboratory developed tests for clinical use. If the FDA determines that our promotional materials constitute the unlawful promotion of an off-label use, it could subject us to regulatory or enforcement actions, including civil money penalties, criminal fines and penalties, and exclusion from participation in federal health programs, among others. Other federal, state or foreign governmental authorities might also take action if they consider our promotion or training materials to constitute promotion of an off-label use, which could result in significant fines or penalties under other statutory authorities. In that event, our reputation could be damaged and the use of our products in the marketplace could be diminished.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61</w:t>
      </w:r>
    </w:p>
    <w:p>
      <w:pPr>
        <w:spacing w:after="0" w:line="104" w:lineRule="exact"/>
        <w:rPr>
          <w:sz w:val="20"/>
          <w:szCs w:val="20"/>
          <w:color w:val="auto"/>
        </w:rPr>
      </w:pPr>
    </w:p>
    <w:p>
      <w:pPr>
        <w:jc w:val="both"/>
        <w:ind w:firstLine="578"/>
        <w:spacing w:after="0" w:line="259" w:lineRule="auto"/>
        <w:rPr>
          <w:sz w:val="20"/>
          <w:szCs w:val="20"/>
          <w:color w:val="auto"/>
        </w:rPr>
      </w:pPr>
      <w:r>
        <w:rPr>
          <w:rFonts w:ascii="Arial" w:cs="Arial" w:eastAsia="Arial" w:hAnsi="Arial"/>
          <w:sz w:val="18"/>
          <w:szCs w:val="18"/>
          <w:color w:val="auto"/>
        </w:rPr>
        <w:t>Furthermore, off-label uses of our products may lead to performance issues or produce erroneous results, which could harm our reputation in the marketplace and increase the risk of product liability. Product liability claims are expensive to defend and could divert our management’s attention from our primary business and result in substantial damage awards against us. Any of these events could harm our business, results of operations and financial condition.</w:t>
      </w:r>
    </w:p>
    <w:p>
      <w:pPr>
        <w:spacing w:after="0" w:line="16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Changes in tariffs or other government trade policies may materially adversely affect our business and results of operations, including by reducing demand for our products.</w:t>
      </w:r>
    </w:p>
    <w:p>
      <w:pPr>
        <w:spacing w:after="0" w:line="63" w:lineRule="exact"/>
        <w:rPr>
          <w:sz w:val="20"/>
          <w:szCs w:val="20"/>
          <w:color w:val="auto"/>
        </w:rPr>
      </w:pPr>
    </w:p>
    <w:p>
      <w:pPr>
        <w:jc w:val="both"/>
        <w:ind w:firstLine="578"/>
        <w:spacing w:after="0" w:line="268" w:lineRule="auto"/>
        <w:rPr>
          <w:sz w:val="20"/>
          <w:szCs w:val="20"/>
          <w:color w:val="auto"/>
        </w:rPr>
      </w:pPr>
      <w:r>
        <w:rPr>
          <w:rFonts w:ascii="Arial" w:cs="Arial" w:eastAsia="Arial" w:hAnsi="Arial"/>
          <w:sz w:val="17"/>
          <w:szCs w:val="17"/>
          <w:color w:val="auto"/>
        </w:rPr>
        <w:t>The imposition of tariffs and trade restrictions as a result of international trade disputes or changes in trade policies may adversely affect our sales and profitability. For example, in 2018 and 2019, the U.S. government imposed and proposed, among other actions, new or higher tariffs on specified imported products originating from China in response to what it characterized as unfair trade practices, and China responded by imposing and proposing new or higher tariffs on specified U.S. products. There can be no assurance that a broader trade agreement will be successfully negotiated between the United States and China to reduce or eliminate these tariffs. These tariffs, and the related geopolitical uncertainty between the United States and China, may cause decreased demand for our products, which could have a material adverse effect on our business and results of operations. For example, certain of our foreign customers may respond to the imposition of tariffs or threat of tariffs on products we produce by delaying purchase orders or purchasing products from our competitors. Ongoing international trade disputes and changes in trade policies could also impact economic activity and lead to a general contraction of customer demand. In addition, tariffs on components that we may import from China or other nations will adversely affect our profitability unless we are able to exclude such components from the tariffs or we raise prices for our products, which may result in our products becoming less attractive relative to products offered by our competitors. Future actions or escalations by either the United States or China that affect trade relations may also negatively affect our business, or that of our suppliers or customers, and we cannot provide any assurances as to whether such actions will occur or the form that they may take. To the extent that our sales or profitability are negatively affected by any such tariffs or other trade actions, our business and results of operations may be materially adversely affected.</w:t>
      </w:r>
    </w:p>
    <w:p>
      <w:pPr>
        <w:spacing w:after="0" w:line="14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are subject to governmental export controls that could impair our ability to compete in international markets due to licensing requirements and subject us to liability if we are not in compliance with applicable laws.</w:t>
      </w:r>
    </w:p>
    <w:p>
      <w:pPr>
        <w:spacing w:after="0" w:line="63" w:lineRule="exact"/>
        <w:rPr>
          <w:sz w:val="20"/>
          <w:szCs w:val="20"/>
          <w:color w:val="auto"/>
        </w:rPr>
      </w:pPr>
    </w:p>
    <w:p>
      <w:pPr>
        <w:jc w:val="both"/>
        <w:ind w:firstLine="578"/>
        <w:spacing w:after="0" w:line="271" w:lineRule="auto"/>
        <w:rPr>
          <w:sz w:val="20"/>
          <w:szCs w:val="20"/>
          <w:color w:val="auto"/>
        </w:rPr>
      </w:pPr>
      <w:r>
        <w:rPr>
          <w:rFonts w:ascii="Arial" w:cs="Arial" w:eastAsia="Arial" w:hAnsi="Arial"/>
          <w:sz w:val="17"/>
          <w:szCs w:val="17"/>
          <w:color w:val="auto"/>
        </w:rPr>
        <w:t>Exports of our products are subject to export controls and sanctions laws and regulations imposed by the U.S. government and administered by the U.S. Departments of State, Commerce, and Treasury. U.S. export control laws may require a license or other authorization to export products to certain destinations and end users. In addition, U.S. economic sanctions laws include restrictions or prohibitions on the sale or supply of certain products and services to U.S. embargoed or sanctioned countries, governments, persons and entities. Obtaining export licenses can be difficult, costly and time-consuming and we may not always be successful in obtaining necessary export licenses, and our failure to obtain required export approval for our products or limitations on our ability to export or sell our products imposed by export control or sanctions laws may harm our revenues and adversely affect our business, financial condition, and results of operations. Noncompliance with these laws could have negative consequences, including government investigations, penalties and reputational harm.</w:t>
      </w:r>
    </w:p>
    <w:p>
      <w:pPr>
        <w:spacing w:after="0" w:line="15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We are subject to stringent and changing data privacy and security laws, regulations and standards as well as policies, contracts and other obligations related to data privacy and security. Our actual or perceived failure to comply with such obligations could lead to government enforcement actions (that could include fines and penalties), a disruption of our business or commercialization of our products, private litigation, harm to our reputation, or other adverse effects on our business or prospects.</w:t>
      </w:r>
    </w:p>
    <w:p>
      <w:pPr>
        <w:spacing w:after="0" w:line="80" w:lineRule="exact"/>
        <w:rPr>
          <w:sz w:val="20"/>
          <w:szCs w:val="20"/>
          <w:color w:val="auto"/>
        </w:rPr>
      </w:pPr>
    </w:p>
    <w:p>
      <w:pPr>
        <w:jc w:val="both"/>
        <w:ind w:firstLine="584"/>
        <w:spacing w:after="0" w:line="270" w:lineRule="auto"/>
        <w:rPr>
          <w:sz w:val="20"/>
          <w:szCs w:val="20"/>
          <w:color w:val="auto"/>
        </w:rPr>
      </w:pPr>
      <w:r>
        <w:rPr>
          <w:rFonts w:ascii="Arial" w:cs="Arial" w:eastAsia="Arial" w:hAnsi="Arial"/>
          <w:sz w:val="17"/>
          <w:szCs w:val="17"/>
          <w:color w:val="auto"/>
        </w:rPr>
        <w:t>In the course of our operations, we process an increasing volume of personal data, including from our employees and third parties with whom we conduct business. Accordingly, we are, and may increasingly become, subject to various data privacy and security laws, the number and scope of which are changing, subject to differing applications and interpretations, may be inconsistent among jurisdictions, and may conflict with each other.</w:t>
      </w:r>
    </w:p>
    <w:p>
      <w:pPr>
        <w:spacing w:after="0" w:line="123" w:lineRule="exact"/>
        <w:rPr>
          <w:sz w:val="20"/>
          <w:szCs w:val="20"/>
          <w:color w:val="auto"/>
        </w:rPr>
      </w:pPr>
    </w:p>
    <w:p>
      <w:pPr>
        <w:jc w:val="both"/>
        <w:ind w:firstLine="584"/>
        <w:spacing w:after="0" w:line="253" w:lineRule="auto"/>
        <w:rPr>
          <w:sz w:val="20"/>
          <w:szCs w:val="20"/>
          <w:color w:val="auto"/>
        </w:rPr>
      </w:pPr>
      <w:r>
        <w:rPr>
          <w:rFonts w:ascii="Arial" w:cs="Arial" w:eastAsia="Arial" w:hAnsi="Arial"/>
          <w:sz w:val="17"/>
          <w:szCs w:val="17"/>
          <w:color w:val="auto"/>
        </w:rPr>
        <w:t>In the United States, federal, state, and local governments have enacted numerous data privacy and security laws, including data breach notification laws, personal data privacy and security laws, and consumer protection laws. For example, the federal Health Insurance Portability and Accountability Act of 1996 (“HIPAA”), as amended by the Health Information Technology for Economic and Clinical Health Act (“HITECH”), imposes specific requirements relating to the privacy, security, and transmission of individually identifiable health information. The California Consumer Privacy Act of 2018 (“CCPA”) imposes obligations on businesses to which it applies. These obligations include, but are not limited to, providing specific disclosures in privacy notices and affording California residents certain rights related to their personal data. The CCPA allows for statutory fines for noncompliance (up to $7,500 per violation). In addition, it is anticipated that the California Privacy Rights Act of 2020 (“CPRA”), effective January 1, 2023, will expand the CCPA. For example, the CPRA establishes a new California Privacy Protection Agency to implement and enforce the CCPA (as amended), which could increase the risk of an enforcement action. Other states have enacted data privacy and security laws. For example, Virginia passed the Consumer Data Protection Act, and Colorado passed the Colorado Privacy Act, both of which differ from the CPRA and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62</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become effective in 2023. If we become subject to new data privacy and security laws, the risk of enforcement action against us could increase because we may become subject to additional obligations, and the number of individuals or entities that can initiate actions against us may increase (including individuals via a private right of action and state actors).</w:t>
      </w:r>
    </w:p>
    <w:p>
      <w:pPr>
        <w:spacing w:after="0" w:line="155" w:lineRule="exact"/>
        <w:rPr>
          <w:sz w:val="20"/>
          <w:szCs w:val="20"/>
          <w:color w:val="auto"/>
        </w:rPr>
      </w:pPr>
    </w:p>
    <w:p>
      <w:pPr>
        <w:jc w:val="both"/>
        <w:ind w:firstLine="584"/>
        <w:spacing w:after="0" w:line="252" w:lineRule="auto"/>
        <w:rPr>
          <w:sz w:val="20"/>
          <w:szCs w:val="20"/>
          <w:color w:val="auto"/>
        </w:rPr>
      </w:pPr>
      <w:r>
        <w:rPr>
          <w:rFonts w:ascii="Arial" w:cs="Arial" w:eastAsia="Arial" w:hAnsi="Arial"/>
          <w:sz w:val="17"/>
          <w:szCs w:val="17"/>
          <w:color w:val="auto"/>
        </w:rPr>
        <w:t>Outside the United States, an increasing number of laws, regulations, and industry standards apply to data privacy and security. For example, the European Union’s General Data Protection Regulation (“EU GDPR”) and the United Kingdom’s General Data Protection Regulation (“UK GDPR”) impose strict requirements for processing the personal data of individuals located, respectively within the European Economic Area (“EEA”) and the United Kingdom (“UK”). For example, under the EU GDPR, government regulators may impose temporary or definitive bans on data processing, as well as fines of up to 20 million euros or 4% of annual global revenue, whichever is greater. Further, individuals may initiate litigation related to our processing of their personal data. Other countries outside of Europe have enacted or are considering enacting similar comprehensive data privacy and security laws and regulations, which could increase the cost and complexity of delivering our services and operating our business. For example, China’s cybersecurity law, which took effect in June 2017, and the Personal Information Protection Law, which took effect on November 1, 2021, broadly regulate data privacy and security practices and their applicability and scope are evolving and aspects of the law are uncertain. As another example, Canada has enacted the Personal Information Protection and Electronic Documents Act and Canada’s Anti-Spam Legislation, which broadly regulate the Processing of personal data and imposes compliance obligations and penalties comparable to those of European data privacy and security laws. Complying with these and other similar laws and regulations (to the extent applicable) may cause us to incur substantial operational costs or require us to change our business practices, and could lead to material fines, penalties and liability.</w:t>
      </w:r>
    </w:p>
    <w:p>
      <w:pPr>
        <w:spacing w:after="0" w:line="140" w:lineRule="exact"/>
        <w:rPr>
          <w:sz w:val="20"/>
          <w:szCs w:val="20"/>
          <w:color w:val="auto"/>
        </w:rPr>
      </w:pPr>
    </w:p>
    <w:p>
      <w:pPr>
        <w:jc w:val="both"/>
        <w:ind w:firstLine="584"/>
        <w:spacing w:after="0" w:line="267" w:lineRule="auto"/>
        <w:rPr>
          <w:sz w:val="20"/>
          <w:szCs w:val="20"/>
          <w:color w:val="auto"/>
        </w:rPr>
      </w:pPr>
      <w:r>
        <w:rPr>
          <w:rFonts w:ascii="Arial" w:cs="Arial" w:eastAsia="Arial" w:hAnsi="Arial"/>
          <w:sz w:val="16"/>
          <w:szCs w:val="16"/>
          <w:color w:val="auto"/>
        </w:rPr>
        <w:t>In addition, many jurisdictions have enacted data localization laws and cross-border persona data transfer laws. These laws may make it more difficult for us to transfer personal data across jurisdictions, which could impede our business. Certain jurisdictions have enacted data localization laws and cross-border personal data transfer laws. For example, absent appropriate safeguards or other circumstances, the EU GDPR generally restricts the transfer of personal data to countries outside of the EEA, such as the United States, which the European Commission does not consider to provide an adequate level of data privacy and security. The European Commission released a set of Standard Contractual Clauses that are designed to be a mechanism by which entities can transfer personal data out of the EEA to jurisdictions that the European Commission has not found to provide an adequate level of protection. Currently, these Standard Contractual clauses are a valid mechanism to transfer personal data outside of the EEA. The Standard Contractual Clauses, however, require parties that rely upon that legal mechanism to comply with additional obligations, such as conducting transfer impact assessments to determine whether additional security measures are necessary to protect the at-issue personal data. Moreover, due to potential legal challenges, there exists some uncertainty regarding whether the Standard Contractual Clauses will remain a valid mechanism for transfers of personal data out of the EEA. In addition, laws in Switzerland and the UK similarly restrict transfers of personal data outside of those jurisdictions to countries such as the United States of America that do not provide an adequate level of personal data protection. In addition to European restrictions on cross-border transfers of personal data, other jurisdictions have enacted or are considering similar cross-border personal data transfer laws and local personal data residency laws, any of which could increase the cost and complexity of doing business. If we cannot implement a valid compliance mechanism for cross-border data privacy and security transfers, we may face increased exposure to regulatory actions, substantial fines, and injunctions against processing or transferring personal data from Europe or elsewhere. The inability to import personal data to the United States could significantly and negatively impact our business operations, including by limiting our ability to collaborate with parties that are subject to European and other data privacy and security laws or requiring us to increase our personal data processing capabilities in Europe and/or elsewhere at significant expense.</w:t>
      </w:r>
    </w:p>
    <w:p>
      <w:pPr>
        <w:spacing w:after="0" w:line="150" w:lineRule="exact"/>
        <w:rPr>
          <w:sz w:val="20"/>
          <w:szCs w:val="20"/>
          <w:color w:val="auto"/>
        </w:rPr>
      </w:pPr>
    </w:p>
    <w:p>
      <w:pPr>
        <w:jc w:val="both"/>
        <w:ind w:firstLine="584"/>
        <w:spacing w:after="0" w:line="239" w:lineRule="auto"/>
        <w:rPr>
          <w:sz w:val="20"/>
          <w:szCs w:val="20"/>
          <w:color w:val="auto"/>
        </w:rPr>
      </w:pPr>
      <w:r>
        <w:rPr>
          <w:rFonts w:ascii="Arial" w:cs="Arial" w:eastAsia="Arial" w:hAnsi="Arial"/>
          <w:sz w:val="18"/>
          <w:szCs w:val="18"/>
          <w:color w:val="auto"/>
        </w:rPr>
        <w:t>Privacy advocates and industry groups have proposed, and may propose in the future, standards with which we are legally or contractually bound to comply. For example, we are also/may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may also rely on vendors to process payment card data, and those vendors may be subject to PCI DSS, and our business may be negatively affected if our vendors are fined or suffer other consequences as a result of PCI DSS noncompliance.</w:t>
      </w:r>
    </w:p>
    <w:p>
      <w:pPr>
        <w:spacing w:after="0" w:line="150"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6"/>
          <w:szCs w:val="16"/>
          <w:color w:val="auto"/>
        </w:rPr>
        <w:t>Our obligations related to data privacy and security are quickly changing in an increasingly stringent fashion.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These obligations may necessitate changes to our information technologies, systems, and practices and to those of any third parties that process personal data on our behalf.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upon whom we rely may fail to comply with such obligations which could impact our compliance posture. If we fail, or are perceived to have failed, to address or comply with data privacy and security obligations, we could face significant consequences. These consequences may include, but are not limited to, government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63</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enforcement actions (e.g., investigations, fines, penalties, audits, inspections, and similar), litigation (including class-related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inability to process personal data or to operate in certain jurisdictions, limited ability to develop or commercialize our products, expenditure of time and resources to defend any claim or inquiry, adverse publicity, or revision or restructuring of our operations.</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are subject to U.S. and certain foreign anti-corruption and anti-money laundering laws and regulations. We can face criminal liability and other serious consequences for violations, which can harm our business.</w:t>
      </w:r>
    </w:p>
    <w:p>
      <w:pPr>
        <w:spacing w:after="0" w:line="63" w:lineRule="exact"/>
        <w:rPr>
          <w:sz w:val="20"/>
          <w:szCs w:val="20"/>
          <w:color w:val="auto"/>
        </w:rPr>
      </w:pPr>
    </w:p>
    <w:p>
      <w:pPr>
        <w:jc w:val="both"/>
        <w:ind w:firstLine="584"/>
        <w:spacing w:after="0" w:line="239" w:lineRule="auto"/>
        <w:rPr>
          <w:sz w:val="20"/>
          <w:szCs w:val="20"/>
          <w:color w:val="auto"/>
        </w:rPr>
      </w:pPr>
      <w:r>
        <w:rPr>
          <w:rFonts w:ascii="Arial" w:cs="Arial" w:eastAsia="Arial" w:hAnsi="Arial"/>
          <w:sz w:val="18"/>
          <w:szCs w:val="18"/>
          <w:color w:val="auto"/>
        </w:rPr>
        <w:t>We are subject to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 other third-party collaborators from authorizing, promising, offering, providing, soliciting or receiving, directly or indirectly, improper payments or anything else of value to or from persons in the public or private sector. The FCPA also requires public companies to make and keep books and records that accurately and fairly reflect the transactions of the corporation and to devise and maintain an adequate system of internal accounting controls.</w:t>
      </w:r>
    </w:p>
    <w:p>
      <w:pPr>
        <w:spacing w:after="0" w:line="150"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7"/>
          <w:szCs w:val="17"/>
          <w:color w:val="auto"/>
        </w:rPr>
        <w:t>In addition to selling our products internationally directly through our sales teams, we currently engage third parties outside of the United States, and may engage additional third parties outside of the United States, to sell our products internationally and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5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b w:val="1"/>
          <w:bCs w:val="1"/>
          <w:i w:val="1"/>
          <w:iCs w:val="1"/>
          <w:color w:val="auto"/>
        </w:rPr>
        <w:t>If we fail to comply with U.S. federal and state fraud and abuse and other healthcare laws and regulations, including those relating to kickbacks and false claims, we could face substantial penalties and our business operations and financial condition could be harmed.</w:t>
      </w:r>
    </w:p>
    <w:p>
      <w:pPr>
        <w:spacing w:after="0" w:line="39" w:lineRule="exact"/>
        <w:rPr>
          <w:sz w:val="20"/>
          <w:szCs w:val="20"/>
          <w:color w:val="auto"/>
        </w:rPr>
      </w:pPr>
    </w:p>
    <w:p>
      <w:pPr>
        <w:jc w:val="both"/>
        <w:ind w:firstLine="584"/>
        <w:spacing w:after="0" w:line="279" w:lineRule="auto"/>
        <w:rPr>
          <w:sz w:val="20"/>
          <w:szCs w:val="20"/>
          <w:color w:val="auto"/>
        </w:rPr>
      </w:pPr>
      <w:r>
        <w:rPr>
          <w:rFonts w:ascii="Arial" w:cs="Arial" w:eastAsia="Arial" w:hAnsi="Arial"/>
          <w:sz w:val="16"/>
          <w:szCs w:val="16"/>
          <w:color w:val="auto"/>
        </w:rPr>
        <w:t>We are exposed to broadly applicable anti-fraud and abuse, anti-kickback, false claims and other healthcare laws and regulations that may constrain our business, our arrangements and relationships with customers, and how we market, sell and distribute our products. We have a compliance program, code of conduct and associated policies and procedures, but it is not always possible to identify and deter misconduct by our employees and other third parties, and the precautions we take to detect and prevent noncompliance may not be effective in protecting us from governmental investigations for failure to comply with applicable fraud and abuse or other healthcare laws and regulations. The laws that may affect our ability to operate include, among others:</w:t>
      </w:r>
    </w:p>
    <w:p>
      <w:pPr>
        <w:spacing w:after="0" w:line="119" w:lineRule="exact"/>
        <w:rPr>
          <w:sz w:val="20"/>
          <w:szCs w:val="20"/>
          <w:color w:val="auto"/>
        </w:rPr>
      </w:pPr>
    </w:p>
    <w:p>
      <w:pPr>
        <w:jc w:val="both"/>
        <w:ind w:left="1020" w:hanging="503"/>
        <w:spacing w:after="0" w:line="251" w:lineRule="auto"/>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Anti-Kickback Statute, which prohibits, among other things, knowingly and willingly soliciting, offering, receiving or paying remuneration, directly or indirectly, overtly or covertly, in cash or in kind, to induce or reward either the referral of a person, or the purchase, order or recommendation of, items or services for which payment may be made, in whole or in part, under a federal healthcare program such as the Medicare and Medicaid programs. The term “remuneration” has been broadly interpreted to include anything of value, and the government can establish a violation of the Anti-Kickback Statute without proving that a person or entity had actual knowledge of the law or a specific intent to violate. In addition, the government may assert that a claim, including items or services resulting from a violation of the Anti-Kickback Statute, constitutes a false or fraudulent claim for purposes of the FCA. There are a number of statutory exceptions and regulatory safe harbors protecting certain business arrangements from prosecution under the Anti-Kickback Statute; however, those exceptions and safe harbors are drawn narrowly, and there may be limited or no exception or safe harbor for many common business activities. Certain common business activities including, certain reimbursement support programs, educational and research grants or charitable donations, and practices that involve remuneration to those who prescribe, purchase or recommend medical devices, including discounts, providing items or services for free or engaging such people as consultants, advisors or speakers, may be subject to scrutiny if they do not fit squarely within any available exception or safe harbor and would be subject to a facts and circumstances analysis to determine compliance with the Anti-Kickback Statute. Our business may not in all cases meet all of the criteria for statutory exception or regulatory safe harbor protection from anti-kickback liability;</w:t>
      </w:r>
    </w:p>
    <w:p>
      <w:pPr>
        <w:spacing w:after="0" w:line="79" w:lineRule="exact"/>
        <w:rPr>
          <w:rFonts w:ascii="Arial" w:cs="Arial" w:eastAsia="Arial" w:hAnsi="Arial"/>
          <w:sz w:val="17"/>
          <w:szCs w:val="17"/>
          <w:color w:val="auto"/>
        </w:rPr>
      </w:pPr>
    </w:p>
    <w:p>
      <w:pPr>
        <w:jc w:val="both"/>
        <w:ind w:left="1020" w:hanging="503"/>
        <w:spacing w:after="0" w:line="241"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federal civil False Claims Act, or the FCA, which prohibits, among other things, persons or entities from knowingly presenting, or causing to be presented, a false or fraudulent claim for payment of government funds and knowingly making, using or causing to be made or used, a false record or statement to get a false claim paid or to avoid, decrease or conceal an obligation to pay money to the federal government. A claim including items or services resulting from a violation of the Anti-Kickback Statute constitutes a false or fraudulent claim for purposes of the FCA. Actions under the FCA may be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64</w:t>
      </w:r>
    </w:p>
    <w:p>
      <w:pPr>
        <w:spacing w:after="0" w:line="104" w:lineRule="exact"/>
        <w:rPr>
          <w:sz w:val="20"/>
          <w:szCs w:val="20"/>
          <w:color w:val="auto"/>
        </w:rPr>
      </w:pPr>
    </w:p>
    <w:p>
      <w:pPr>
        <w:jc w:val="both"/>
        <w:ind w:left="1020"/>
        <w:spacing w:after="0" w:line="252" w:lineRule="auto"/>
        <w:rPr>
          <w:sz w:val="20"/>
          <w:szCs w:val="20"/>
          <w:color w:val="auto"/>
        </w:rPr>
      </w:pPr>
      <w:r>
        <w:rPr>
          <w:rFonts w:ascii="Arial" w:cs="Arial" w:eastAsia="Arial" w:hAnsi="Arial"/>
          <w:sz w:val="17"/>
          <w:szCs w:val="17"/>
          <w:color w:val="auto"/>
        </w:rPr>
        <w:t>brought by the government or as a qui tam action by a private person in the name of the government. These people, sometimes known as “relators” or, more commonly, as “whistleblowers,” may share in any monetary recovery. Many medical device manufacturers have been investigated and have reached substantial financial settlements with the federal government under the FCA for a variety of alleged improper activities, including causing false claims to be submitted as a result of the marketing of their products for unapproved and thus non-reimbursable uses and interactions with prescribers and other customers, including those that may have affected their billing or coding practices and submission of claims to the federal government. FCA liability is potentially significant in the healthcare industry because the statute provides for treble damages and mandatory monetary penalties for each false or fraudulent claim or statement. Because of the potential for large monetary exposure, life sciences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Medical device manufacturers and other healthcare companies also are subject to other federal false claims laws, including, among others, federal criminal healthcare fraud and false statement statutes that extend to non-government health benefit programs;</w:t>
      </w:r>
    </w:p>
    <w:p>
      <w:pPr>
        <w:spacing w:after="0" w:line="72" w:lineRule="exact"/>
        <w:rPr>
          <w:sz w:val="20"/>
          <w:szCs w:val="20"/>
          <w:color w:val="auto"/>
        </w:rPr>
      </w:pPr>
    </w:p>
    <w:p>
      <w:pPr>
        <w:jc w:val="both"/>
        <w:ind w:left="1020" w:hanging="503"/>
        <w:spacing w:after="0" w:line="257"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HIPAA,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67" w:lineRule="exact"/>
        <w:rPr>
          <w:rFonts w:ascii="Arial" w:cs="Arial" w:eastAsia="Arial" w:hAnsi="Arial"/>
          <w:sz w:val="17"/>
          <w:szCs w:val="17"/>
          <w:color w:val="auto"/>
        </w:rPr>
      </w:pPr>
    </w:p>
    <w:p>
      <w:pPr>
        <w:jc w:val="both"/>
        <w:ind w:left="1020" w:hanging="503"/>
        <w:spacing w:after="0" w:line="24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Act, and their implementing regulations, also impose obligations, including mandatory contractual terms, on covered entities subject to the rule, such as health plans, healthcare clearinghouses and certain healthcare providers, as well as their business associates that perform certain services for them or on their behalf involving the use or disclosure of individually identifiable health information with respect to safeguarding the privacy, security and transmission of individually identifiable health information;</w:t>
      </w:r>
    </w:p>
    <w:p>
      <w:pPr>
        <w:spacing w:after="0" w:line="81" w:lineRule="exact"/>
        <w:rPr>
          <w:rFonts w:ascii="Arial" w:cs="Arial" w:eastAsia="Arial" w:hAnsi="Arial"/>
          <w:sz w:val="18"/>
          <w:szCs w:val="18"/>
          <w:color w:val="auto"/>
        </w:rPr>
      </w:pPr>
    </w:p>
    <w:p>
      <w:pPr>
        <w:jc w:val="both"/>
        <w:ind w:left="1020" w:hanging="503"/>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various state laws govern the privacy and security of personal information, including the California Consumer Protection Act, or CCPA, which became effective January 1, 2020, and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w:t>
      </w:r>
    </w:p>
    <w:p>
      <w:pPr>
        <w:spacing w:after="0" w:line="81" w:lineRule="exact"/>
        <w:rPr>
          <w:rFonts w:ascii="Arial" w:cs="Arial" w:eastAsia="Arial" w:hAnsi="Arial"/>
          <w:sz w:val="18"/>
          <w:szCs w:val="18"/>
          <w:color w:val="auto"/>
        </w:rPr>
      </w:pPr>
    </w:p>
    <w:p>
      <w:pPr>
        <w:jc w:val="both"/>
        <w:ind w:left="1020" w:hanging="503"/>
        <w:spacing w:after="0" w:line="238"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Physician Payments Sunshine Act, implemented as Open Payments,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as defined by such law, and teaching hospitals, and requires applicable manufacturers and group purchasing organizations to report annually to CMS ownership and investment interests held by physicians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certified nurse anesthetists and certified nurse-midwives; and</w:t>
      </w:r>
    </w:p>
    <w:p>
      <w:pPr>
        <w:spacing w:after="0" w:line="85" w:lineRule="exact"/>
        <w:rPr>
          <w:rFonts w:ascii="Arial" w:cs="Arial" w:eastAsia="Arial" w:hAnsi="Arial"/>
          <w:sz w:val="18"/>
          <w:szCs w:val="18"/>
          <w:color w:val="auto"/>
        </w:rPr>
      </w:pPr>
    </w:p>
    <w:p>
      <w:pPr>
        <w:jc w:val="both"/>
        <w:ind w:left="1020" w:hanging="503"/>
        <w:spacing w:after="0" w:line="254"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analogous state and foreign law equivalents of each of the above federal laws, such as anti-kickback and false claims laws which may apply to items or services reimbursed by any third-party payor, including commercial insurers; state laws that require medical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which are state laws that require medical device manufacturers to report information related to payments and other transfers of value to physicians and other healthcare providers or marketing expenditures; and state and foreign laws governing the privacy and security of health information in certain circumstances, many of which differ from each other in significant ways and may not have the same effect, thus complicating compliance efforts.</w:t>
      </w:r>
    </w:p>
    <w:p>
      <w:pPr>
        <w:spacing w:after="0" w:line="73" w:lineRule="exact"/>
        <w:rPr>
          <w:sz w:val="20"/>
          <w:szCs w:val="20"/>
          <w:color w:val="auto"/>
        </w:rPr>
      </w:pPr>
    </w:p>
    <w:p>
      <w:pPr>
        <w:jc w:val="both"/>
        <w:ind w:firstLine="584"/>
        <w:spacing w:after="0" w:line="241" w:lineRule="auto"/>
        <w:rPr>
          <w:sz w:val="20"/>
          <w:szCs w:val="20"/>
          <w:color w:val="auto"/>
        </w:rPr>
      </w:pPr>
      <w:r>
        <w:rPr>
          <w:rFonts w:ascii="Arial" w:cs="Arial" w:eastAsia="Arial" w:hAnsi="Arial"/>
          <w:sz w:val="18"/>
          <w:szCs w:val="18"/>
          <w:color w:val="auto"/>
        </w:rPr>
        <w:t>State and federal regulatory and enforcement agencies continue to actively investigate violations of healthcare laws and regulations, and the U.S. Congress continues to strengthen the arsenal of enforcement tools. Most recently, the Bipartisan Budget Act of 2018, or the BBA, increased the criminal and civil penalties that can be imposed for violating certain federal health care laws, including the Anti-Kickback Statute. Enforcement agencies also continue to pursue novel theories of liability under these laws. In particular, government agencies have increased regulatory scrutiny and enforcement activity with respect to manufacturer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65</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reimbursement support activities, including bringing criminal charges or civil enforcement actions under the Anti-Kickback Statute, FCA and HIPAA’s healthcare fraud and privacy provisions.</w:t>
      </w:r>
    </w:p>
    <w:p>
      <w:pPr>
        <w:spacing w:after="0" w:line="63" w:lineRule="exact"/>
        <w:rPr>
          <w:sz w:val="20"/>
          <w:szCs w:val="20"/>
          <w:color w:val="auto"/>
        </w:rPr>
      </w:pPr>
    </w:p>
    <w:p>
      <w:pPr>
        <w:jc w:val="both"/>
        <w:ind w:firstLine="578"/>
        <w:spacing w:after="0" w:line="257"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under such laws, it is possible that some of our business activities, including certain sales and marketing practices of our products, could be subject to challenge under one or more such laws. If an arrangement were deemed to violate the Anti-Kickback Statute, it may also subject us to violations under other fraud and abuse laws such as the federal civil FCA and civil monetary penalties laws. Moreover, such arrangements could be found to violate comparable state fraud and abuse laws.</w:t>
      </w:r>
    </w:p>
    <w:p>
      <w:pPr>
        <w:spacing w:after="0" w:line="161" w:lineRule="exact"/>
        <w:rPr>
          <w:sz w:val="20"/>
          <w:szCs w:val="20"/>
          <w:color w:val="auto"/>
        </w:rPr>
      </w:pPr>
    </w:p>
    <w:p>
      <w:pPr>
        <w:jc w:val="both"/>
        <w:ind w:firstLine="578"/>
        <w:spacing w:after="0" w:line="287" w:lineRule="auto"/>
        <w:rPr>
          <w:sz w:val="20"/>
          <w:szCs w:val="20"/>
          <w:color w:val="auto"/>
        </w:rPr>
      </w:pPr>
      <w:r>
        <w:rPr>
          <w:rFonts w:ascii="Arial" w:cs="Arial" w:eastAsia="Arial" w:hAnsi="Arial"/>
          <w:sz w:val="16"/>
          <w:szCs w:val="16"/>
          <w:color w:val="auto"/>
        </w:rPr>
        <w:t>Achieving and sustaining compliance with applicable federal and state anti-fraud and abuse laws may prove costly. If we or our employees are found to have violated any of the above laws we may be subjected to substantial criminal, civil and administrative penalties, including imprisonment, exclusion from participation in federal healthcare programs, such as Medicare and Medicaid, and significant fines, monetary penalties, forfeiture, disgorgement and damages, contractual damages, reputational harm, administrative burdens, diminished profits and future earnings and the curtailment or restructuring of our operations, any of which could adversely affect our ability to operate our business and our financial results. Any action or investigation against us for the violation of these healthcare fraud and abuse laws, even if successfully defended, could result in significant legal expenses and could divert our management’s attention from the operation of our business. Companies settling FCA, Anti-Kickback Statute or civil monetary penalties law cases also may enter into a Corporate Integrity Agreement with the U.S. Department of Health and Human Services Office of Inspector General, or the OIG, to avoid exclusion from participation (such as loss of coverage for their products) in federal healthcare programs such as Medicare and Medicaid. Corporate Integrity Agreements typically impose substantial costs on companies to ensure compliance. Defending against any such actions can be costly, time-consuming and may require significant personnel resources, and may harm our business, financial condition and results of operations.</w:t>
      </w:r>
    </w:p>
    <w:p>
      <w:pPr>
        <w:spacing w:after="0" w:line="131" w:lineRule="exact"/>
        <w:rPr>
          <w:sz w:val="20"/>
          <w:szCs w:val="20"/>
          <w:color w:val="auto"/>
        </w:rPr>
      </w:pPr>
    </w:p>
    <w:p>
      <w:pPr>
        <w:jc w:val="both"/>
        <w:ind w:right="20"/>
        <w:spacing w:after="0" w:line="356"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and vendors may engage in misconduct or other improper activities, including noncompliance with regulatory standards and requirements, which could harm our business, financial condition and results of operations.</w:t>
      </w:r>
    </w:p>
    <w:p>
      <w:pPr>
        <w:spacing w:after="0" w:line="1" w:lineRule="exact"/>
        <w:rPr>
          <w:sz w:val="20"/>
          <w:szCs w:val="20"/>
          <w:color w:val="auto"/>
        </w:rPr>
      </w:pPr>
    </w:p>
    <w:p>
      <w:pPr>
        <w:jc w:val="both"/>
        <w:ind w:firstLine="578"/>
        <w:spacing w:after="0" w:line="270" w:lineRule="auto"/>
        <w:rPr>
          <w:sz w:val="20"/>
          <w:szCs w:val="20"/>
          <w:color w:val="auto"/>
        </w:rPr>
      </w:pPr>
      <w:r>
        <w:rPr>
          <w:rFonts w:ascii="Arial" w:cs="Arial" w:eastAsia="Arial" w:hAnsi="Arial"/>
          <w:sz w:val="17"/>
          <w:szCs w:val="17"/>
          <w:color w:val="auto"/>
        </w:rPr>
        <w:t>We are exposed to the risk that our employees, independent contractors, consultants, commercial partners, distributors and vendors may engage in fraudulent or illegal activity. Misconduct by these parties could include intentional, reckless or negligent conduct or disclosure of unauthorized activities to us that violates: (1) the laws of the FDA and other similar regulatory bodies, including those laws requiring the reporting of true, complete and accurate information to such regulators, (2) manufacturing standards, (3) healthcare fraud and abuse laws in the United States and similar foreign fraudulent misconduct laws, or (4) laws that require the true, complete and accurate reporting of financial information or data. These laws may impact, among other things,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w:t>
      </w:r>
    </w:p>
    <w:p>
      <w:pPr>
        <w:spacing w:after="0" w:line="154"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7"/>
          <w:szCs w:val="17"/>
          <w:color w:val="auto"/>
        </w:rPr>
        <w:t>We have adopted a code of business conduct and ethics that applies to our directors, officers and employees, but it is not always possible to identify and deter misconduct by our employees and other third parties, and the precautions we take to detect and prevent these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imprisonment, additional integrity reporting and oversight obligations, possible exclusion from participation in Medicare, Medicaid and other federal healthcare programs, contractual damages, reputational harm, diminished profits and future earnings and curtailment of operations, any of which could adversely affect our ability to operate our business and our results of operations. Whether or not we are successful in defending against any such actions or investigations, we could incur substantial costs, including legal fees and reputational harm, and divert the attention of management in defending ourselves against any of these claims or investigations, which could harm our business, financial condition and results of operations.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66</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If we are unable to obtain and maintain patent or other intellectual property protection for any of our current or future products, or if the scope of the patent and other intellectual property protection obtained is not sufficiently broad, our competitors could develop and commercialize products similar or identical to ours, and our ability to successfully commercialize our current or future products may be harmed.</w:t>
      </w:r>
    </w:p>
    <w:p>
      <w:pPr>
        <w:spacing w:after="0" w:line="107"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7"/>
          <w:szCs w:val="17"/>
          <w:color w:val="auto"/>
        </w:rPr>
        <w:t>As with other flow cytometry companies, our success depends in large part on our ability to obtain, maintain and solidify a proprietary position for our current and any future products, which will depend upon our success in obtaining effective patent protection in the United States and other countries that cover, and other intellectual property with respect to, such products, their manufacturing processes and their intended methods of use and enforcing those patent claims once granted as well as our other intellectual property. In some cases, we may not be able to obtain issued patent claims or other intellectual property covering our technologies which are sufficient to prevent third parties, such as our competitors, from utilizing our products and negate any competitive advantage we may have. Any failure to obtain or maintain patent and other intellectual property protection with respect to our current and any future products or other aspects of our business could harm our business, financial condition and results of operations.</w:t>
      </w:r>
    </w:p>
    <w:p>
      <w:pPr>
        <w:spacing w:after="0" w:line="153" w:lineRule="exact"/>
        <w:rPr>
          <w:sz w:val="20"/>
          <w:szCs w:val="20"/>
          <w:color w:val="auto"/>
        </w:rPr>
      </w:pPr>
    </w:p>
    <w:p>
      <w:pPr>
        <w:jc w:val="both"/>
        <w:ind w:firstLine="578"/>
        <w:spacing w:after="0" w:line="279" w:lineRule="auto"/>
        <w:rPr>
          <w:sz w:val="20"/>
          <w:szCs w:val="20"/>
          <w:color w:val="auto"/>
        </w:rPr>
      </w:pPr>
      <w:r>
        <w:rPr>
          <w:rFonts w:ascii="Arial" w:cs="Arial" w:eastAsia="Arial" w:hAnsi="Arial"/>
          <w:sz w:val="17"/>
          <w:szCs w:val="17"/>
          <w:color w:val="auto"/>
        </w:rPr>
        <w:t>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Additionally,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131" w:lineRule="exact"/>
        <w:rPr>
          <w:sz w:val="20"/>
          <w:szCs w:val="20"/>
          <w:color w:val="auto"/>
        </w:rPr>
      </w:pPr>
    </w:p>
    <w:p>
      <w:pPr>
        <w:jc w:val="both"/>
        <w:ind w:firstLine="584"/>
        <w:spacing w:after="0" w:line="253" w:lineRule="auto"/>
        <w:rPr>
          <w:sz w:val="20"/>
          <w:szCs w:val="20"/>
          <w:color w:val="auto"/>
        </w:rPr>
      </w:pPr>
      <w:r>
        <w:rPr>
          <w:rFonts w:ascii="Arial" w:cs="Arial" w:eastAsia="Arial" w:hAnsi="Arial"/>
          <w:sz w:val="17"/>
          <w:szCs w:val="17"/>
          <w:color w:val="auto"/>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and obtain patent protection. 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w:t>
      </w:r>
    </w:p>
    <w:p>
      <w:pPr>
        <w:spacing w:after="0" w:line="153" w:lineRule="exact"/>
        <w:rPr>
          <w:sz w:val="20"/>
          <w:szCs w:val="20"/>
          <w:color w:val="auto"/>
        </w:rPr>
      </w:pPr>
    </w:p>
    <w:p>
      <w:pPr>
        <w:jc w:val="both"/>
        <w:ind w:firstLine="584"/>
        <w:spacing w:after="0" w:line="253" w:lineRule="auto"/>
        <w:rPr>
          <w:sz w:val="20"/>
          <w:szCs w:val="20"/>
          <w:color w:val="auto"/>
        </w:rPr>
      </w:pPr>
      <w:r>
        <w:rPr>
          <w:rFonts w:ascii="Arial" w:cs="Arial" w:eastAsia="Arial" w:hAnsi="Arial"/>
          <w:sz w:val="17"/>
          <w:szCs w:val="17"/>
          <w:color w:val="auto"/>
        </w:rPr>
        <w:t>As of March 31, 2022, we own ten issued U.S. utility patents and one issued Japan utility patent. We have 36 pending patent applications, including 17 utility patent applications in the United States, three international utility patent applications; six utility patent applications in the European Union, six invention patent applications in China and four utility patent applications in Japan. In April 2022, we filed an additional provisional patent application in the United States directed to new technology for our products. In November 2021, we filed a provisional patent application in the United States directed to scattered light detection technology. Assuming all maintenance fees are paid, the U.S. issued patents are expected to naturally expire between years 2023 and 2038. Patents covering intellectual property relating to design specific technologies invented by our researchers in Shanghai and Wuxi, China are filed in China and owned by our China subsidiaries, respectively. As of March 31, 2022, our Shanghai subsidiary owns 14 issued utility model patents and has ten pending invention patent applications, and our Wuxi subsidiary owns 24 issued patents and has 18 pending patent applications, including ten pending utility model patent applications and eight pending invention patent applications.</w:t>
      </w:r>
    </w:p>
    <w:p>
      <w:pPr>
        <w:spacing w:after="0" w:line="143"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7"/>
          <w:szCs w:val="17"/>
          <w:color w:val="auto"/>
        </w:rPr>
        <w:t>It is possible that none of our pending patent applications will result in issued patents in a timely fashion or at all, and even if patents are granted, they may not provide a basis for intellectual property protection of commercially viable products or services, may not provide us with any competitive advantages, or may be challenged and invalidated by third parties. It is possible that others will design around our current or future patented technologies. It is possible that in the future the scope, validity and enforceability of our patents, licensed patents, patent applications, trademarks, and trademark applications may be challenged at the United States Patent and Trademark Office (“USPTO”) or in proceedings before the patent offices of other jurisdictions. We may not be successful in defending any such challenges made against our patents, patent applications, trademarks or trademark applications. Any successful third party challenge to our patents or trademarks could result in the unenforceability or invalidity of such patents or trademarks and increased competition to our business. We may have to challenge the patents, patent applications, trademarks, or trademark applications of third parties. The outcome of patent litigation or other proceeding can be uncertain, and any attempt by us to enforce our patent rights against others or to challenge the patent rights of others may not be successful, or, if successful, may take substantial time and result in substantial cost, and may divert our efforts and attention from other aspects of our business.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67</w:t>
      </w:r>
    </w:p>
    <w:p>
      <w:pPr>
        <w:spacing w:after="0" w:line="104"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7"/>
          <w:szCs w:val="17"/>
          <w:color w:val="auto"/>
        </w:rPr>
        <w:t>Moreover, in some circumstances, we may not have the right to control the preparation, filing and prosecution of patent applications, or to maintain the patents, covering technology that we license from or license to third parties or that we may jointly-own with third parties in the future and are therefore reliant on our licensors or licensees, and may be reliant on future joint-owners, licensors or licensees, to protect certain of our intellectual property used in our business. If our joint-owners, licensors or licensees fail to adequately protect this intellectual property or if we do not have exclusivity for the marketing of our products, whether because our joint-owners or licensors do not grant us exclusivity or they do not enforce the intellectual property against our competitors, our ability to commercialize products could suffer. Therefore, these and any of our patents and applications may not be prosecuted and enforced in a manner consistent with the best interests of our business.</w:t>
      </w:r>
    </w:p>
    <w:p>
      <w:pPr>
        <w:spacing w:after="0" w:line="153"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7"/>
          <w:szCs w:val="17"/>
          <w:color w:val="auto"/>
        </w:rPr>
        <w:t>Defects of form in the preparation or filing of our patents or patent applications may exist, or may arise in the future, for example, with respect to proper priority claims, inventorship and the like. If we or any of our current or future joint-owners, licensors or licensees fail to establish, maintain, protect or enforce such patents and other intellectual property rights, such rights may be reduced or eliminated. If any current or future joint-owners, licensors or licensees are not fully cooperative or disagree with us as to the prosecution, maintenance or enforcement of any patent rights, such patent rights could be compromised. If there are material defects in the form, preparation or prosecution of our patents or patent applications, such patents or applications may be invalid and/or unenforceable. Any of these outcomes could impair our ability to prevent competition from third parties, which may impact our ability to commercialize our products and materially harm our business.</w:t>
      </w:r>
    </w:p>
    <w:p>
      <w:pPr>
        <w:spacing w:after="0" w:line="139" w:lineRule="exact"/>
        <w:rPr>
          <w:sz w:val="20"/>
          <w:szCs w:val="20"/>
          <w:color w:val="auto"/>
        </w:rPr>
      </w:pPr>
    </w:p>
    <w:p>
      <w:pPr>
        <w:jc w:val="both"/>
        <w:ind w:firstLine="584"/>
        <w:spacing w:after="0" w:line="251" w:lineRule="auto"/>
        <w:rPr>
          <w:sz w:val="20"/>
          <w:szCs w:val="20"/>
          <w:color w:val="auto"/>
        </w:rPr>
      </w:pPr>
      <w:r>
        <w:rPr>
          <w:rFonts w:ascii="Arial" w:cs="Arial" w:eastAsia="Arial" w:hAnsi="Arial"/>
          <w:sz w:val="17"/>
          <w:szCs w:val="17"/>
          <w:color w:val="auto"/>
        </w:rPr>
        <w:t>The strength of patent rights generally, and particularly the patent position of life sciences companies, involves complex legal and scientific questions and can be uncertain, and has been the subject of much litigation in recent years. This uncertainty includes changes to the patent laws through either legislative action to changes to statutory patent law or court action that may reinterpret existing law or rules in ways affecting the scope or validity of issued patents or the chances that patent applications will result in issued claims and the scope of any such claims. Our current or future patent applications may fail to result in issued patents in the United States or foreign countries with claims that cover our current and any future products. Even if patents do successfully issue from our patent applications, third parties may challenge the validity, enforceability or scope of such patents, which may result in such patents being narrowed, invalidated or held unenforceable. Any successful challenge to our patents could deprive us of the exclusive rights necessary for the successful commercialization of our current and any future products, which may materially harm our business. Furthermore, even if they are unchallenged, our patents may not adequately protect our current and any future products, provide exclusivity for such products or prevent others from designing around the claims of our patents. If the scope of any patent protection we obtain is not sufficiently broad, or if we lose any of our patent protection, our ability to prevent our competitors from commercializing similar or identical technology and products would be adversely affected and would materially harm our business. If the breadth or strength of protection provided by the patents we hold or pursue with respect to our current and any future products is challenged, it could dissuade companies from collaborating with us to develop, or threaten our ability to commercialize, our current and any future products.</w:t>
      </w:r>
    </w:p>
    <w:p>
      <w:pPr>
        <w:spacing w:after="0" w:line="162" w:lineRule="exact"/>
        <w:rPr>
          <w:sz w:val="20"/>
          <w:szCs w:val="20"/>
          <w:color w:val="auto"/>
        </w:rPr>
      </w:pPr>
    </w:p>
    <w:p>
      <w:pPr>
        <w:jc w:val="both"/>
        <w:ind w:firstLine="584"/>
        <w:spacing w:after="0" w:line="269" w:lineRule="auto"/>
        <w:rPr>
          <w:sz w:val="20"/>
          <w:szCs w:val="20"/>
          <w:color w:val="auto"/>
        </w:rPr>
      </w:pPr>
      <w:r>
        <w:rPr>
          <w:rFonts w:ascii="Arial" w:cs="Arial" w:eastAsia="Arial" w:hAnsi="Arial"/>
          <w:sz w:val="16"/>
          <w:szCs w:val="16"/>
          <w:color w:val="auto"/>
        </w:rPr>
        <w:t>Patents have a limited lifespan. In the United States, the natural expiration of a utility patent is generally 20 years after its effective filing date and the natural expiration of a design patent is generally 14 years after its issue date, unless the filing date occurred on or after May 13, 2015, in which case the natural expiration of a design patent is generally 15 years after its issue date. However, the actual protection afforded by a patent varies from country to country, and depends upon many factors, including the type of patent, the scope of its coverage, the availability of regulatory-related extensions, the availability of legal remedies in a particular country and the validity and enforceability of the patent. The laws of some foreign countries do not protect our proprietary rights to the same extent as the laws of the United States, and we may encounter significant problems in protecting our proprietary rights in these countries. Various extensions may be available; however, the life of a patent, and the protection it affords, is limited. Without patent protection for our current and any future products and services, we may be open to competition, which may harm our business prospects. Further, if we encounter delays in our development efforts, the period of time during which we could market our current and any future products and services under patent protection would be reduced and, given the amount of time required for the development, testing and regulatory review of planned or future products, patents protecting our current and any future products might expire before or shortly after such products are commercialized.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w:t>
      </w:r>
    </w:p>
    <w:p>
      <w:pPr>
        <w:spacing w:after="0" w:line="127"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7"/>
          <w:szCs w:val="17"/>
          <w:color w:val="auto"/>
        </w:rPr>
        <w:t>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own now or in the future may be challenged, narrowed, circumvented or invalidated by third parties. Consequently, we do not know whether our current and any future products or other technologies will be protectable or remain protected by valid and enforceable patents. Our competitors or other third parties may be able to circumvent our patents by developing similar or alternative technologies or products in a non-infringing manner which could harm our business, financial condition and results of operations.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68</w:t>
      </w:r>
    </w:p>
    <w:p>
      <w:pPr>
        <w:spacing w:after="0" w:line="104" w:lineRule="exact"/>
        <w:rPr>
          <w:sz w:val="20"/>
          <w:szCs w:val="20"/>
          <w:color w:val="auto"/>
        </w:rPr>
      </w:pPr>
    </w:p>
    <w:p>
      <w:pPr>
        <w:jc w:val="both"/>
        <w:ind w:firstLine="584"/>
        <w:spacing w:after="0" w:line="279" w:lineRule="auto"/>
        <w:rPr>
          <w:sz w:val="20"/>
          <w:szCs w:val="20"/>
          <w:color w:val="auto"/>
        </w:rPr>
      </w:pPr>
      <w:r>
        <w:rPr>
          <w:rFonts w:ascii="Arial" w:cs="Arial" w:eastAsia="Arial" w:hAnsi="Arial"/>
          <w:sz w:val="16"/>
          <w:szCs w:val="16"/>
          <w:color w:val="auto"/>
        </w:rPr>
        <w:t>Some of our patents and patent applications may in the future be jointly-owned with third parties, including certain universities and public institutions in the United States and China. If we are unable to obtain an exclusive license to any such third-party joint-owners’ interest in such patents or patent applications, such co-owners may be able to license their rights to other third parties, including our competitors, and our competitors could market competing products and technology. In addition, we may need the cooperation of any such joint-owners patents to enforce such patents against third parties, and such cooperation may not be provided to us. Any of the foregoing could harm our business, financial condition and results of operations.</w:t>
      </w:r>
    </w:p>
    <w:p>
      <w:pPr>
        <w:spacing w:after="0" w:line="132" w:lineRule="exact"/>
        <w:rPr>
          <w:sz w:val="20"/>
          <w:szCs w:val="20"/>
          <w:color w:val="auto"/>
        </w:rPr>
      </w:pPr>
    </w:p>
    <w:p>
      <w:pPr>
        <w:jc w:val="both"/>
        <w:ind w:firstLine="584"/>
        <w:spacing w:after="0" w:line="253" w:lineRule="auto"/>
        <w:rPr>
          <w:sz w:val="20"/>
          <w:szCs w:val="20"/>
          <w:color w:val="auto"/>
        </w:rPr>
      </w:pPr>
      <w:r>
        <w:rPr>
          <w:rFonts w:ascii="Arial" w:cs="Arial" w:eastAsia="Arial" w:hAnsi="Arial"/>
          <w:sz w:val="17"/>
          <w:szCs w:val="17"/>
          <w:color w:val="auto"/>
        </w:rPr>
        <w:t>Additionally, we may find it necessary or prudent to acquire or obtain licenses from third-party intellectual property holders. However, we may be unable to acquire or secure such licenses to any intellectual property rights from third parties that we identify as necessary for our current and any future products. The acquisition or licensing of third-party intellectual property rights is a competitive area, and our competitors may pursue strategies to acquire or license third-party intellectual property rights that we may consider attractive or necessary.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products, which could harm our business, financial condition and results of operations.</w:t>
      </w:r>
    </w:p>
    <w:p>
      <w:pPr>
        <w:spacing w:after="0" w:line="346"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Patents covering our current, and any future products, or our technologies could be found invalid or unenforceable if challenged in court or before administrative bodies in the United States or abroad, which could harm our business, financial condition and results of operations.</w:t>
      </w:r>
    </w:p>
    <w:p>
      <w:pPr>
        <w:spacing w:after="0" w:line="16" w:lineRule="exact"/>
        <w:rPr>
          <w:sz w:val="20"/>
          <w:szCs w:val="20"/>
          <w:color w:val="auto"/>
        </w:rPr>
      </w:pPr>
    </w:p>
    <w:p>
      <w:pPr>
        <w:jc w:val="both"/>
        <w:ind w:firstLine="584"/>
        <w:spacing w:after="0" w:line="252"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the USPTO or patent offices abroad and may not provide us with adequate proprietary protection or competitive advantage against competitors with similar products. We may be subject to a third-party preissuance submission of prior art to the USPTO or become involved in opposition, derivation, revocation, reexamination, post-grant and inter partes review (“IPR”), or interference proceedings or other similar proceedings challenging our patent rights. An adverse determination in any such submission, proceeding or litigation could reduce the scope of, or invalidate or render unenforceable, such patent rights, allow third parties to commercialize our current and any future products and compete directly with us, without payment to us, or result in our inability to manufacture or commercialize products without infringing third-party patent rights. Moreover, we may have to participate in post-grant challenge proceedings, such as oppositions in a foreign patent office, that challenge features of patentability with respect to our patents and patent applications. Such challenges may result in loss of patent rights, in loss of exclusivity or in patent claims being narrowed, invalidated or held unenforceable, which could limit our ability to stop others from using or commercializing similar or identical technology and products, or limit the duration of the patent protection of our current and any future products or technologies. Such proceedings also may result in substantial cost and require significant time from our management, even if the eventual outcome is favorable to us.</w:t>
      </w:r>
    </w:p>
    <w:p>
      <w:pPr>
        <w:spacing w:after="0" w:line="156" w:lineRule="exact"/>
        <w:rPr>
          <w:sz w:val="20"/>
          <w:szCs w:val="20"/>
          <w:color w:val="auto"/>
        </w:rPr>
      </w:pPr>
    </w:p>
    <w:p>
      <w:pPr>
        <w:jc w:val="both"/>
        <w:ind w:firstLine="584"/>
        <w:spacing w:after="0" w:line="268" w:lineRule="auto"/>
        <w:rPr>
          <w:sz w:val="20"/>
          <w:szCs w:val="20"/>
          <w:color w:val="auto"/>
        </w:rPr>
      </w:pPr>
      <w:r>
        <w:rPr>
          <w:rFonts w:ascii="Arial" w:cs="Arial" w:eastAsia="Arial" w:hAnsi="Arial"/>
          <w:sz w:val="16"/>
          <w:szCs w:val="16"/>
          <w:color w:val="auto"/>
        </w:rPr>
        <w:t>In addition, if we initiate legal proceedings against a third party to enforce a patent covering our current and any future products,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Defenses of these types of claims, regardless of their merit, would involve substantial litigation expense and would be a substantial diversion of employee resources from our business. Third parties may also raise claims challenging the validity or enforceability of our patents before administrative bodies in the United States or abroad, even outside the context of litigation, including through re-examination, post-grant review, IPR, derivation proceedings and equivalent proceedings in foreign jurisdictions (such as opposition proceedings). Such proceedings could result in the revocation of, cancellation of or amendment to our patents in such a way that they no longer cover or provide meaningful protection of our current and any future products or technologies. The outcome for any particular patent following legal assertions of invalidity and unenforceability is unpredictable. With respect to the validity question, for example, we cannot be certain that there is no invalidating prior art, of which we and the patent examiner were unaware during prosecution. If a defendant or other third-party were to prevail on a legal assertion of invalidity or unenforceability, we would lose at least part, and perhaps all, of the patent protection on our current and any future products and technology. Such a loss of patent protection would harm our business, financial condition and results of operations.</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rely substantially on our trademarks and trade names. If our trademarks and trade names are not adequately protected, then we may not be able to build name recognition in our markets of interest and our business may be harmed.</w:t>
      </w:r>
    </w:p>
    <w:p>
      <w:pPr>
        <w:spacing w:after="0" w:line="63" w:lineRule="exact"/>
        <w:rPr>
          <w:sz w:val="20"/>
          <w:szCs w:val="20"/>
          <w:color w:val="auto"/>
        </w:rPr>
      </w:pPr>
    </w:p>
    <w:p>
      <w:pPr>
        <w:jc w:val="both"/>
        <w:ind w:firstLine="584"/>
        <w:spacing w:after="0" w:line="248" w:lineRule="auto"/>
        <w:rPr>
          <w:sz w:val="20"/>
          <w:szCs w:val="20"/>
          <w:color w:val="auto"/>
        </w:rPr>
      </w:pPr>
      <w:r>
        <w:rPr>
          <w:rFonts w:ascii="Arial" w:cs="Arial" w:eastAsia="Arial" w:hAnsi="Arial"/>
          <w:sz w:val="18"/>
          <w:szCs w:val="18"/>
          <w:color w:val="auto"/>
        </w:rPr>
        <w:t>We rely substantially upon trademarks to build and maintain the integrity of our brand. Our registered and unregistered trademarks or trade names may be challenged, infringed, circumvented, declared generic or determined to be violating or infringing on other marks. We may not be able to protect our rights to these trademarks and trade names, which we rely upon to build name recognition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69</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among potential partners and customers in our markets of interest. At times, competitors or other third parties may adopt trade names or trademarks similar to ours, thereby impeding our ability to build brand identity and possibly leading to market confusion and asserting claims against such third parties may be prohibitively expensive. In addition, there could be potential trade name or trademark infringement or dilution claims brought by owners of other trademarks against us.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harm our business, financial condition and results of operations.</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Obtaining and maintaining our intellectual property, including patent, protection depends on compliance with various procedural, document submission, fee payment and other requirements imposed by government agencies, and our intellectual property, including patent, protection could be reduced or eliminated for non-compliance with these requirements.</w:t>
      </w:r>
    </w:p>
    <w:p>
      <w:pPr>
        <w:spacing w:after="0" w:line="74" w:lineRule="exact"/>
        <w:rPr>
          <w:sz w:val="20"/>
          <w:szCs w:val="20"/>
          <w:color w:val="auto"/>
        </w:rPr>
      </w:pPr>
    </w:p>
    <w:p>
      <w:pPr>
        <w:jc w:val="both"/>
        <w:ind w:firstLine="584"/>
        <w:spacing w:after="0" w:line="270" w:lineRule="auto"/>
        <w:rPr>
          <w:sz w:val="20"/>
          <w:szCs w:val="20"/>
          <w:color w:val="auto"/>
        </w:rPr>
      </w:pPr>
      <w:r>
        <w:rPr>
          <w:rFonts w:ascii="Arial" w:cs="Arial" w:eastAsia="Arial" w:hAnsi="Arial"/>
          <w:sz w:val="16"/>
          <w:szCs w:val="16"/>
          <w:color w:val="auto"/>
        </w:rPr>
        <w:t>Periodic maintenance fees, renewal fees, annuity fees and various other government fees on intellectual property registrations and applications will be due to be paid to the applicable government agencies, including with respect to patents and patent applications the USPTO and similar agencies outside of the United States, over the lifetime of our intellectual property registrations and applications, including our patents and patent applications. The various applicable government agencies, including with respect to patents and patent applications the USPTO and similar agencies outside of the United States, require compliance with several procedural, documentary, fee payment and other similar provisions during the application process. In some cases, an inadvertent lapse can be cured by payment of a late fee or by other means in accordance with the applicable rules. There are situations, however, in which non-compliance can result in the abandonment or lapse of the intellectual property registration or application, resulting in a partial or complete loss of intellectual property rights in the relevant jurisdiction. Non-compliance events that could result in abandonment or lapse of an intellectual property registration or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which could harm our business, financial condition and results of operations.</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have limited foreign intellectual property rights outside the United States, selected countries in the European Union, Japan and China and may not be able to protect our intellectual property and proprietary rights throughout the world, which could harm our business, financial condition and results of operations.</w:t>
      </w:r>
    </w:p>
    <w:p>
      <w:pPr>
        <w:spacing w:after="0" w:line="74" w:lineRule="exact"/>
        <w:rPr>
          <w:sz w:val="20"/>
          <w:szCs w:val="20"/>
          <w:color w:val="auto"/>
        </w:rPr>
      </w:pPr>
    </w:p>
    <w:p>
      <w:pPr>
        <w:jc w:val="both"/>
        <w:ind w:firstLine="584"/>
        <w:spacing w:after="0" w:line="254" w:lineRule="auto"/>
        <w:rPr>
          <w:sz w:val="20"/>
          <w:szCs w:val="20"/>
          <w:color w:val="auto"/>
        </w:rPr>
      </w:pPr>
      <w:r>
        <w:rPr>
          <w:rFonts w:ascii="Arial" w:cs="Arial" w:eastAsia="Arial" w:hAnsi="Arial"/>
          <w:sz w:val="17"/>
          <w:szCs w:val="17"/>
          <w:color w:val="auto"/>
        </w:rPr>
        <w:t>We have limited intellectual property rights outside the United States, selected countries in the European Union, Japan and China. Filing, prosecuting and defending patents or trademarks on our current and any future products in all countries throughout the world would be prohibitively expensive, and the laws of foreign countries may not protect our rights to the same extent as the laws of the United States. Consequently, we may not be able to prevent third parties from practicing our inventions or utilizing our trademarks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and any future products, and our patents or other intellectual property rights may not be effective or sufficient to prevent them from competing.</w:t>
      </w:r>
    </w:p>
    <w:p>
      <w:pPr>
        <w:spacing w:after="0" w:line="73" w:lineRule="exact"/>
        <w:rPr>
          <w:sz w:val="20"/>
          <w:szCs w:val="20"/>
          <w:color w:val="auto"/>
        </w:rPr>
      </w:pPr>
    </w:p>
    <w:p>
      <w:pPr>
        <w:jc w:val="both"/>
        <w:ind w:firstLine="584"/>
        <w:spacing w:after="0" w:line="270"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In addition, changes in the law and legal decisions by courts in the United States and foreign countries may affect our ability to obtain adequate protection for our technology and the enforcement of our intellectual property.</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U.S. patent law could diminish the value of patents in general, thereby impairing our ability to protect our current and any future products.</w:t>
      </w:r>
    </w:p>
    <w:p>
      <w:pPr>
        <w:spacing w:after="0" w:line="138" w:lineRule="exact"/>
        <w:rPr>
          <w:sz w:val="20"/>
          <w:szCs w:val="20"/>
          <w:color w:val="auto"/>
        </w:rPr>
      </w:pPr>
    </w:p>
    <w:p>
      <w:pPr>
        <w:jc w:val="both"/>
        <w:ind w:firstLine="584"/>
        <w:spacing w:after="0" w:line="241" w:lineRule="auto"/>
        <w:rPr>
          <w:sz w:val="20"/>
          <w:szCs w:val="20"/>
          <w:color w:val="auto"/>
        </w:rPr>
      </w:pPr>
      <w:r>
        <w:rPr>
          <w:rFonts w:ascii="Arial" w:cs="Arial" w:eastAsia="Arial" w:hAnsi="Arial"/>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America Invents Act, enacted in September 2011, the United States transitioned to a first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70</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inventor to file system in which, assuming that other requirements for patentability are met, the first inventor to file a patent application will be entitled to the patent on an invention regardless of whether a third-party was the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current and any future products.</w:t>
      </w:r>
    </w:p>
    <w:p>
      <w:pPr>
        <w:spacing w:after="0" w:line="162" w:lineRule="exact"/>
        <w:rPr>
          <w:sz w:val="20"/>
          <w:szCs w:val="20"/>
          <w:color w:val="auto"/>
        </w:rPr>
      </w:pPr>
    </w:p>
    <w:p>
      <w:pPr>
        <w:jc w:val="both"/>
        <w:ind w:firstLine="584"/>
        <w:spacing w:after="0" w:line="294" w:lineRule="auto"/>
        <w:rPr>
          <w:sz w:val="20"/>
          <w:szCs w:val="20"/>
          <w:color w:val="auto"/>
        </w:rPr>
      </w:pPr>
      <w:r>
        <w:rPr>
          <w:rFonts w:ascii="Arial" w:cs="Arial" w:eastAsia="Arial" w:hAnsi="Arial"/>
          <w:sz w:val="16"/>
          <w:szCs w:val="16"/>
          <w:color w:val="auto"/>
        </w:rPr>
        <w:t>The America Invents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IPR and derivation proceedings.</w:t>
      </w:r>
    </w:p>
    <w:p>
      <w:pPr>
        <w:spacing w:after="0" w:line="107" w:lineRule="exact"/>
        <w:rPr>
          <w:sz w:val="20"/>
          <w:szCs w:val="20"/>
          <w:color w:val="auto"/>
        </w:rPr>
      </w:pPr>
    </w:p>
    <w:p>
      <w:pPr>
        <w:jc w:val="both"/>
        <w:ind w:firstLine="584"/>
        <w:spacing w:after="0" w:line="238"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America Invents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Any of the foregoing could harm our business, financial condition and results of operations.</w:t>
      </w:r>
    </w:p>
    <w:p>
      <w:pPr>
        <w:spacing w:after="0" w:line="167"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7"/>
          <w:szCs w:val="17"/>
          <w:color w:val="auto"/>
        </w:rPr>
        <w:t>In addition, recent U.S. Supreme Court rulings have made and will likely continue to make changes in how the patent laws of the United States are interpreted. In addition to increasing uncertainty with regard to our ability to obtain patents in the future,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weaken our ability to obtain new patents or to enforce our existing patents and patents that we might obtain in the future. We cannot predict how this and future decisions by the courts, the U.S. Congress or the USPTO may impact the value of our patents. Any similar adverse changes in the patent laws of other jurisdictions could also harm our business, financial condition, results of operations and prospects.</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against us, the joint-owners of our intellectual property, or our collaborators may prevent or delay the sale and marketing of our current and any future products.</w:t>
      </w:r>
    </w:p>
    <w:p>
      <w:pPr>
        <w:spacing w:after="0" w:line="63"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6"/>
          <w:szCs w:val="16"/>
          <w:color w:val="auto"/>
        </w:rPr>
        <w:t>The flow cytometry industry is highly competitive and dynamic. Due to the focused research and development that is taking place by several companies, including us and our competitors, in this field, the intellectual property landscape is in flux, and it may remain uncertain in the future. As such, we could become subject to significant intellectual property-related litigation and proceedings relating to our or third-party intellectual property and proprietary rights. Such litigation and proceedings may cause us to incur significant expense, including the payment of damages, settlement payments and/or royalty payments. For example, in February 2018, BD filed suit against us and certain of our employees in the United States District Court for the Northern District of California asserting a number of claims against us, including misappropriation of trade secrets and copyright infringement. In October 2020, we entered into a settlement agreement with BD resulting in a dismissal of all claims and a release of all claims between the parties. Pursuant to the settlement agreement with BD, we are required to make certain payments to BD, including royalty payments on sales of certain of our products.</w:t>
      </w:r>
    </w:p>
    <w:p>
      <w:pPr>
        <w:spacing w:after="0" w:line="141" w:lineRule="exact"/>
        <w:rPr>
          <w:sz w:val="20"/>
          <w:szCs w:val="20"/>
          <w:color w:val="auto"/>
        </w:rPr>
      </w:pPr>
    </w:p>
    <w:p>
      <w:pPr>
        <w:jc w:val="both"/>
        <w:ind w:firstLine="584"/>
        <w:spacing w:after="0" w:line="239" w:lineRule="auto"/>
        <w:rPr>
          <w:sz w:val="20"/>
          <w:szCs w:val="20"/>
          <w:color w:val="auto"/>
        </w:rPr>
      </w:pPr>
      <w:r>
        <w:rPr>
          <w:rFonts w:ascii="Arial" w:cs="Arial" w:eastAsia="Arial" w:hAnsi="Arial"/>
          <w:sz w:val="18"/>
          <w:szCs w:val="18"/>
          <w:color w:val="auto"/>
        </w:rPr>
        <w:t>Our commercial success depends in part on our and any potential future collaborators’ ability to develop, manufacture, market and sell any products that we may develop and use our proprietary technologies without infringing, misappropriating or otherwise violating the patents and other intellectual property or proprietary rights of third parties. It is uncertain whether the issuance of any third-party patent would require us or any potential collaborators to alter our development or commercial strategies, obtain licenses or cease certain activities. The medical device industry is characterized by extensive litigation regarding patents and other intellectual property rights, as well as administrative proceedings for challenging patents, including interference, inter partes or post-grant review, derivation and reexamination proceedings before the USPTO or oppositions and other comparable proceedings in foreign jurisdictions.</w:t>
      </w:r>
    </w:p>
    <w:p>
      <w:pPr>
        <w:spacing w:after="0" w:line="150" w:lineRule="exact"/>
        <w:rPr>
          <w:sz w:val="20"/>
          <w:szCs w:val="20"/>
          <w:color w:val="auto"/>
        </w:rPr>
      </w:pPr>
    </w:p>
    <w:p>
      <w:pPr>
        <w:jc w:val="both"/>
        <w:ind w:firstLine="584"/>
        <w:spacing w:after="0" w:line="239" w:lineRule="auto"/>
        <w:rPr>
          <w:sz w:val="20"/>
          <w:szCs w:val="20"/>
          <w:color w:val="auto"/>
        </w:rPr>
      </w:pPr>
      <w:r>
        <w:rPr>
          <w:rFonts w:ascii="Arial" w:cs="Arial" w:eastAsia="Arial" w:hAnsi="Arial"/>
          <w:sz w:val="18"/>
          <w:szCs w:val="18"/>
          <w:color w:val="auto"/>
        </w:rPr>
        <w:t>Third parties, including our competitors, may currently have patents or obtain patents in the future and claim that the manufacture, use or sale of our current and any future products infringes upon these patents. We have not conducted an extensive search of patents issued or assigned to other parties, including our competitors, and no assurance can be given that patents containing claims covering our current and any future products, components of our current and any future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of which we are unaware and which may result in issued patents which our current or future products infringe. Also, because the claims of published patent applications can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71</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increasing the risk that we will be required to incur significant expenses defending any such claims or lose patent protection for our current or future products.</w:t>
      </w:r>
    </w:p>
    <w:p>
      <w:pPr>
        <w:spacing w:after="0" w:line="161" w:lineRule="exact"/>
        <w:rPr>
          <w:sz w:val="20"/>
          <w:szCs w:val="20"/>
          <w:color w:val="auto"/>
        </w:rPr>
      </w:pPr>
    </w:p>
    <w:p>
      <w:pPr>
        <w:jc w:val="both"/>
        <w:ind w:firstLine="584"/>
        <w:spacing w:after="0" w:line="269" w:lineRule="auto"/>
        <w:rPr>
          <w:sz w:val="20"/>
          <w:szCs w:val="20"/>
          <w:color w:val="auto"/>
        </w:rPr>
      </w:pPr>
      <w:r>
        <w:rPr>
          <w:rFonts w:ascii="Arial" w:cs="Arial" w:eastAsia="Arial" w:hAnsi="Arial"/>
          <w:sz w:val="16"/>
          <w:szCs w:val="16"/>
          <w:color w:val="auto"/>
        </w:rPr>
        <w:t>We may also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current and any future products.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current and any future products.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one or more of our current and any future products.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harm our business, financial condition and results of operations.</w:t>
      </w:r>
    </w:p>
    <w:p>
      <w:pPr>
        <w:spacing w:after="0" w:line="131" w:lineRule="exact"/>
        <w:rPr>
          <w:sz w:val="20"/>
          <w:szCs w:val="20"/>
          <w:color w:val="auto"/>
        </w:rPr>
      </w:pPr>
    </w:p>
    <w:p>
      <w:pPr>
        <w:jc w:val="both"/>
        <w:ind w:firstLine="584"/>
        <w:spacing w:after="0" w:line="251" w:lineRule="auto"/>
        <w:rPr>
          <w:sz w:val="20"/>
          <w:szCs w:val="20"/>
          <w:color w:val="auto"/>
        </w:rPr>
      </w:pPr>
      <w:r>
        <w:rPr>
          <w:rFonts w:ascii="Arial" w:cs="Arial" w:eastAsia="Arial" w:hAnsi="Arial"/>
          <w:sz w:val="17"/>
          <w:szCs w:val="17"/>
          <w:color w:val="auto"/>
        </w:rPr>
        <w:t>In the event that any third-party claims that we infringe their patents or that we are otherwise employing their proprietary technology without authorization and initiates litigation against us, even if we believe such claims are without merit, there is no assurance that a court would find in our favor on questions of infringement, validity, enforceability or priority. A court of competent jurisdiction could hold that these third-party patents are valid, enforceable and infringed by our current and any future products, which could harm our ability to commercialize any product we may develop and any other technologies covered by the asserted third-party patents.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third-party intellectual property rights, including patents, and we are unsuccessful in demonstrating that such patents or other intellectual property rights are invalid or unenforceable, such third parties may be able to block our ability to commercialize the applicable products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significant license fees and/or royalties, and the rights granted to us might be non-exclusive, which could result in our competitors gaining access to the same technology. If we are unable to obtain a necessary license to a third-party patent on commercially reasonable terms, or at all, we may be unable to commercialize our current and any future products, or such commercialization efforts may be significantly delayed, which could in turn significantly harm our business.</w:t>
      </w:r>
    </w:p>
    <w:p>
      <w:pPr>
        <w:spacing w:after="0" w:line="160" w:lineRule="exact"/>
        <w:rPr>
          <w:sz w:val="20"/>
          <w:szCs w:val="20"/>
          <w:color w:val="auto"/>
        </w:rPr>
      </w:pPr>
    </w:p>
    <w:p>
      <w:pPr>
        <w:jc w:val="both"/>
        <w:ind w:firstLine="584"/>
        <w:spacing w:after="0" w:line="239" w:lineRule="auto"/>
        <w:rPr>
          <w:sz w:val="20"/>
          <w:szCs w:val="20"/>
          <w:color w:val="auto"/>
        </w:rPr>
      </w:pPr>
      <w:r>
        <w:rPr>
          <w:rFonts w:ascii="Arial" w:cs="Arial" w:eastAsia="Arial" w:hAnsi="Arial"/>
          <w:sz w:val="18"/>
          <w:szCs w:val="18"/>
          <w:color w:val="auto"/>
        </w:rPr>
        <w:t>Defense of infringement claims, regardless of their merit or outcome,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the infringing products and/or have to pay substantial damages for use of the asserted intellectual property, including treble damages and attorneys’ fees were we found to willfully infringe such intellectual property. Claims that we have misappropriated the confidential information or trade secrets of third parties could harm our business, financial condition and results of operations. We also might have to redesign our infringing products or technologies, which may be impossible or require substantial time and monetary expenditure.</w:t>
      </w:r>
    </w:p>
    <w:p>
      <w:pPr>
        <w:spacing w:after="0" w:line="150" w:lineRule="exact"/>
        <w:rPr>
          <w:sz w:val="20"/>
          <w:szCs w:val="20"/>
          <w:color w:val="auto"/>
        </w:rPr>
      </w:pPr>
    </w:p>
    <w:p>
      <w:pPr>
        <w:jc w:val="both"/>
        <w:ind w:firstLine="584"/>
        <w:spacing w:after="0" w:line="253" w:lineRule="auto"/>
        <w:rPr>
          <w:sz w:val="20"/>
          <w:szCs w:val="20"/>
          <w:color w:val="auto"/>
        </w:rPr>
      </w:pPr>
      <w:r>
        <w:rPr>
          <w:rFonts w:ascii="Arial" w:cs="Arial" w:eastAsia="Arial" w:hAnsi="Arial"/>
          <w:sz w:val="17"/>
          <w:szCs w:val="17"/>
          <w:color w:val="auto"/>
        </w:rPr>
        <w:t>Engaging in litigation to defend against third-party infringement claims is very expensive, particularly for a company of our size, and time-consuming.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Uncertainties resulting from the initiation and continuation of patent litigation or other proceedings against us could impair our ability to compete in the marketplace. The occurrence of any of the foregoing could harm our business, financial condition and results of operations.</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63" w:lineRule="exact"/>
        <w:rPr>
          <w:sz w:val="20"/>
          <w:szCs w:val="20"/>
          <w:color w:val="auto"/>
        </w:rPr>
      </w:pPr>
    </w:p>
    <w:p>
      <w:pPr>
        <w:jc w:val="both"/>
        <w:ind w:firstLine="584"/>
        <w:spacing w:after="0" w:line="261" w:lineRule="auto"/>
        <w:rPr>
          <w:sz w:val="20"/>
          <w:szCs w:val="20"/>
          <w:color w:val="auto"/>
        </w:rPr>
      </w:pPr>
      <w:r>
        <w:rPr>
          <w:rFonts w:ascii="Arial" w:cs="Arial" w:eastAsia="Arial" w:hAnsi="Arial"/>
          <w:sz w:val="18"/>
          <w:szCs w:val="18"/>
          <w:color w:val="auto"/>
        </w:rPr>
        <w:t>Competitors may infringe our patents, or the patents of any future licensing partners, or we may be required to defend against claims of infringement. In an infringement proceeding, a court may decide that our patent is invalid or unenforceable, or may refuse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72</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stop the other party from using the technology at issue on the grounds that our patents do not cover such technology.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161" w:lineRule="exact"/>
        <w:rPr>
          <w:sz w:val="20"/>
          <w:szCs w:val="20"/>
          <w:color w:val="auto"/>
        </w:rPr>
      </w:pPr>
    </w:p>
    <w:p>
      <w:pPr>
        <w:jc w:val="both"/>
        <w:ind w:firstLine="584"/>
        <w:spacing w:after="0" w:line="253"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negative impact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harm our ability to compete in the marketplace. Any of the foregoing could harm our business, financial condition and results of operations.</w:t>
      </w:r>
    </w:p>
    <w:p>
      <w:pPr>
        <w:spacing w:after="0" w:line="143" w:lineRule="exact"/>
        <w:rPr>
          <w:sz w:val="20"/>
          <w:szCs w:val="20"/>
          <w:color w:val="auto"/>
        </w:rPr>
      </w:pPr>
    </w:p>
    <w:p>
      <w:pPr>
        <w:jc w:val="both"/>
        <w:ind w:firstLine="584"/>
        <w:spacing w:after="0" w:line="284" w:lineRule="auto"/>
        <w:rPr>
          <w:sz w:val="20"/>
          <w:szCs w:val="20"/>
          <w:color w:val="auto"/>
        </w:rPr>
      </w:pPr>
      <w:r>
        <w:rPr>
          <w:rFonts w:ascii="Arial" w:cs="Arial" w:eastAsia="Arial" w:hAnsi="Arial"/>
          <w:sz w:val="16"/>
          <w:szCs w:val="16"/>
          <w:color w:val="auto"/>
        </w:rPr>
        <w:t>Further,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harmed.</w:t>
      </w:r>
    </w:p>
    <w:p>
      <w:pPr>
        <w:spacing w:after="0" w:line="12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 Such claims could harm our business, financial condition and results of operations.</w:t>
      </w:r>
    </w:p>
    <w:p>
      <w:pPr>
        <w:spacing w:after="0" w:line="74"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6"/>
          <w:szCs w:val="16"/>
          <w:color w:val="auto"/>
        </w:rPr>
        <w:t>As is common in the life sciences industry, our employees, consultants and advisors may be currently or previously employed or engaged at universities or other life sciences companies, including our competitors and potential competitors. Although we try to ensure that our employees, consultants and advisors do not use the proprietary information or know-how of others in their work for us, we may in the future become subject to claims that we or these people have, inadvertently or otherwise, used or disclosed intellectual property, including trade secrets or other proprietary information, of their current or former employer. Also, we may in the future be subject to claims that these people are violating non-compete agreements with their former employers. Litigation may be necessary to defend against these claims. If we fail in defending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w:t>
      </w:r>
    </w:p>
    <w:p>
      <w:pPr>
        <w:spacing w:after="0" w:line="127" w:lineRule="exact"/>
        <w:rPr>
          <w:sz w:val="20"/>
          <w:szCs w:val="20"/>
          <w:color w:val="auto"/>
        </w:rPr>
      </w:pPr>
    </w:p>
    <w:p>
      <w:pPr>
        <w:jc w:val="both"/>
        <w:ind w:firstLine="584"/>
        <w:spacing w:after="0" w:line="279"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jc w:val="both"/>
        <w:ind w:firstLine="584"/>
        <w:spacing w:after="0" w:line="274" w:lineRule="auto"/>
        <w:rPr>
          <w:sz w:val="20"/>
          <w:szCs w:val="20"/>
          <w:color w:val="auto"/>
        </w:rPr>
      </w:pPr>
      <w:r>
        <w:rPr>
          <w:rFonts w:ascii="Arial" w:cs="Arial" w:eastAsia="Arial" w:hAnsi="Arial"/>
          <w:sz w:val="16"/>
          <w:szCs w:val="16"/>
          <w:color w:val="auto"/>
        </w:rPr>
        <w:t>In addition to seeking patent protection for our current and any future products, we also rely upon unpatented trade secrets, know-how and continuing technological innovation to develop and maintain a competitive position, especially where we do not believe patent protection is appropriate or obtainable. Trade secrets and know-how can be difficult to protect. We seek to protect such proprietary information, in part, through non-disclosure and confidentiality agreements with our employees, collaborators, contractors, advisors, consultants and other third parties and invention assignment agreements with our employees. We also have agreements with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23" w:lineRule="exact"/>
        <w:rPr>
          <w:sz w:val="20"/>
          <w:szCs w:val="20"/>
          <w:color w:val="auto"/>
        </w:rPr>
      </w:pPr>
    </w:p>
    <w:p>
      <w:pPr>
        <w:jc w:val="both"/>
        <w:ind w:firstLine="584"/>
        <w:spacing w:after="0" w:line="239" w:lineRule="auto"/>
        <w:rPr>
          <w:sz w:val="20"/>
          <w:szCs w:val="20"/>
          <w:color w:val="auto"/>
        </w:rPr>
      </w:pPr>
      <w:r>
        <w:rPr>
          <w:rFonts w:ascii="Arial" w:cs="Arial" w:eastAsia="Arial" w:hAnsi="Arial"/>
          <w:sz w:val="18"/>
          <w:szCs w:val="18"/>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third-party, we would have no right to prevent them from using that technology or information to compete with us. If any of our trade secrets were to be disclosed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73</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or independently developed by, a competitor or other third-party,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scientific industry positions.</w:t>
      </w:r>
    </w:p>
    <w:p>
      <w:pPr>
        <w:spacing w:after="0" w:line="120" w:lineRule="exact"/>
        <w:rPr>
          <w:sz w:val="20"/>
          <w:szCs w:val="20"/>
          <w:color w:val="auto"/>
        </w:rPr>
      </w:pPr>
    </w:p>
    <w:p>
      <w:pPr>
        <w:jc w:val="both"/>
        <w:ind w:firstLine="584"/>
        <w:spacing w:after="0"/>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people,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harm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a key information technology system, process, or site could have an adverse effect on our business.</w:t>
      </w:r>
    </w:p>
    <w:p>
      <w:pPr>
        <w:spacing w:after="0" w:line="104" w:lineRule="exact"/>
        <w:rPr>
          <w:sz w:val="20"/>
          <w:szCs w:val="20"/>
          <w:color w:val="auto"/>
        </w:rPr>
      </w:pPr>
    </w:p>
    <w:p>
      <w:pPr>
        <w:jc w:val="both"/>
        <w:ind w:firstLine="584"/>
        <w:spacing w:after="0" w:line="268" w:lineRule="auto"/>
        <w:rPr>
          <w:sz w:val="20"/>
          <w:szCs w:val="20"/>
          <w:color w:val="auto"/>
        </w:rPr>
      </w:pPr>
      <w:r>
        <w:rPr>
          <w:rFonts w:ascii="Arial" w:cs="Arial" w:eastAsia="Arial" w:hAnsi="Arial"/>
          <w:sz w:val="16"/>
          <w:szCs w:val="16"/>
          <w:color w:val="auto"/>
        </w:rPr>
        <w:t>We rely extensively on information technology systems to conduct our business. These systems affect, among other things, ordering and managing materials from suppliers, shipping products, processing transactions, complying with regulatory, legal or tax requirements, data security and other processes necessary to manage our business. Our systems and the data contained on them may be subject to computer viruses, ransomware or other malware, attacks by computer hackers, social engineering (including phishing), supply chain attacks, credential stuffing, efforts by individuals or groups of hackers and sophisticated organizations, including state-sponsored organizations, errors or malfeasance of our personnel, and security vulnerabilities in the software or systems on which we rely, and failures during the process of upgrading or replacing software, databases or components thereof. If the confidentiality, integrity, or availability of our systems or our data is compromised due to these, or any number of causes, ranging from catastrophic events and power outages to security breaches, and our business continuity plans do not effectively compensate on a timely basis, we may experience interruptions in our operations, including corruption of our data or release of our confidential information, which could have an adverse effect on our business. Furthermore, any breach in our information technology systems could lead to the unauthorized access, disclosure and use of non-public information, which may be protected by applicable laws. In addition, the COVID-19 pandemic has generally increased the risk of cybersecurity intrusions. For example, there has been an increase in phishing and spam emails as well as social engineering attempts from “hackers” hoping to use the COVID-19 pandemic to their advantage. Any such access, disclosure, or other loss of information could require substantial expenditures to remedy and could result in legal claims or proceedings, liability under laws that protect the privacy of personal information and damage to our reputation.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compromise our ability to offer our services and subject us to possible litigation.</w:t>
      </w:r>
    </w:p>
    <w:p>
      <w:pPr>
        <w:spacing w:after="0" w:line="104" w:lineRule="exact"/>
        <w:rPr>
          <w:sz w:val="20"/>
          <w:szCs w:val="20"/>
          <w:color w:val="auto"/>
        </w:rPr>
      </w:pPr>
    </w:p>
    <w:p>
      <w:pPr>
        <w:jc w:val="both"/>
        <w:ind w:firstLine="584"/>
        <w:spacing w:after="0" w:line="270" w:lineRule="auto"/>
        <w:rPr>
          <w:sz w:val="20"/>
          <w:szCs w:val="20"/>
          <w:color w:val="auto"/>
        </w:rPr>
      </w:pPr>
      <w:r>
        <w:rPr>
          <w:rFonts w:ascii="Arial" w:cs="Arial" w:eastAsia="Arial" w:hAnsi="Arial"/>
          <w:sz w:val="16"/>
          <w:szCs w:val="16"/>
          <w:color w:val="auto"/>
        </w:rPr>
        <w:t>We use open source software in connection with the software integrated in our instruments.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software containing open source software to publicly disclose all or part of the source code to the licensee’s software that incorporates, links or uses such open source software, and make available to third parties for no cost, any derivative works of the open source code created by the licensee, which could include the licensee’s own valuable proprietary code.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foregoing could harm our business, financial condition, results of operations and prospects.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104" w:lineRule="exact"/>
        <w:rPr>
          <w:sz w:val="20"/>
          <w:szCs w:val="20"/>
          <w:color w:val="auto"/>
        </w:rPr>
      </w:pPr>
    </w:p>
    <w:p>
      <w:pPr>
        <w:jc w:val="both"/>
        <w:ind w:firstLine="578"/>
        <w:spacing w:after="0" w:line="263" w:lineRule="auto"/>
        <w:rPr>
          <w:sz w:val="20"/>
          <w:szCs w:val="20"/>
          <w:color w:val="auto"/>
        </w:rPr>
      </w:pPr>
      <w:r>
        <w:rPr>
          <w:rFonts w:ascii="Arial" w:cs="Arial" w:eastAsia="Arial" w:hAnsi="Arial"/>
          <w:sz w:val="18"/>
          <w:szCs w:val="18"/>
          <w:color w:val="auto"/>
        </w:rPr>
        <w:t>The market price of our common stock may be highly volatile and may fluctuate or decline substantially as a result of a variety of factors, some of which are beyond our control, including limited trading volume. In addition to the factors discussed in this “Risk Factors” section and elsewhere in this Quarterly Report on Form 10-Q, these factors include:</w:t>
      </w:r>
    </w:p>
    <w:p>
      <w:pPr>
        <w:spacing w:after="0" w:line="157" w:lineRule="exact"/>
        <w:rPr>
          <w:sz w:val="20"/>
          <w:szCs w:val="20"/>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degree and rate of market adoption of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 or investors;</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results of operations, including as a result of anticipated or unanticipated demand based on seasonal factors;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74</w:t>
      </w:r>
    </w:p>
    <w:p>
      <w:pPr>
        <w:spacing w:after="0" w:line="104"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negative publicity associated with issues related to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 by us or our stockholders, as well as the anticipation of lock-up releases;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for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adverse developments concerning any of our third-party distribution partners and suppliers, including our single and sole-source suppliers;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inability to engage additional distribution partners and establish collaborations, if needed;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performance or news releases by other companies in our industry including about adverse developments related to safety, effectiveness, accuracy and usability of their products, reputational concerns, regulatory compliance, and product recalls;</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regulatory and market conditions, including economic recessions or slowdowns, the COVID-19 pandemic, the recent Russian incursion into Ukraine and the general inflationary environment;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04" w:lineRule="exact"/>
        <w:rPr>
          <w:sz w:val="20"/>
          <w:szCs w:val="20"/>
          <w:color w:val="auto"/>
        </w:rPr>
      </w:pPr>
    </w:p>
    <w:p>
      <w:pPr>
        <w:jc w:val="both"/>
        <w:ind w:firstLine="584"/>
        <w:spacing w:after="0" w:line="257" w:lineRule="auto"/>
        <w:rPr>
          <w:sz w:val="20"/>
          <w:szCs w:val="20"/>
          <w:color w:val="auto"/>
        </w:rPr>
      </w:pPr>
      <w:r>
        <w:rPr>
          <w:rFonts w:ascii="Arial" w:cs="Arial" w:eastAsia="Arial" w:hAnsi="Arial"/>
          <w:sz w:val="17"/>
          <w:szCs w:val="17"/>
          <w:color w:val="auto"/>
        </w:rPr>
        <w:t>Broad market and industry fluctuations, as well as general economic, pandemic, political, regulatory, and market conditions, may negatively impact the market price of our common stock. In addition, given the relatively small public float of shares of our common stock on the Nasdaq Global Select Market (the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have broad discretion in the use of our cash and may invest or spend the funds in ways with which you do not agree and in ways that may not yield a return.</w:t>
      </w:r>
    </w:p>
    <w:p>
      <w:pPr>
        <w:spacing w:after="0" w:line="63" w:lineRule="exact"/>
        <w:rPr>
          <w:sz w:val="20"/>
          <w:szCs w:val="20"/>
          <w:color w:val="auto"/>
        </w:rPr>
      </w:pPr>
    </w:p>
    <w:p>
      <w:pPr>
        <w:jc w:val="both"/>
        <w:ind w:firstLine="584"/>
        <w:spacing w:after="0" w:line="255" w:lineRule="auto"/>
        <w:rPr>
          <w:sz w:val="20"/>
          <w:szCs w:val="20"/>
          <w:color w:val="auto"/>
        </w:rPr>
      </w:pPr>
      <w:r>
        <w:rPr>
          <w:rFonts w:ascii="Arial" w:cs="Arial" w:eastAsia="Arial" w:hAnsi="Arial"/>
          <w:sz w:val="17"/>
          <w:szCs w:val="17"/>
          <w:color w:val="auto"/>
        </w:rPr>
        <w:t>We will have broad discretion over the use of our cash. Investors may not agree with our decisions, and our use of cash may not yield any return on your investment. We currently intend to use our cash to fund manufacturing activities, sales and marketing activities, including the hiring and training of additional sales and marketing personnel, and the remainder for working capital and general corporate purposes, including research and development activities. In addition, a portion of our cash may also be used to acquire assets or complementary businesses. Our failure to use our cash effectively could impair our ability to pursue our growth strategy or could require us to raise additional capital. In addition, pending their use, our cash may be placed in investments that do not produce income or that may lose value. If we do not invest or apply our cash in ways that enhance stockholder value, we may fail to achieve expected financial results, which could cause our stock price to decline.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future sales of shares of our common stock could cause the market price of our common stock to decline.</w:t>
      </w:r>
    </w:p>
    <w:p>
      <w:pPr>
        <w:spacing w:after="0" w:line="104" w:lineRule="exact"/>
        <w:rPr>
          <w:sz w:val="20"/>
          <w:szCs w:val="20"/>
          <w:color w:val="auto"/>
        </w:rPr>
      </w:pPr>
    </w:p>
    <w:p>
      <w:pPr>
        <w:jc w:val="both"/>
        <w:ind w:firstLine="578"/>
        <w:spacing w:after="0" w:line="286" w:lineRule="auto"/>
        <w:rPr>
          <w:sz w:val="20"/>
          <w:szCs w:val="20"/>
          <w:color w:val="auto"/>
        </w:rPr>
      </w:pPr>
      <w:r>
        <w:rPr>
          <w:rFonts w:ascii="Arial" w:cs="Arial" w:eastAsia="Arial" w:hAnsi="Arial"/>
          <w:sz w:val="17"/>
          <w:szCs w:val="17"/>
          <w:color w:val="auto"/>
        </w:rPr>
        <w:t>Sales and issuances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and issuances may have on the prevailing market price of our common stock.</w:t>
      </w:r>
    </w:p>
    <w:p>
      <w:pPr>
        <w:spacing w:after="0" w:line="138" w:lineRule="exact"/>
        <w:rPr>
          <w:sz w:val="20"/>
          <w:szCs w:val="20"/>
          <w:color w:val="auto"/>
        </w:rPr>
      </w:pPr>
    </w:p>
    <w:p>
      <w:pPr>
        <w:jc w:val="both"/>
        <w:ind w:firstLine="578"/>
        <w:spacing w:after="0" w:line="301" w:lineRule="auto"/>
        <w:rPr>
          <w:sz w:val="20"/>
          <w:szCs w:val="20"/>
          <w:color w:val="auto"/>
        </w:rPr>
      </w:pPr>
      <w:r>
        <w:rPr>
          <w:rFonts w:ascii="Arial" w:cs="Arial" w:eastAsia="Arial" w:hAnsi="Arial"/>
          <w:sz w:val="16"/>
          <w:szCs w:val="16"/>
          <w:color w:val="auto"/>
        </w:rPr>
        <w:t>In addition, certain of our stockholders have registration rights that would require us to register shares owned by them for public sale in the United States. We have also filed a registration statement to register shares reserved for future issuance under our equity compensation plans. As a result, subject to the satisfaction of applicable exercise periods and applicable volume and restrictions that apply to affiliates, the shares issued upon exercise of outstanding stock options or upon settlement of outstanding restricted stock unit awards are available for immediate resale in the United States in the open market.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75</w:t>
      </w:r>
    </w:p>
    <w:p>
      <w:pPr>
        <w:spacing w:after="0" w:line="104" w:lineRule="exact"/>
        <w:rPr>
          <w:sz w:val="20"/>
          <w:szCs w:val="20"/>
          <w:color w:val="auto"/>
        </w:rPr>
      </w:pPr>
    </w:p>
    <w:p>
      <w:pPr>
        <w:jc w:val="both"/>
        <w:ind w:right="20" w:firstLine="578"/>
        <w:spacing w:after="0" w:line="263" w:lineRule="auto"/>
        <w:rPr>
          <w:sz w:val="20"/>
          <w:szCs w:val="20"/>
          <w:color w:val="auto"/>
        </w:rPr>
      </w:pPr>
      <w:r>
        <w:rPr>
          <w:rFonts w:ascii="Arial" w:cs="Arial" w:eastAsia="Arial" w:hAnsi="Arial"/>
          <w:sz w:val="18"/>
          <w:szCs w:val="18"/>
          <w:color w:val="auto"/>
        </w:rPr>
        <w:t>Sales of shares of our common stock could also impair our ability to raise capital through the sale of additional equity securities in the future and at a price we deem appropriate. These sales could also cause the trading price of our common stock to decline and make it more difficult for you to sell shares of our common stock.</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executive officers, directors and principal stockholders may prevent new investors from influencing significant corporate decisions.</w:t>
      </w:r>
    </w:p>
    <w:p>
      <w:pPr>
        <w:spacing w:after="0" w:line="63" w:lineRule="exact"/>
        <w:rPr>
          <w:sz w:val="20"/>
          <w:szCs w:val="20"/>
          <w:color w:val="auto"/>
        </w:rPr>
      </w:pPr>
    </w:p>
    <w:p>
      <w:pPr>
        <w:jc w:val="both"/>
        <w:ind w:firstLine="578"/>
        <w:spacing w:after="0" w:line="272" w:lineRule="auto"/>
        <w:rPr>
          <w:sz w:val="20"/>
          <w:szCs w:val="20"/>
          <w:color w:val="auto"/>
        </w:rPr>
      </w:pPr>
      <w:r>
        <w:rPr>
          <w:rFonts w:ascii="Arial" w:cs="Arial" w:eastAsia="Arial" w:hAnsi="Arial"/>
          <w:sz w:val="17"/>
          <w:szCs w:val="17"/>
          <w:color w:val="auto"/>
        </w:rPr>
        <w:t>Based on the number of shares of common stock outstanding as of March 31, 2022, our executive officers, directors and current beneficial owners of 5% or more of our common stock will, in the aggregate, beneficially own approximately 44.8% of our common stock. These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For example, because many of these stockholders purchased their shares at prices substantially below the current market price or our shares and have held their shares for a longer period, they may be more interested in selling our company to an acquirer than other investors, or they may want us to pursue strategies that deviate from the interests of other stockholders.</w:t>
      </w:r>
    </w:p>
    <w:p>
      <w:pPr>
        <w:spacing w:after="0" w:line="1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63" w:lineRule="exact"/>
        <w:rPr>
          <w:sz w:val="20"/>
          <w:szCs w:val="20"/>
          <w:color w:val="auto"/>
        </w:rPr>
      </w:pPr>
    </w:p>
    <w:p>
      <w:pPr>
        <w:jc w:val="both"/>
        <w:ind w:firstLine="584"/>
        <w:spacing w:after="0" w:line="243"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common stock after price appreciation, which may never occur, as the only way to realize any future gains on their investments.</w:t>
      </w:r>
    </w:p>
    <w:p>
      <w:pPr>
        <w:spacing w:after="0" w:line="161" w:lineRule="exact"/>
        <w:rPr>
          <w:sz w:val="20"/>
          <w:szCs w:val="20"/>
          <w:color w:val="auto"/>
        </w:rPr>
      </w:pPr>
    </w:p>
    <w:p>
      <w:pPr>
        <w:jc w:val="both"/>
        <w:spacing w:after="0" w:line="356"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our compliance with the reduced reporting and disclosure requirements applicable to emerging growth companies and smaller reporting companies could make our common stock less attractive to investors.</w:t>
      </w:r>
    </w:p>
    <w:p>
      <w:pPr>
        <w:spacing w:after="0" w:line="1" w:lineRule="exact"/>
        <w:rPr>
          <w:sz w:val="20"/>
          <w:szCs w:val="20"/>
          <w:color w:val="auto"/>
        </w:rPr>
      </w:pPr>
    </w:p>
    <w:p>
      <w:pPr>
        <w:jc w:val="both"/>
        <w:ind w:firstLine="584"/>
        <w:spacing w:after="0" w:line="241" w:lineRule="auto"/>
        <w:rPr>
          <w:sz w:val="20"/>
          <w:szCs w:val="20"/>
          <w:color w:val="auto"/>
        </w:rPr>
      </w:pPr>
      <w:r>
        <w:rPr>
          <w:rFonts w:ascii="Arial" w:cs="Arial" w:eastAsia="Arial" w:hAnsi="Arial"/>
          <w:sz w:val="18"/>
          <w:szCs w:val="18"/>
          <w:color w:val="auto"/>
        </w:rPr>
        <w:t>We are an “emerging growth company,” as defined in the JOBS Act, and we expect to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adoption period for accounting pronouncements.</w:t>
      </w:r>
    </w:p>
    <w:p>
      <w:pPr>
        <w:spacing w:after="0" w:line="149" w:lineRule="exact"/>
        <w:rPr>
          <w:sz w:val="20"/>
          <w:szCs w:val="20"/>
          <w:color w:val="auto"/>
        </w:rPr>
      </w:pPr>
    </w:p>
    <w:p>
      <w:pPr>
        <w:jc w:val="both"/>
        <w:ind w:firstLine="584"/>
        <w:spacing w:after="0"/>
        <w:rPr>
          <w:sz w:val="20"/>
          <w:szCs w:val="20"/>
          <w:color w:val="auto"/>
        </w:rPr>
      </w:pPr>
      <w:r>
        <w:rPr>
          <w:rFonts w:ascii="Arial" w:cs="Arial" w:eastAsia="Arial" w:hAnsi="Arial"/>
          <w:sz w:val="18"/>
          <w:szCs w:val="18"/>
          <w:color w:val="auto"/>
        </w:rPr>
        <w:t>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62" w:lineRule="exact"/>
        <w:rPr>
          <w:sz w:val="20"/>
          <w:szCs w:val="20"/>
          <w:color w:val="auto"/>
        </w:rPr>
      </w:pPr>
    </w:p>
    <w:p>
      <w:pPr>
        <w:jc w:val="both"/>
        <w:ind w:firstLine="584"/>
        <w:spacing w:after="0" w:line="291" w:lineRule="auto"/>
        <w:rPr>
          <w:sz w:val="20"/>
          <w:szCs w:val="20"/>
          <w:color w:val="auto"/>
        </w:rPr>
      </w:pPr>
      <w:r>
        <w:rPr>
          <w:rFonts w:ascii="Arial" w:cs="Arial" w:eastAsia="Arial" w:hAnsi="Arial"/>
          <w:sz w:val="17"/>
          <w:szCs w:val="17"/>
          <w:color w:val="auto"/>
        </w:rPr>
        <w:t>Investors may find our common stock less attractive as a result of our reliance on these exemptions. If some investors find our common stock less attractive as a result, there may be a less active trading market for our common stock and our stock price may be more volatile.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jc w:val="both"/>
        <w:ind w:firstLine="584"/>
        <w:spacing w:after="0" w:line="241"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62" w:lineRule="exact"/>
        <w:rPr>
          <w:sz w:val="20"/>
          <w:szCs w:val="20"/>
          <w:color w:val="auto"/>
        </w:rPr>
      </w:pPr>
    </w:p>
    <w:p>
      <w:pPr>
        <w:jc w:val="both"/>
        <w:ind w:firstLine="584"/>
        <w:spacing w:after="0" w:line="243"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76</w:t>
      </w:r>
    </w:p>
    <w:p>
      <w:pPr>
        <w:spacing w:after="0" w:line="12"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32" w:lineRule="exact"/>
        <w:rPr>
          <w:sz w:val="20"/>
          <w:szCs w:val="20"/>
          <w:color w:val="auto"/>
        </w:rPr>
      </w:pPr>
    </w:p>
    <w:p>
      <w:pPr>
        <w:ind w:firstLine="584"/>
        <w:spacing w:after="0" w:line="324"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97" w:lineRule="exact"/>
        <w:rPr>
          <w:sz w:val="20"/>
          <w:szCs w:val="20"/>
          <w:color w:val="auto"/>
        </w:rPr>
      </w:pPr>
    </w:p>
    <w:p>
      <w:pPr>
        <w:ind w:left="102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rFonts w:ascii="Arial" w:cs="Arial" w:eastAsia="Arial" w:hAnsi="Arial"/>
          <w:sz w:val="18"/>
          <w:szCs w:val="18"/>
          <w:color w:val="auto"/>
        </w:rPr>
      </w:pPr>
    </w:p>
    <w:p>
      <w:pPr>
        <w:ind w:left="1020" w:right="2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chairman of the board of directors, the chief executive officer, the president, or by a majority of the total number of authorized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03"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7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62" w:lineRule="exact"/>
        <w:rPr>
          <w:rFonts w:ascii="Arial" w:cs="Arial" w:eastAsia="Arial" w:hAnsi="Arial"/>
          <w:sz w:val="18"/>
          <w:szCs w:val="18"/>
          <w:color w:val="auto"/>
        </w:rPr>
      </w:pPr>
    </w:p>
    <w:p>
      <w:pPr>
        <w:jc w:val="both"/>
        <w:ind w:left="1020" w:hanging="503"/>
        <w:spacing w:after="0" w:line="248"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authority of the board of directors to issue redeemable convertible preferred stock on terms determined by the board of directors without stockholder approval and which redeemable convertible preferred stock may include rights superior to the rights of the holders of common stock.</w:t>
      </w:r>
    </w:p>
    <w:p>
      <w:pPr>
        <w:spacing w:after="0" w:line="74" w:lineRule="exact"/>
        <w:rPr>
          <w:sz w:val="20"/>
          <w:szCs w:val="20"/>
          <w:color w:val="auto"/>
        </w:rPr>
      </w:pPr>
    </w:p>
    <w:p>
      <w:pPr>
        <w:jc w:val="both"/>
        <w:ind w:firstLine="578"/>
        <w:spacing w:after="0" w:line="254"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which may prohibit certain business antitakeover provisions and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74" w:lineRule="exact"/>
        <w:rPr>
          <w:sz w:val="20"/>
          <w:szCs w:val="20"/>
          <w:color w:val="auto"/>
        </w:rPr>
      </w:pPr>
    </w:p>
    <w:p>
      <w:pPr>
        <w:jc w:val="both"/>
        <w:ind w:firstLine="578"/>
        <w:spacing w:after="0" w:line="269"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Delaware General Corporation Law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158" w:lineRule="exact"/>
        <w:rPr>
          <w:sz w:val="20"/>
          <w:szCs w:val="20"/>
          <w:color w:val="auto"/>
        </w:rPr>
      </w:pPr>
    </w:p>
    <w:p>
      <w:pPr>
        <w:jc w:val="both"/>
        <w:ind w:firstLine="578"/>
        <w:spacing w:after="0" w:line="254" w:lineRule="auto"/>
        <w:rPr>
          <w:sz w:val="20"/>
          <w:szCs w:val="20"/>
          <w:color w:val="auto"/>
        </w:rPr>
      </w:pPr>
      <w:r>
        <w:rPr>
          <w:rFonts w:ascii="Arial" w:cs="Arial" w:eastAsia="Arial" w:hAnsi="Arial"/>
          <w:sz w:val="18"/>
          <w:szCs w:val="18"/>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77</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 provisions may not be enforced by a court in those other jurisdictions.</w:t>
      </w:r>
    </w:p>
    <w:p>
      <w:pPr>
        <w:spacing w:after="0" w:line="160" w:lineRule="exact"/>
        <w:rPr>
          <w:sz w:val="20"/>
          <w:szCs w:val="20"/>
          <w:color w:val="auto"/>
        </w:rPr>
      </w:pPr>
    </w:p>
    <w:p>
      <w:pPr>
        <w:jc w:val="both"/>
        <w:ind w:firstLine="578"/>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such action in other jurisdictions, all of which could seriously harm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and procedures over financial reporting, and any failure to maintain the adequacy of these internal controls in a timely or efficient manner may adversely affect investor confidence in our company and, as a result, the value of our common stock.</w:t>
      </w:r>
    </w:p>
    <w:p>
      <w:pPr>
        <w:spacing w:after="0" w:line="74" w:lineRule="exact"/>
        <w:rPr>
          <w:sz w:val="20"/>
          <w:szCs w:val="20"/>
          <w:color w:val="auto"/>
        </w:rPr>
      </w:pPr>
    </w:p>
    <w:p>
      <w:pPr>
        <w:jc w:val="both"/>
        <w:ind w:firstLine="578"/>
        <w:spacing w:after="0" w:line="255" w:lineRule="auto"/>
        <w:rPr>
          <w:sz w:val="20"/>
          <w:szCs w:val="20"/>
          <w:color w:val="auto"/>
        </w:rPr>
      </w:pPr>
      <w:r>
        <w:rPr>
          <w:rFonts w:ascii="Arial" w:cs="Arial" w:eastAsia="Arial" w:hAnsi="Arial"/>
          <w:sz w:val="18"/>
          <w:szCs w:val="18"/>
          <w:color w:val="auto"/>
        </w:rPr>
        <w:t>We are required, pursuant to Section 404 of the Sarbanes–Oxley Act, to furnish a report by management on, among other things, the effectiveness of our internal control and procedures over financial reporting for the fiscal year ending December 31, 2022, which is the year covered by the second annual report following the completion of our IPO.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if we are not a non-accelerated filer at such time.</w:t>
      </w:r>
    </w:p>
    <w:p>
      <w:pPr>
        <w:spacing w:after="0" w:line="165" w:lineRule="exact"/>
        <w:rPr>
          <w:sz w:val="20"/>
          <w:szCs w:val="20"/>
          <w:color w:val="auto"/>
        </w:rPr>
      </w:pPr>
    </w:p>
    <w:p>
      <w:pPr>
        <w:jc w:val="both"/>
        <w:ind w:firstLine="584"/>
        <w:spacing w:after="0" w:line="276" w:lineRule="auto"/>
        <w:rPr>
          <w:sz w:val="20"/>
          <w:szCs w:val="20"/>
          <w:color w:val="auto"/>
        </w:rPr>
      </w:pPr>
      <w:r>
        <w:rPr>
          <w:rFonts w:ascii="Arial" w:cs="Arial" w:eastAsia="Arial" w:hAnsi="Arial"/>
          <w:sz w:val="16"/>
          <w:szCs w:val="16"/>
          <w:color w:val="auto"/>
        </w:rPr>
        <w:t>If we are unable to conclude that our internal control and procedures over financial reporting is effective, or if our independent registered public accounting firm determines we have material weaknesses in our internal control over financial reporting, we could lose investor confidence in the accuracy and completeness of our financial reports, it would be possible that a material misstatement of our financial statements would not be prevented or detected on a timely basis, and as a result, the market price of our common stock could decline, and we could be subject to sanctions or investigations by the SEC or other regulatory authorities.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12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74" w:lineRule="exact"/>
        <w:rPr>
          <w:sz w:val="20"/>
          <w:szCs w:val="20"/>
          <w:color w:val="auto"/>
        </w:rPr>
      </w:pPr>
    </w:p>
    <w:p>
      <w:pPr>
        <w:jc w:val="both"/>
        <w:ind w:firstLine="584"/>
        <w:spacing w:after="0" w:line="270" w:lineRule="auto"/>
        <w:rPr>
          <w:sz w:val="20"/>
          <w:szCs w:val="20"/>
          <w:color w:val="auto"/>
        </w:rPr>
      </w:pPr>
      <w:r>
        <w:rPr>
          <w:rFonts w:ascii="Arial" w:cs="Arial" w:eastAsia="Arial" w:hAnsi="Arial"/>
          <w:sz w:val="16"/>
          <w:szCs w:val="16"/>
          <w:color w:val="auto"/>
        </w:rPr>
        <w:t>The preparation of our consolidated financial statements in conformity with generally accepted accounting principles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example, in connection with the revenue accounting standard, Accounting Standards Codification, or ASC, Topic 606, management makes judgments and assumptions based on our interpretation of the new standard. The revenue standard is principle-based and interpretation of those principles may vary from company to company based on their unique circumstances. It is possible that interpretation, industry practice and guidance may evolve as we apply the standard. If our assumptions underlying our estimates and judgments relating to our 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common stock.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04" w:lineRule="exact"/>
        <w:rPr>
          <w:sz w:val="20"/>
          <w:szCs w:val="20"/>
          <w:color w:val="auto"/>
        </w:rPr>
      </w:pPr>
    </w:p>
    <w:p>
      <w:pPr>
        <w:jc w:val="both"/>
        <w:ind w:right="20" w:firstLine="584"/>
        <w:spacing w:after="0" w:line="270" w:lineRule="auto"/>
        <w:rPr>
          <w:sz w:val="20"/>
          <w:szCs w:val="20"/>
          <w:color w:val="auto"/>
        </w:rPr>
      </w:pPr>
      <w:r>
        <w:rPr>
          <w:rFonts w:ascii="Arial" w:cs="Arial" w:eastAsia="Arial" w:hAnsi="Arial"/>
          <w:sz w:val="17"/>
          <w:szCs w:val="17"/>
          <w:color w:val="auto"/>
        </w:rPr>
        <w:t>In the past, securities class action litigation has often been brought against companies following a decline in the market price of its securities. This risk is especially relevant for us because life sciences companies have experienced significant stock price volatility in recent years. If we face such litigation, it could result in substantial costs and a diversion of management’s attention and resources, which could harm our business.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78</w:t>
      </w:r>
    </w:p>
    <w:p>
      <w:pPr>
        <w:spacing w:after="0" w:line="1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78" w:lineRule="exact"/>
        <w:rPr>
          <w:sz w:val="20"/>
          <w:szCs w:val="20"/>
          <w:color w:val="auto"/>
        </w:rPr>
      </w:pPr>
    </w:p>
    <w:p>
      <w:pPr>
        <w:jc w:val="both"/>
        <w:ind w:firstLine="584"/>
        <w:spacing w:after="0" w:line="254" w:lineRule="auto"/>
        <w:rPr>
          <w:sz w:val="20"/>
          <w:szCs w:val="20"/>
          <w:color w:val="auto"/>
        </w:rPr>
      </w:pPr>
      <w:r>
        <w:rPr>
          <w:rFonts w:ascii="Arial" w:cs="Arial" w:eastAsia="Arial" w:hAnsi="Arial"/>
          <w:sz w:val="17"/>
          <w:szCs w:val="17"/>
          <w:color w:val="auto"/>
        </w:rPr>
        <w:t>As a public company, we have incurred and will continue to incur significant legal, accounting, and other expenses that we did not incur as a private company. We expect such expenses to further increase after we are no longer an emerging growth company. The Sarbanes-Oxley Act, the Dodd-Frank Wall Street Reform and Consumer Protection Act, the listing requirements of Nasdaq and other applicable securities rules and regulations impose various requirements on public companies. Furthermore, the senior members of our management team do not have significant experience with operating a public company. As a result, our management and other personnel will have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timing of such costs, which could negatively affect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common stock.</w:t>
      </w:r>
    </w:p>
    <w:p>
      <w:pPr>
        <w:spacing w:after="0" w:line="104" w:lineRule="exact"/>
        <w:rPr>
          <w:sz w:val="20"/>
          <w:szCs w:val="20"/>
          <w:color w:val="auto"/>
        </w:rPr>
      </w:pPr>
    </w:p>
    <w:p>
      <w:pPr>
        <w:jc w:val="both"/>
        <w:ind w:firstLine="584"/>
        <w:spacing w:after="0"/>
        <w:rPr>
          <w:sz w:val="20"/>
          <w:szCs w:val="20"/>
          <w:color w:val="auto"/>
        </w:rPr>
      </w:pPr>
      <w:r>
        <w:rPr>
          <w:rFonts w:ascii="Arial" w:cs="Arial" w:eastAsia="Arial" w:hAnsi="Arial"/>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spacing w:after="0" w:line="149" w:lineRule="exact"/>
        <w:rPr>
          <w:sz w:val="20"/>
          <w:szCs w:val="20"/>
          <w:color w:val="auto"/>
        </w:rPr>
      </w:pPr>
    </w:p>
    <w:p>
      <w:pPr>
        <w:jc w:val="both"/>
        <w:ind w:firstLine="36"/>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common stock price and trading volume could decline.</w:t>
      </w:r>
    </w:p>
    <w:p>
      <w:pPr>
        <w:spacing w:after="0" w:line="63" w:lineRule="exact"/>
        <w:rPr>
          <w:sz w:val="20"/>
          <w:szCs w:val="20"/>
          <w:color w:val="auto"/>
        </w:rPr>
      </w:pPr>
    </w:p>
    <w:p>
      <w:pPr>
        <w:jc w:val="both"/>
        <w:ind w:firstLine="584"/>
        <w:spacing w:after="0" w:line="248" w:lineRule="auto"/>
        <w:rPr>
          <w:sz w:val="20"/>
          <w:szCs w:val="20"/>
          <w:color w:val="auto"/>
        </w:rPr>
      </w:pPr>
      <w:r>
        <w:rPr>
          <w:rFonts w:ascii="Arial" w:cs="Arial" w:eastAsia="Arial" w:hAnsi="Arial"/>
          <w:sz w:val="18"/>
          <w:szCs w:val="18"/>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155" w:lineRule="exact"/>
        <w:rPr>
          <w:sz w:val="20"/>
          <w:szCs w:val="20"/>
          <w:color w:val="auto"/>
        </w:rPr>
      </w:pPr>
    </w:p>
    <w:p>
      <w:pPr>
        <w:jc w:val="both"/>
        <w:ind w:firstLine="584"/>
        <w:spacing w:after="0" w:line="259"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or industry analysts publish about us or our business. We do not have any control over these analysts. If the number of analysts that cover us declines, demand for our common stock could decrease and our common stock price and trading volume may decline. 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33" w:lineRule="exact"/>
        <w:rPr>
          <w:sz w:val="20"/>
          <w:szCs w:val="20"/>
          <w:color w:val="auto"/>
        </w:rPr>
      </w:pPr>
    </w:p>
    <w:p>
      <w:pPr>
        <w:jc w:val="both"/>
        <w:ind w:firstLine="584"/>
        <w:spacing w:after="0" w:line="270" w:lineRule="auto"/>
        <w:rPr>
          <w:sz w:val="20"/>
          <w:szCs w:val="20"/>
          <w:color w:val="auto"/>
        </w:rPr>
      </w:pPr>
      <w:r>
        <w:rPr>
          <w:rFonts w:ascii="Arial" w:cs="Arial" w:eastAsia="Arial" w:hAnsi="Arial"/>
          <w:sz w:val="17"/>
          <w:szCs w:val="17"/>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(“NOLs”) to offset future taxable income may be subject to certain limitations.</w:t>
      </w:r>
    </w:p>
    <w:p>
      <w:pPr>
        <w:spacing w:after="0" w:line="104" w:lineRule="exact"/>
        <w:rPr>
          <w:sz w:val="20"/>
          <w:szCs w:val="20"/>
          <w:color w:val="auto"/>
        </w:rPr>
      </w:pPr>
    </w:p>
    <w:p>
      <w:pPr>
        <w:jc w:val="both"/>
        <w:ind w:firstLine="584"/>
        <w:spacing w:after="0" w:line="248" w:lineRule="auto"/>
        <w:rPr>
          <w:sz w:val="20"/>
          <w:szCs w:val="20"/>
          <w:color w:val="auto"/>
        </w:rPr>
      </w:pPr>
      <w:r>
        <w:rPr>
          <w:rFonts w:ascii="Arial" w:cs="Arial" w:eastAsia="Arial" w:hAnsi="Arial"/>
          <w:sz w:val="18"/>
          <w:szCs w:val="18"/>
          <w:color w:val="auto"/>
        </w:rPr>
        <w:t>As of December 31, 2021, we had no federal NOL carryforwards and state NOL carryforwards of approximately $2.1 million. Certain state NOLs will begin to expire in the calendar year 2036, unless previously utilized. Certain NOL carryforwards subject to expiration could expire unused and be unavailable to offset future income tax liabilities.</w:t>
      </w:r>
    </w:p>
    <w:p>
      <w:pPr>
        <w:spacing w:after="0" w:line="141" w:lineRule="exact"/>
        <w:rPr>
          <w:sz w:val="20"/>
          <w:szCs w:val="20"/>
          <w:color w:val="auto"/>
        </w:rPr>
      </w:pPr>
    </w:p>
    <w:p>
      <w:pPr>
        <w:jc w:val="both"/>
        <w:ind w:firstLine="584"/>
        <w:spacing w:after="0" w:line="279" w:lineRule="auto"/>
        <w:rPr>
          <w:sz w:val="20"/>
          <w:szCs w:val="20"/>
          <w:color w:val="auto"/>
        </w:rPr>
      </w:pPr>
      <w:r>
        <w:rPr>
          <w:rFonts w:ascii="Arial" w:cs="Arial" w:eastAsia="Arial" w:hAnsi="Arial"/>
          <w:sz w:val="16"/>
          <w:szCs w:val="16"/>
          <w:color w:val="auto"/>
        </w:rPr>
        <w:t>Under the Tax Cuts and Jobs Act, or the Tax Act, as modified by the Coronavirus Aid, Relief and Economic Security Act, or CARES Act, federal NOLs incurred in taxable years beginning after December 31, 2017 may be carried forward indefinitely, but the deductibility of such federal NOLs in taxable years beginning after December 31, 2020 is limited to 80% of taxable income in such years. There is variation in how states have responded and may continue to respond to the Tax Act and CARES Act. In addition, for state income tax purposes, there may be periods during which the use of NOLs is suspended or otherwise limited, such as recent California legislation limiting the usability of NOLs for tax years beginning in 2020 and before 2023.</w:t>
      </w:r>
    </w:p>
    <w:p>
      <w:pPr>
        <w:spacing w:after="0" w:line="132" w:lineRule="exact"/>
        <w:rPr>
          <w:sz w:val="20"/>
          <w:szCs w:val="20"/>
          <w:color w:val="auto"/>
        </w:rPr>
      </w:pPr>
    </w:p>
    <w:p>
      <w:pPr>
        <w:jc w:val="both"/>
        <w:ind w:firstLine="584"/>
        <w:spacing w:after="0"/>
        <w:rPr>
          <w:sz w:val="20"/>
          <w:szCs w:val="20"/>
          <w:color w:val="auto"/>
        </w:rPr>
      </w:pPr>
      <w:r>
        <w:rPr>
          <w:rFonts w:ascii="Arial" w:cs="Arial" w:eastAsia="Arial" w:hAnsi="Arial"/>
          <w:sz w:val="18"/>
          <w:szCs w:val="18"/>
          <w:color w:val="auto"/>
        </w:rPr>
        <w:t>Separately, under Section 382 of the Internal Revenue Code of 1986, as amended (the “Code”)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Similar rules may apply under state tax laws. We determined that an ownership change occurred on September 7, 2018, October 23, 2020, and in connection with our IPO on July 23, 2021. As of December 31, 2021, we had not experienced an ownership change subsequent to the ownership change on July 23, 2021. In addition, we may in the future experience ownership changes,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79</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a result of our IPO or other changes in our stock ownership (some of which are not in our control). If an ownership change occurs, our ability to utilize our NOL carryforwards and other tax attributes to reduce future tax liabilities may be limited.</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85"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26" w:lineRule="exact"/>
        <w:rPr>
          <w:rFonts w:ascii="Arial" w:cs="Arial" w:eastAsia="Arial" w:hAnsi="Arial"/>
          <w:sz w:val="16"/>
          <w:szCs w:val="16"/>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103" w:lineRule="exact"/>
        <w:rPr>
          <w:rFonts w:ascii="Arial" w:cs="Arial" w:eastAsia="Arial" w:hAnsi="Arial"/>
          <w:sz w:val="18"/>
          <w:szCs w:val="18"/>
          <w:color w:val="auto"/>
        </w:rPr>
      </w:pPr>
    </w:p>
    <w:p>
      <w:pPr>
        <w:ind w:left="1020" w:hanging="503"/>
        <w:spacing w:after="0" w:line="291"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104" w:lineRule="exact"/>
        <w:rPr>
          <w:sz w:val="20"/>
          <w:szCs w:val="20"/>
          <w:color w:val="auto"/>
        </w:rPr>
      </w:pPr>
    </w:p>
    <w:p>
      <w:pPr>
        <w:jc w:val="both"/>
        <w:ind w:firstLine="584"/>
        <w:spacing w:after="0" w:line="243" w:lineRule="auto"/>
        <w:rPr>
          <w:sz w:val="20"/>
          <w:szCs w:val="20"/>
          <w:color w:val="auto"/>
        </w:rPr>
      </w:pPr>
      <w:r>
        <w:rPr>
          <w:rFonts w:ascii="Arial" w:cs="Arial" w:eastAsia="Arial" w:hAnsi="Arial"/>
          <w:sz w:val="18"/>
          <w:szCs w:val="18"/>
          <w:color w:val="auto"/>
        </w:rPr>
        <w:t>Additionally, a tax authority may disagree with tax positions that we have taken, which could result in increased tax liabilities. For example,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tax law and regulations may have a material adverse effect on our business, financial condition and results of operations.</w:t>
      </w:r>
    </w:p>
    <w:p>
      <w:pPr>
        <w:spacing w:after="0" w:line="115" w:lineRule="exact"/>
        <w:rPr>
          <w:sz w:val="20"/>
          <w:szCs w:val="20"/>
          <w:color w:val="auto"/>
        </w:rPr>
      </w:pPr>
    </w:p>
    <w:p>
      <w:pPr>
        <w:jc w:val="both"/>
        <w:ind w:firstLine="584"/>
        <w:spacing w:after="0" w:line="259" w:lineRule="auto"/>
        <w:rPr>
          <w:sz w:val="20"/>
          <w:szCs w:val="20"/>
          <w:color w:val="auto"/>
        </w:rPr>
      </w:pPr>
      <w:r>
        <w:rPr>
          <w:rFonts w:ascii="Arial" w:cs="Arial" w:eastAsia="Arial" w:hAnsi="Arial"/>
          <w:sz w:val="17"/>
          <w:szCs w:val="17"/>
          <w:color w:val="auto"/>
        </w:rPr>
        <w:t>The rules dealing with U.S. federal, state and local income taxation are constantly under review by the Internal Revenue Service, the U.S. Treasury Department and other governmental bodies. Changes to tax laws (which changes may have retroactive application) could adversely affect us or holders of our common stock. In recent years, many such changes have been made and changes are likely to continue to occur in the future. Future changes in tax laws could have a material adverse effect on our business, financial condition, results of operations, and cash flow. We urge investors to consult with their legal and tax advisers regarding the implication of potential changes in tax laws on an investment in our common stock.</w:t>
      </w:r>
    </w:p>
    <w:p>
      <w:pPr>
        <w:spacing w:after="0" w:line="13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Changes and uncertainties in the tax system in the countries in which we have operations, could materially adversely affect our financial condition and results of operations, and reduce net returns to our shareholders.</w:t>
      </w:r>
    </w:p>
    <w:p>
      <w:pPr>
        <w:spacing w:after="0" w:line="63" w:lineRule="exact"/>
        <w:rPr>
          <w:sz w:val="20"/>
          <w:szCs w:val="20"/>
          <w:color w:val="auto"/>
        </w:rPr>
      </w:pPr>
    </w:p>
    <w:p>
      <w:pPr>
        <w:jc w:val="both"/>
        <w:ind w:firstLine="584"/>
        <w:spacing w:after="0" w:line="272" w:lineRule="auto"/>
        <w:rPr>
          <w:sz w:val="20"/>
          <w:szCs w:val="20"/>
          <w:color w:val="auto"/>
        </w:rPr>
      </w:pPr>
      <w:r>
        <w:rPr>
          <w:rFonts w:ascii="Arial" w:cs="Arial" w:eastAsia="Arial" w:hAnsi="Arial"/>
          <w:sz w:val="16"/>
          <w:szCs w:val="16"/>
          <w:color w:val="auto"/>
        </w:rPr>
        <w:t>We conduct business globally and file income tax returns in multiple jurisdictions. Our consolidated effective income tax rate could be materially adversely affected by several factors, including: changing tax laws, regulations and treaties, or the interpretation thereof; tax policy initiatives and reforms under consideration; the practices of tax authorities in jurisdictions in which we operate; the resolution of issues arising from tax audits or examinations and any related interest or penalties. We are unable to predict what tax reform may be proposed or enacted in the future or what effect such changes would have on our business, but such changes, to the extent they are brought into tax legislation, regulations, policies or practices in jurisdictions in which we operate, could increase the estimated tax liability that we have expensed to date and paid or accrued on our statement of financial position, and otherwise affect our financial position, future results of operations, cash flows in a particular period and overall or effective tax rates in the future in countries where we have operations, reduce post-tax returns to our shareholders and increase the complexity, burden and cost of tax compliance.</w:t>
      </w:r>
    </w:p>
    <w:p>
      <w:pPr>
        <w:spacing w:after="0" w:line="200" w:lineRule="exact"/>
        <w:rPr>
          <w:sz w:val="20"/>
          <w:szCs w:val="20"/>
          <w:color w:val="auto"/>
        </w:rPr>
      </w:pPr>
    </w:p>
    <w:p>
      <w:pPr>
        <w:spacing w:after="0" w:line="261"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98" w:lineRule="exact"/>
        <w:rPr>
          <w:sz w:val="20"/>
          <w:szCs w:val="20"/>
          <w:color w:val="auto"/>
        </w:rPr>
      </w:pPr>
    </w:p>
    <w:p>
      <w:pPr>
        <w:jc w:val="both"/>
        <w:ind w:right="120" w:firstLine="509"/>
        <w:spacing w:after="0" w:line="248" w:lineRule="auto"/>
        <w:rPr>
          <w:sz w:val="20"/>
          <w:szCs w:val="20"/>
          <w:color w:val="auto"/>
        </w:rPr>
      </w:pPr>
      <w:r>
        <w:rPr>
          <w:rFonts w:ascii="Arial" w:cs="Arial" w:eastAsia="Arial" w:hAnsi="Arial"/>
          <w:sz w:val="18"/>
          <w:szCs w:val="18"/>
          <w:color w:val="auto"/>
        </w:rPr>
        <w:t>In July 2021, we issued and sold an aggregate of 13,949,401 shares of common stock in connection with our IPO, including the full exercise by the underwriters of their option to purchase an additional 2,184,695 shares from us, and the selling stockholders sold 2,799,929 shares of common stock, at a public offering price of $17.00 per share. All of the shares of common stock issued and sold in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80</w:t>
      </w:r>
    </w:p>
    <w:p>
      <w:pPr>
        <w:spacing w:after="0" w:line="12"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our IPO were registered under the Securities Act pursuant to a registration statement on Form S-1 (Registration No. 333-257663), which was declared effective by the SEC on July 22, 2021. There has been no material change in the use of proceeds from our IPO from those disclosed in the final prospectus for our IPO dated July 22, 2021 and filed with the SEC pursuant to Rule 424(b)(4) of the Securities Act on July 23, 2021.</w:t>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3"/>
        </w:trPr>
        <w:tc>
          <w:tcPr>
            <w:tcW w:w="800" w:type="dxa"/>
            <w:vAlign w:val="bottom"/>
          </w:tcPr>
          <w:p>
            <w:pPr>
              <w:ind w:left="20"/>
              <w:spacing w:after="0"/>
              <w:rPr>
                <w:sz w:val="20"/>
                <w:szCs w:val="20"/>
                <w:color w:val="auto"/>
              </w:rPr>
            </w:pPr>
            <w:r>
              <w:rPr>
                <w:rFonts w:ascii="Arial" w:cs="Arial" w:eastAsia="Arial" w:hAnsi="Arial"/>
                <w:sz w:val="18"/>
                <w:szCs w:val="18"/>
                <w:b w:val="1"/>
                <w:bCs w:val="1"/>
                <w:color w:val="auto"/>
              </w:rPr>
              <w:t>ITEM 6.</w:t>
            </w:r>
          </w:p>
        </w:tc>
        <w:tc>
          <w:tcPr>
            <w:tcW w:w="140" w:type="dxa"/>
            <w:vAlign w:val="bottom"/>
          </w:tcPr>
          <w:p>
            <w:pPr>
              <w:spacing w:after="0"/>
              <w:rPr>
                <w:sz w:val="24"/>
                <w:szCs w:val="24"/>
                <w:color w:val="auto"/>
              </w:rPr>
            </w:pPr>
          </w:p>
        </w:tc>
        <w:tc>
          <w:tcPr>
            <w:tcW w:w="4540" w:type="dxa"/>
            <w:vAlign w:val="bottom"/>
            <w:gridSpan w:val="18"/>
          </w:tcPr>
          <w:p>
            <w:pPr>
              <w:ind w:left="160"/>
              <w:spacing w:after="0"/>
              <w:rPr>
                <w:sz w:val="20"/>
                <w:szCs w:val="20"/>
                <w:color w:val="auto"/>
              </w:rPr>
            </w:pPr>
            <w:r>
              <w:rPr>
                <w:rFonts w:ascii="Arial" w:cs="Arial" w:eastAsia="Arial" w:hAnsi="Arial"/>
                <w:sz w:val="18"/>
                <w:szCs w:val="18"/>
                <w:b w:val="1"/>
                <w:bCs w:val="1"/>
                <w:color w:val="auto"/>
              </w:rPr>
              <w:t>Exhibits.</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140" w:type="dxa"/>
            <w:vAlign w:val="bottom"/>
            <w:gridSpan w:val="17"/>
            <w:vMerge w:val="restart"/>
          </w:tcPr>
          <w:p>
            <w:pPr>
              <w:ind w:left="320"/>
              <w:spacing w:after="0"/>
              <w:rPr>
                <w:sz w:val="20"/>
                <w:szCs w:val="20"/>
                <w:color w:val="auto"/>
              </w:rPr>
            </w:pPr>
            <w:r>
              <w:rPr>
                <w:rFonts w:ascii="Arial" w:cs="Arial" w:eastAsia="Arial" w:hAnsi="Arial"/>
                <w:sz w:val="18"/>
                <w:szCs w:val="18"/>
                <w:b w:val="1"/>
                <w:bCs w:val="1"/>
                <w:color w:val="auto"/>
              </w:rPr>
              <w:t>Exhibit Title</w:t>
            </w:r>
          </w:p>
        </w:tc>
        <w:tc>
          <w:tcPr>
            <w:tcW w:w="11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Incorporated by Reference</w:t>
            </w:r>
          </w:p>
        </w:tc>
        <w:tc>
          <w:tcPr>
            <w:tcW w:w="1140" w:type="dxa"/>
            <w:vAlign w:val="bottom"/>
            <w:tcBorders>
              <w:bottom w:val="single" w:sz="8" w:color="auto"/>
            </w:tcBorders>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Filed</w:t>
            </w:r>
          </w:p>
        </w:tc>
        <w:tc>
          <w:tcPr>
            <w:tcW w:w="0" w:type="dxa"/>
            <w:vAlign w:val="bottom"/>
          </w:tcPr>
          <w:p>
            <w:pPr>
              <w:spacing w:after="0"/>
              <w:rPr>
                <w:sz w:val="1"/>
                <w:szCs w:val="1"/>
                <w:color w:val="auto"/>
              </w:rPr>
            </w:pPr>
          </w:p>
        </w:tc>
      </w:tr>
      <w:tr>
        <w:trPr>
          <w:trHeight w:val="156"/>
        </w:trPr>
        <w:tc>
          <w:tcPr>
            <w:tcW w:w="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140" w:type="dxa"/>
            <w:vAlign w:val="bottom"/>
            <w:gridSpan w:val="17"/>
            <w:vMerge w:val="continue"/>
          </w:tcPr>
          <w:p>
            <w:pPr>
              <w:spacing w:after="0"/>
              <w:rPr>
                <w:sz w:val="13"/>
                <w:szCs w:val="13"/>
                <w:color w:val="auto"/>
              </w:rPr>
            </w:pPr>
          </w:p>
        </w:tc>
        <w:tc>
          <w:tcPr>
            <w:tcW w:w="1180" w:type="dxa"/>
            <w:vAlign w:val="bottom"/>
          </w:tcPr>
          <w:p>
            <w:pPr>
              <w:jc w:val="center"/>
              <w:ind w:right="410"/>
              <w:spacing w:after="0" w:line="156" w:lineRule="exact"/>
              <w:rPr>
                <w:sz w:val="20"/>
                <w:szCs w:val="20"/>
                <w:color w:val="auto"/>
              </w:rPr>
            </w:pPr>
            <w:r>
              <w:rPr>
                <w:rFonts w:ascii="Arial" w:cs="Arial" w:eastAsia="Arial" w:hAnsi="Arial"/>
                <w:sz w:val="18"/>
                <w:szCs w:val="18"/>
                <w:b w:val="1"/>
                <w:bCs w:val="1"/>
                <w:color w:val="auto"/>
                <w:w w:val="97"/>
              </w:rPr>
              <w:t>Form</w:t>
            </w:r>
          </w:p>
        </w:tc>
        <w:tc>
          <w:tcPr>
            <w:tcW w:w="1180" w:type="dxa"/>
            <w:vAlign w:val="bottom"/>
            <w:gridSpan w:val="2"/>
          </w:tcPr>
          <w:p>
            <w:pPr>
              <w:jc w:val="center"/>
              <w:ind w:right="380"/>
              <w:spacing w:after="0" w:line="156" w:lineRule="exact"/>
              <w:rPr>
                <w:sz w:val="20"/>
                <w:szCs w:val="20"/>
                <w:color w:val="auto"/>
              </w:rPr>
            </w:pPr>
            <w:r>
              <w:rPr>
                <w:rFonts w:ascii="Arial" w:cs="Arial" w:eastAsia="Arial" w:hAnsi="Arial"/>
                <w:sz w:val="18"/>
                <w:szCs w:val="18"/>
                <w:b w:val="1"/>
                <w:bCs w:val="1"/>
                <w:color w:val="auto"/>
                <w:w w:val="92"/>
              </w:rPr>
              <w:t>File No.</w:t>
            </w:r>
          </w:p>
        </w:tc>
        <w:tc>
          <w:tcPr>
            <w:tcW w:w="1240" w:type="dxa"/>
            <w:vAlign w:val="bottom"/>
            <w:gridSpan w:val="3"/>
          </w:tcPr>
          <w:p>
            <w:pPr>
              <w:jc w:val="center"/>
              <w:spacing w:after="0" w:line="156" w:lineRule="exact"/>
              <w:rPr>
                <w:sz w:val="20"/>
                <w:szCs w:val="20"/>
                <w:color w:val="auto"/>
              </w:rPr>
            </w:pPr>
            <w:r>
              <w:rPr>
                <w:rFonts w:ascii="Arial" w:cs="Arial" w:eastAsia="Arial" w:hAnsi="Arial"/>
                <w:sz w:val="18"/>
                <w:szCs w:val="18"/>
                <w:b w:val="1"/>
                <w:bCs w:val="1"/>
                <w:color w:val="auto"/>
                <w:w w:val="93"/>
              </w:rPr>
              <w:t>Exhibit</w:t>
            </w:r>
          </w:p>
        </w:tc>
        <w:tc>
          <w:tcPr>
            <w:tcW w:w="1140" w:type="dxa"/>
            <w:vAlign w:val="bottom"/>
          </w:tcPr>
          <w:p>
            <w:pPr>
              <w:ind w:left="300"/>
              <w:spacing w:after="0" w:line="156" w:lineRule="exact"/>
              <w:rPr>
                <w:sz w:val="20"/>
                <w:szCs w:val="20"/>
                <w:color w:val="auto"/>
              </w:rPr>
            </w:pPr>
            <w:r>
              <w:rPr>
                <w:rFonts w:ascii="Arial" w:cs="Arial" w:eastAsia="Arial" w:hAnsi="Arial"/>
                <w:sz w:val="18"/>
                <w:szCs w:val="18"/>
                <w:b w:val="1"/>
                <w:bCs w:val="1"/>
                <w:color w:val="auto"/>
              </w:rPr>
              <w:t>Filing</w:t>
            </w: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Herewith</w:t>
            </w:r>
          </w:p>
        </w:tc>
        <w:tc>
          <w:tcPr>
            <w:tcW w:w="0" w:type="dxa"/>
            <w:vAlign w:val="bottom"/>
          </w:tcPr>
          <w:p>
            <w:pPr>
              <w:spacing w:after="0"/>
              <w:rPr>
                <w:sz w:val="1"/>
                <w:szCs w:val="1"/>
                <w:color w:val="auto"/>
              </w:rPr>
            </w:pPr>
          </w:p>
        </w:tc>
      </w:tr>
      <w:tr>
        <w:trPr>
          <w:trHeight w:val="169"/>
        </w:trPr>
        <w:tc>
          <w:tcPr>
            <w:tcW w:w="800" w:type="dxa"/>
            <w:vAlign w:val="bottom"/>
          </w:tcPr>
          <w:p>
            <w:pPr>
              <w:jc w:val="center"/>
              <w:spacing w:after="0" w:line="169" w:lineRule="exact"/>
              <w:rPr>
                <w:sz w:val="20"/>
                <w:szCs w:val="20"/>
                <w:color w:val="auto"/>
              </w:rPr>
            </w:pPr>
            <w:r>
              <w:rPr>
                <w:rFonts w:ascii="Arial" w:cs="Arial" w:eastAsia="Arial" w:hAnsi="Arial"/>
                <w:sz w:val="18"/>
                <w:szCs w:val="18"/>
                <w:color w:val="auto"/>
                <w:w w:val="87"/>
              </w:rPr>
              <w:t>3.1</w:t>
            </w:r>
          </w:p>
        </w:tc>
        <w:tc>
          <w:tcPr>
            <w:tcW w:w="140" w:type="dxa"/>
            <w:vAlign w:val="bottom"/>
          </w:tcPr>
          <w:p>
            <w:pPr>
              <w:spacing w:after="0"/>
              <w:rPr>
                <w:sz w:val="14"/>
                <w:szCs w:val="14"/>
                <w:color w:val="auto"/>
              </w:rPr>
            </w:pPr>
          </w:p>
        </w:tc>
        <w:tc>
          <w:tcPr>
            <w:tcW w:w="4420" w:type="dxa"/>
            <w:vAlign w:val="bottom"/>
            <w:gridSpan w:val="17"/>
          </w:tcPr>
          <w:p>
            <w:pPr>
              <w:spacing w:after="0" w:line="169" w:lineRule="exact"/>
              <w:rPr>
                <w:rFonts w:ascii="Arial" w:cs="Arial" w:eastAsia="Arial" w:hAnsi="Arial"/>
                <w:sz w:val="18"/>
                <w:szCs w:val="18"/>
                <w:color w:val="0000FF"/>
              </w:rPr>
            </w:pPr>
            <w:hyperlink r:id="rId215">
              <w:r>
                <w:rPr>
                  <w:rFonts w:ascii="Arial" w:cs="Arial" w:eastAsia="Arial" w:hAnsi="Arial"/>
                  <w:sz w:val="18"/>
                  <w:szCs w:val="18"/>
                  <w:color w:val="0000FF"/>
                </w:rPr>
                <w:t>Amended and Restated Certificate of Incorporation</w:t>
              </w:r>
            </w:hyperlink>
          </w:p>
        </w:tc>
        <w:tc>
          <w:tcPr>
            <w:tcW w:w="120" w:type="dxa"/>
            <w:vAlign w:val="bottom"/>
          </w:tcPr>
          <w:p>
            <w:pPr>
              <w:spacing w:after="0"/>
              <w:rPr>
                <w:sz w:val="14"/>
                <w:szCs w:val="14"/>
                <w:color w:val="auto"/>
              </w:rPr>
            </w:pPr>
          </w:p>
        </w:tc>
        <w:tc>
          <w:tcPr>
            <w:tcW w:w="1180" w:type="dxa"/>
            <w:vAlign w:val="bottom"/>
          </w:tcPr>
          <w:p>
            <w:pPr>
              <w:jc w:val="center"/>
              <w:ind w:right="410"/>
              <w:spacing w:after="0" w:line="169" w:lineRule="exact"/>
              <w:rPr>
                <w:sz w:val="20"/>
                <w:szCs w:val="20"/>
                <w:color w:val="auto"/>
              </w:rPr>
            </w:pPr>
            <w:r>
              <w:rPr>
                <w:rFonts w:ascii="Arial" w:cs="Arial" w:eastAsia="Arial" w:hAnsi="Arial"/>
                <w:sz w:val="18"/>
                <w:szCs w:val="18"/>
                <w:color w:val="auto"/>
                <w:w w:val="99"/>
              </w:rPr>
              <w:t>8-K</w:t>
            </w:r>
          </w:p>
        </w:tc>
        <w:tc>
          <w:tcPr>
            <w:tcW w:w="1180" w:type="dxa"/>
            <w:vAlign w:val="bottom"/>
            <w:gridSpan w:val="2"/>
          </w:tcPr>
          <w:p>
            <w:pPr>
              <w:jc w:val="center"/>
              <w:ind w:right="320"/>
              <w:spacing w:after="0" w:line="169" w:lineRule="exact"/>
              <w:rPr>
                <w:rFonts w:ascii="Arial" w:cs="Arial" w:eastAsia="Arial" w:hAnsi="Arial"/>
                <w:sz w:val="18"/>
                <w:szCs w:val="18"/>
                <w:color w:val="0000FF"/>
                <w:w w:val="90"/>
              </w:rPr>
            </w:pPr>
            <w:hyperlink r:id="rId215">
              <w:r>
                <w:rPr>
                  <w:rFonts w:ascii="Arial" w:cs="Arial" w:eastAsia="Arial" w:hAnsi="Arial"/>
                  <w:sz w:val="18"/>
                  <w:szCs w:val="18"/>
                  <w:color w:val="0000FF"/>
                  <w:w w:val="90"/>
                </w:rPr>
                <w:t>001-40632</w:t>
              </w:r>
            </w:hyperlink>
          </w:p>
        </w:tc>
        <w:tc>
          <w:tcPr>
            <w:tcW w:w="1240" w:type="dxa"/>
            <w:vAlign w:val="bottom"/>
            <w:gridSpan w:val="3"/>
          </w:tcPr>
          <w:p>
            <w:pPr>
              <w:jc w:val="center"/>
              <w:spacing w:after="0" w:line="169" w:lineRule="exact"/>
              <w:rPr>
                <w:rFonts w:ascii="Arial" w:cs="Arial" w:eastAsia="Arial" w:hAnsi="Arial"/>
                <w:sz w:val="18"/>
                <w:szCs w:val="18"/>
                <w:color w:val="0000FF"/>
                <w:w w:val="95"/>
              </w:rPr>
            </w:pPr>
            <w:hyperlink r:id="rId215">
              <w:r>
                <w:rPr>
                  <w:rFonts w:ascii="Arial" w:cs="Arial" w:eastAsia="Arial" w:hAnsi="Arial"/>
                  <w:sz w:val="18"/>
                  <w:szCs w:val="18"/>
                  <w:color w:val="0000FF"/>
                  <w:w w:val="95"/>
                </w:rPr>
                <w:t>3.</w:t>
              </w:r>
              <w:r>
                <w:rPr>
                  <w:rFonts w:ascii="Arial" w:cs="Arial" w:eastAsia="Arial" w:hAnsi="Arial"/>
                  <w:sz w:val="18"/>
                  <w:szCs w:val="18"/>
                  <w:u w:val="single" w:color="auto"/>
                  <w:color w:val="0000FF"/>
                  <w:w w:val="95"/>
                </w:rPr>
                <w:t>1</w:t>
              </w:r>
            </w:hyperlink>
          </w:p>
        </w:tc>
        <w:tc>
          <w:tcPr>
            <w:tcW w:w="1140" w:type="dxa"/>
            <w:vAlign w:val="bottom"/>
          </w:tcPr>
          <w:p>
            <w:pPr>
              <w:ind w:left="320"/>
              <w:spacing w:after="0" w:line="169" w:lineRule="exact"/>
              <w:rPr>
                <w:sz w:val="20"/>
                <w:szCs w:val="20"/>
                <w:color w:val="auto"/>
              </w:rPr>
            </w:pPr>
            <w:r>
              <w:rPr>
                <w:rFonts w:ascii="Arial" w:cs="Arial" w:eastAsia="Arial" w:hAnsi="Arial"/>
                <w:sz w:val="18"/>
                <w:szCs w:val="18"/>
                <w:color w:val="auto"/>
                <w:w w:val="88"/>
              </w:rPr>
              <w:t>07/27/2021</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15"/>
                <w:szCs w:val="15"/>
                <w:color w:val="auto"/>
              </w:rPr>
            </w:pPr>
          </w:p>
        </w:tc>
        <w:tc>
          <w:tcPr>
            <w:tcW w:w="226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89"/>
              </w:rPr>
            </w:pPr>
            <w:hyperlink r:id="rId216">
              <w:r>
                <w:rPr>
                  <w:rFonts w:ascii="Arial" w:cs="Arial" w:eastAsia="Arial" w:hAnsi="Arial"/>
                  <w:sz w:val="18"/>
                  <w:szCs w:val="18"/>
                  <w:color w:val="0000FF"/>
                  <w:w w:val="89"/>
                </w:rPr>
                <w:t>Amended and Restated Bylaws</w:t>
              </w:r>
            </w:hyperlink>
          </w:p>
        </w:tc>
        <w:tc>
          <w:tcPr>
            <w:tcW w:w="20" w:type="dxa"/>
            <w:vAlign w:val="bottom"/>
            <w:tcBorders>
              <w:top w:val="single" w:sz="8" w:color="0000FF"/>
              <w:bottom w:val="single" w:sz="8" w:color="0000EE"/>
            </w:tcBorders>
          </w:tcPr>
          <w:p>
            <w:pPr>
              <w:spacing w:after="0"/>
              <w:rPr>
                <w:sz w:val="15"/>
                <w:szCs w:val="15"/>
                <w:color w:val="auto"/>
              </w:rPr>
            </w:pPr>
          </w:p>
        </w:tc>
        <w:tc>
          <w:tcPr>
            <w:tcW w:w="1420" w:type="dxa"/>
            <w:vAlign w:val="bottom"/>
            <w:tcBorders>
              <w:top w:val="single" w:sz="8" w:color="0000FF"/>
            </w:tcBorders>
            <w:gridSpan w:val="4"/>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180" w:type="dxa"/>
            <w:vAlign w:val="bottom"/>
          </w:tcPr>
          <w:p>
            <w:pPr>
              <w:jc w:val="center"/>
              <w:ind w:right="410"/>
              <w:spacing w:after="0" w:line="182" w:lineRule="exact"/>
              <w:rPr>
                <w:sz w:val="20"/>
                <w:szCs w:val="20"/>
                <w:color w:val="auto"/>
              </w:rPr>
            </w:pPr>
            <w:r>
              <w:rPr>
                <w:rFonts w:ascii="Arial" w:cs="Arial" w:eastAsia="Arial" w:hAnsi="Arial"/>
                <w:sz w:val="18"/>
                <w:szCs w:val="18"/>
                <w:color w:val="auto"/>
                <w:w w:val="99"/>
              </w:rPr>
              <w:t>8-K</w:t>
            </w:r>
          </w:p>
        </w:tc>
        <w:tc>
          <w:tcPr>
            <w:tcW w:w="820" w:type="dxa"/>
            <w:vAlign w:val="bottom"/>
            <w:tcBorders>
              <w:top w:val="single" w:sz="8" w:color="0000FF"/>
              <w:bottom w:val="single" w:sz="8" w:color="0000FF"/>
            </w:tcBorders>
          </w:tcPr>
          <w:p>
            <w:pPr>
              <w:jc w:val="center"/>
              <w:spacing w:after="0" w:line="182" w:lineRule="exact"/>
              <w:rPr>
                <w:rFonts w:ascii="Arial" w:cs="Arial" w:eastAsia="Arial" w:hAnsi="Arial"/>
                <w:sz w:val="18"/>
                <w:szCs w:val="18"/>
                <w:color w:val="0000FF"/>
                <w:w w:val="90"/>
              </w:rPr>
            </w:pPr>
            <w:hyperlink r:id="rId216">
              <w:r>
                <w:rPr>
                  <w:rFonts w:ascii="Arial" w:cs="Arial" w:eastAsia="Arial" w:hAnsi="Arial"/>
                  <w:sz w:val="18"/>
                  <w:szCs w:val="18"/>
                  <w:color w:val="0000FF"/>
                  <w:w w:val="90"/>
                </w:rPr>
                <w:t>001-40632</w:t>
              </w:r>
            </w:hyperlink>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Borders>
              <w:top w:val="single" w:sz="8" w:color="0000FF"/>
              <w:bottom w:val="single" w:sz="8" w:color="0000FF"/>
            </w:tcBorders>
          </w:tcPr>
          <w:p>
            <w:pPr>
              <w:jc w:val="center"/>
              <w:spacing w:after="0" w:line="182" w:lineRule="exact"/>
              <w:rPr>
                <w:rFonts w:ascii="Arial" w:cs="Arial" w:eastAsia="Arial" w:hAnsi="Arial"/>
                <w:sz w:val="18"/>
                <w:szCs w:val="18"/>
                <w:color w:val="0000FF"/>
                <w:w w:val="95"/>
              </w:rPr>
            </w:pPr>
            <w:hyperlink r:id="rId216">
              <w:r>
                <w:rPr>
                  <w:rFonts w:ascii="Arial" w:cs="Arial" w:eastAsia="Arial" w:hAnsi="Arial"/>
                  <w:sz w:val="18"/>
                  <w:szCs w:val="18"/>
                  <w:color w:val="0000FF"/>
                  <w:w w:val="95"/>
                </w:rPr>
                <w:t>3.</w:t>
              </w:r>
              <w:r>
                <w:rPr>
                  <w:rFonts w:ascii="Arial" w:cs="Arial" w:eastAsia="Arial" w:hAnsi="Arial"/>
                  <w:sz w:val="18"/>
                  <w:szCs w:val="18"/>
                  <w:u w:val="single" w:color="auto"/>
                  <w:color w:val="0000FF"/>
                  <w:w w:val="95"/>
                </w:rPr>
                <w:t>2</w:t>
              </w:r>
            </w:hyperlink>
          </w:p>
        </w:tc>
        <w:tc>
          <w:tcPr>
            <w:tcW w:w="480" w:type="dxa"/>
            <w:vAlign w:val="bottom"/>
          </w:tcPr>
          <w:p>
            <w:pPr>
              <w:spacing w:after="0"/>
              <w:rPr>
                <w:sz w:val="15"/>
                <w:szCs w:val="15"/>
                <w:color w:val="auto"/>
              </w:rPr>
            </w:pPr>
          </w:p>
        </w:tc>
        <w:tc>
          <w:tcPr>
            <w:tcW w:w="1140" w:type="dxa"/>
            <w:vAlign w:val="bottom"/>
          </w:tcPr>
          <w:p>
            <w:pPr>
              <w:ind w:left="320"/>
              <w:spacing w:after="0" w:line="182" w:lineRule="exact"/>
              <w:rPr>
                <w:sz w:val="20"/>
                <w:szCs w:val="20"/>
                <w:color w:val="auto"/>
              </w:rPr>
            </w:pPr>
            <w:r>
              <w:rPr>
                <w:rFonts w:ascii="Arial" w:cs="Arial" w:eastAsia="Arial" w:hAnsi="Arial"/>
                <w:sz w:val="18"/>
                <w:szCs w:val="18"/>
                <w:color w:val="auto"/>
                <w:w w:val="88"/>
              </w:rPr>
              <w:t>07/27/2021</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0" w:type="dxa"/>
            <w:vAlign w:val="bottom"/>
          </w:tcPr>
          <w:p>
            <w:pPr>
              <w:jc w:val="center"/>
              <w:spacing w:after="0" w:line="182" w:lineRule="exact"/>
              <w:rPr>
                <w:sz w:val="20"/>
                <w:szCs w:val="20"/>
                <w:color w:val="auto"/>
              </w:rPr>
            </w:pPr>
            <w:r>
              <w:rPr>
                <w:rFonts w:ascii="Arial" w:cs="Arial" w:eastAsia="Arial" w:hAnsi="Arial"/>
                <w:sz w:val="18"/>
                <w:szCs w:val="18"/>
                <w:color w:val="auto"/>
                <w:w w:val="91"/>
              </w:rPr>
              <w:t>31.1</w:t>
            </w:r>
          </w:p>
        </w:tc>
        <w:tc>
          <w:tcPr>
            <w:tcW w:w="140" w:type="dxa"/>
            <w:vAlign w:val="bottom"/>
          </w:tcPr>
          <w:p>
            <w:pPr>
              <w:spacing w:after="0"/>
              <w:rPr>
                <w:sz w:val="15"/>
                <w:szCs w:val="15"/>
                <w:color w:val="auto"/>
              </w:rPr>
            </w:pPr>
          </w:p>
        </w:tc>
        <w:tc>
          <w:tcPr>
            <w:tcW w:w="4540" w:type="dxa"/>
            <w:vAlign w:val="bottom"/>
            <w:gridSpan w:val="18"/>
          </w:tcPr>
          <w:p>
            <w:pPr>
              <w:spacing w:after="0" w:line="182" w:lineRule="exact"/>
              <w:rPr>
                <w:rFonts w:ascii="Arial" w:cs="Arial" w:eastAsia="Arial" w:hAnsi="Arial"/>
                <w:sz w:val="18"/>
                <w:szCs w:val="18"/>
                <w:color w:val="0000FF"/>
              </w:rPr>
            </w:pPr>
            <w:hyperlink w:anchor="page84">
              <w:r>
                <w:rPr>
                  <w:rFonts w:ascii="Arial" w:cs="Arial" w:eastAsia="Arial" w:hAnsi="Arial"/>
                  <w:sz w:val="18"/>
                  <w:szCs w:val="18"/>
                  <w:color w:val="0000FF"/>
                </w:rPr>
                <w:t>Certification of Principal Executive Officer required by</w:t>
              </w:r>
            </w:hyperlink>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jc w:val="center"/>
              <w:spacing w:after="0" w:line="18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74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w:anchor="page84">
              <w:r>
                <w:rPr>
                  <w:rFonts w:ascii="Arial" w:cs="Arial" w:eastAsia="Arial" w:hAnsi="Arial"/>
                  <w:sz w:val="18"/>
                  <w:szCs w:val="18"/>
                  <w:color w:val="0000FF"/>
                  <w:w w:val="90"/>
                </w:rPr>
                <w:t>Rules 13a-14(a) and 15d-14(a) under the Securities</w:t>
              </w:r>
            </w:hyperlink>
          </w:p>
        </w:tc>
        <w:tc>
          <w:tcPr>
            <w:tcW w:w="300" w:type="dxa"/>
            <w:vAlign w:val="bottom"/>
            <w:tcBorders>
              <w:top w:val="single" w:sz="8" w:color="0000FF"/>
            </w:tcBorders>
            <w:gridSpan w:val="3"/>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540" w:type="dxa"/>
            <w:vAlign w:val="bottom"/>
            <w:gridSpan w:val="18"/>
          </w:tcPr>
          <w:p>
            <w:pPr>
              <w:spacing w:after="0" w:line="156" w:lineRule="exact"/>
              <w:rPr>
                <w:rFonts w:ascii="Arial" w:cs="Arial" w:eastAsia="Arial" w:hAnsi="Arial"/>
                <w:sz w:val="18"/>
                <w:szCs w:val="18"/>
                <w:color w:val="0000FF"/>
                <w:w w:val="96"/>
              </w:rPr>
            </w:pPr>
            <w:hyperlink w:anchor="page84">
              <w:r>
                <w:rPr>
                  <w:rFonts w:ascii="Arial" w:cs="Arial" w:eastAsia="Arial" w:hAnsi="Arial"/>
                  <w:sz w:val="18"/>
                  <w:szCs w:val="18"/>
                  <w:color w:val="0000FF"/>
                  <w:w w:val="96"/>
                </w:rPr>
                <w:t>Exchange Act of 1934, as adopted pursuant to Section 302</w:t>
              </w:r>
            </w:hyperlink>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1"/>
              </w:rPr>
              <w:t>31.2</w:t>
            </w:r>
          </w:p>
        </w:tc>
        <w:tc>
          <w:tcPr>
            <w:tcW w:w="140" w:type="dxa"/>
            <w:vAlign w:val="bottom"/>
          </w:tcPr>
          <w:p>
            <w:pPr>
              <w:spacing w:after="0"/>
              <w:rPr>
                <w:sz w:val="13"/>
                <w:szCs w:val="13"/>
                <w:color w:val="auto"/>
              </w:rPr>
            </w:pPr>
          </w:p>
        </w:tc>
        <w:tc>
          <w:tcPr>
            <w:tcW w:w="42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84">
              <w:r>
                <w:rPr>
                  <w:rFonts w:ascii="Arial" w:cs="Arial" w:eastAsia="Arial" w:hAnsi="Arial"/>
                  <w:sz w:val="18"/>
                  <w:szCs w:val="18"/>
                  <w:color w:val="0000FF"/>
                </w:rPr>
                <w:t>of the Sarbanes-Oxley Act of 2002.</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tcBorders>
              <w:top w:val="single" w:sz="8" w:color="0000FF"/>
            </w:tcBorders>
            <w:gridSpan w:val="6"/>
          </w:tcPr>
          <w:p>
            <w:pPr>
              <w:spacing w:after="0" w:line="182" w:lineRule="exact"/>
              <w:rPr>
                <w:rFonts w:ascii="Arial" w:cs="Arial" w:eastAsia="Arial" w:hAnsi="Arial"/>
                <w:sz w:val="18"/>
                <w:szCs w:val="18"/>
                <w:color w:val="0000FF"/>
                <w:w w:val="95"/>
              </w:rPr>
            </w:pPr>
            <w:hyperlink w:anchor="page85">
              <w:r>
                <w:rPr>
                  <w:rFonts w:ascii="Arial" w:cs="Arial" w:eastAsia="Arial" w:hAnsi="Arial"/>
                  <w:sz w:val="18"/>
                  <w:szCs w:val="18"/>
                  <w:color w:val="0000FF"/>
                  <w:w w:val="95"/>
                </w:rPr>
                <w:t>Certification of Principal Financial</w:t>
              </w:r>
            </w:hyperlink>
          </w:p>
        </w:tc>
        <w:tc>
          <w:tcPr>
            <w:tcW w:w="1980" w:type="dxa"/>
            <w:vAlign w:val="bottom"/>
            <w:gridSpan w:val="12"/>
          </w:tcPr>
          <w:p>
            <w:pPr>
              <w:spacing w:after="0" w:line="182" w:lineRule="exact"/>
              <w:rPr>
                <w:rFonts w:ascii="Arial" w:cs="Arial" w:eastAsia="Arial" w:hAnsi="Arial"/>
                <w:sz w:val="18"/>
                <w:szCs w:val="18"/>
                <w:color w:val="0000FF"/>
              </w:rPr>
            </w:pPr>
            <w:hyperlink w:anchor="page85">
              <w:r>
                <w:rPr>
                  <w:rFonts w:ascii="Arial" w:cs="Arial" w:eastAsia="Arial" w:hAnsi="Arial"/>
                  <w:sz w:val="18"/>
                  <w:szCs w:val="18"/>
                  <w:color w:val="0000FF"/>
                </w:rPr>
                <w:t>Officer required by Rule</w:t>
              </w:r>
            </w:hyperlink>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3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w:anchor="page85">
              <w:r>
                <w:rPr>
                  <w:rFonts w:ascii="Arial" w:cs="Arial" w:eastAsia="Arial" w:hAnsi="Arial"/>
                  <w:sz w:val="18"/>
                  <w:szCs w:val="18"/>
                  <w:color w:val="0000FF"/>
                  <w:w w:val="91"/>
                </w:rPr>
                <w:t>13a-14(a) or Rule 15d-14(a) of the Securities Exchange Act</w:t>
              </w:r>
            </w:hyperlink>
          </w:p>
        </w:tc>
        <w:tc>
          <w:tcPr>
            <w:tcW w:w="40" w:type="dxa"/>
            <w:vAlign w:val="bottom"/>
            <w:tcBorders>
              <w:top w:val="single" w:sz="8" w:color="0000FF"/>
            </w:tcBorders>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540" w:type="dxa"/>
            <w:vAlign w:val="bottom"/>
            <w:gridSpan w:val="18"/>
          </w:tcPr>
          <w:p>
            <w:pPr>
              <w:spacing w:after="0" w:line="156" w:lineRule="exact"/>
              <w:rPr>
                <w:rFonts w:ascii="Arial" w:cs="Arial" w:eastAsia="Arial" w:hAnsi="Arial"/>
                <w:sz w:val="18"/>
                <w:szCs w:val="18"/>
                <w:color w:val="0000FF"/>
                <w:w w:val="91"/>
              </w:rPr>
            </w:pPr>
            <w:hyperlink w:anchor="page85">
              <w:r>
                <w:rPr>
                  <w:rFonts w:ascii="Arial" w:cs="Arial" w:eastAsia="Arial" w:hAnsi="Arial"/>
                  <w:sz w:val="18"/>
                  <w:szCs w:val="18"/>
                  <w:color w:val="0000FF"/>
                  <w:w w:val="91"/>
                </w:rPr>
                <w:t>of 1934, as adopted pursuant to Section 302 of the Sarbanes-</w:t>
              </w:r>
            </w:hyperlink>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5"/>
              </w:rPr>
              <w:t>32.1*</w:t>
            </w:r>
          </w:p>
        </w:tc>
        <w:tc>
          <w:tcPr>
            <w:tcW w:w="140" w:type="dxa"/>
            <w:vAlign w:val="bottom"/>
          </w:tcPr>
          <w:p>
            <w:pPr>
              <w:spacing w:after="0"/>
              <w:rPr>
                <w:sz w:val="13"/>
                <w:szCs w:val="13"/>
                <w:color w:val="auto"/>
              </w:rPr>
            </w:pPr>
          </w:p>
        </w:tc>
        <w:tc>
          <w:tcPr>
            <w:tcW w:w="43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85">
              <w:r>
                <w:rPr>
                  <w:rFonts w:ascii="Arial" w:cs="Arial" w:eastAsia="Arial" w:hAnsi="Arial"/>
                  <w:sz w:val="18"/>
                  <w:szCs w:val="18"/>
                  <w:color w:val="0000FF"/>
                </w:rPr>
                <w:t>Oxley Act of 2002.</w:t>
              </w:r>
            </w:hyperlink>
          </w:p>
        </w:tc>
        <w:tc>
          <w:tcPr>
            <w:tcW w:w="160" w:type="dxa"/>
            <w:vAlign w:val="bottom"/>
            <w:gridSpan w:val="3"/>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00" w:type="dxa"/>
            <w:vAlign w:val="bottom"/>
            <w:tcBorders>
              <w:bottom w:val="single" w:sz="8" w:color="0000FF"/>
            </w:tcBorders>
            <w:gridSpan w:val="10"/>
          </w:tcPr>
          <w:p>
            <w:pPr>
              <w:spacing w:after="0" w:line="182" w:lineRule="exact"/>
              <w:rPr>
                <w:rFonts w:ascii="Arial" w:cs="Arial" w:eastAsia="Arial" w:hAnsi="Arial"/>
                <w:sz w:val="18"/>
                <w:szCs w:val="18"/>
                <w:color w:val="0000FF"/>
                <w:w w:val="94"/>
              </w:rPr>
            </w:pPr>
            <w:hyperlink w:anchor="page86">
              <w:r>
                <w:rPr>
                  <w:rFonts w:ascii="Arial" w:cs="Arial" w:eastAsia="Arial" w:hAnsi="Arial"/>
                  <w:sz w:val="18"/>
                  <w:szCs w:val="18"/>
                  <w:color w:val="0000FF"/>
                  <w:w w:val="94"/>
                </w:rPr>
                <w:t>Certification of Chief Executive Officer pursuant to 18</w:t>
              </w:r>
            </w:hyperlink>
          </w:p>
        </w:tc>
        <w:tc>
          <w:tcPr>
            <w:tcW w:w="540" w:type="dxa"/>
            <w:vAlign w:val="bottom"/>
            <w:gridSpan w:val="8"/>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540" w:type="dxa"/>
            <w:vAlign w:val="bottom"/>
            <w:gridSpan w:val="18"/>
          </w:tcPr>
          <w:p>
            <w:pPr>
              <w:spacing w:after="0" w:line="156" w:lineRule="exact"/>
              <w:rPr>
                <w:rFonts w:ascii="Arial" w:cs="Arial" w:eastAsia="Arial" w:hAnsi="Arial"/>
                <w:sz w:val="18"/>
                <w:szCs w:val="18"/>
                <w:color w:val="0000FF"/>
                <w:w w:val="94"/>
              </w:rPr>
            </w:pPr>
            <w:hyperlink w:anchor="page86">
              <w:r>
                <w:rPr>
                  <w:rFonts w:ascii="Arial" w:cs="Arial" w:eastAsia="Arial" w:hAnsi="Arial"/>
                  <w:sz w:val="18"/>
                  <w:szCs w:val="18"/>
                  <w:color w:val="0000FF"/>
                  <w:w w:val="94"/>
                </w:rPr>
                <w:t>U.S.C. Section 1350, as adopted pursuant to Section 906 of</w:t>
              </w:r>
            </w:hyperlink>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5"/>
              </w:rPr>
              <w:t>32.2*</w:t>
            </w:r>
          </w:p>
        </w:tc>
        <w:tc>
          <w:tcPr>
            <w:tcW w:w="14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w:anchor="page86">
              <w:r>
                <w:rPr>
                  <w:rFonts w:ascii="Arial" w:cs="Arial" w:eastAsia="Arial" w:hAnsi="Arial"/>
                  <w:sz w:val="18"/>
                  <w:szCs w:val="18"/>
                  <w:color w:val="0000FF"/>
                  <w:w w:val="91"/>
                </w:rPr>
                <w:t>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1840" w:type="dxa"/>
            <w:vAlign w:val="bottom"/>
            <w:tcBorders>
              <w:top w:val="single" w:sz="8" w:color="0000FF"/>
            </w:tcBorders>
            <w:gridSpan w:val="8"/>
          </w:tcPr>
          <w:p>
            <w:pPr>
              <w:spacing w:after="0"/>
              <w:rPr>
                <w:sz w:val="13"/>
                <w:szCs w:val="13"/>
                <w:color w:val="auto"/>
              </w:rPr>
            </w:pPr>
          </w:p>
        </w:tc>
        <w:tc>
          <w:tcPr>
            <w:tcW w:w="220" w:type="dxa"/>
            <w:vAlign w:val="bottom"/>
            <w:gridSpan w:val="5"/>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940" w:type="dxa"/>
            <w:vAlign w:val="bottom"/>
            <w:tcBorders>
              <w:bottom w:val="single" w:sz="8" w:color="0000FF"/>
            </w:tcBorders>
            <w:gridSpan w:val="9"/>
          </w:tcPr>
          <w:p>
            <w:pPr>
              <w:spacing w:after="0" w:line="182" w:lineRule="exact"/>
              <w:rPr>
                <w:rFonts w:ascii="Arial" w:cs="Arial" w:eastAsia="Arial" w:hAnsi="Arial"/>
                <w:sz w:val="18"/>
                <w:szCs w:val="18"/>
                <w:color w:val="0000FF"/>
                <w:w w:val="93"/>
              </w:rPr>
            </w:pPr>
            <w:hyperlink w:anchor="page87">
              <w:r>
                <w:rPr>
                  <w:rFonts w:ascii="Arial" w:cs="Arial" w:eastAsia="Arial" w:hAnsi="Arial"/>
                  <w:sz w:val="18"/>
                  <w:szCs w:val="18"/>
                  <w:color w:val="0000FF"/>
                  <w:w w:val="93"/>
                </w:rPr>
                <w:t>Certification of Chief Financial Officer pursuant to 18</w:t>
              </w:r>
            </w:hyperlink>
          </w:p>
        </w:tc>
        <w:tc>
          <w:tcPr>
            <w:tcW w:w="600" w:type="dxa"/>
            <w:vAlign w:val="bottom"/>
            <w:gridSpan w:val="9"/>
          </w:tcPr>
          <w:p>
            <w:pPr>
              <w:spacing w:after="0"/>
              <w:rPr>
                <w:sz w:val="15"/>
                <w:szCs w:val="15"/>
                <w:color w:val="auto"/>
              </w:rPr>
            </w:pP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540" w:type="dxa"/>
            <w:vAlign w:val="bottom"/>
            <w:gridSpan w:val="18"/>
          </w:tcPr>
          <w:p>
            <w:pPr>
              <w:spacing w:after="0" w:line="156" w:lineRule="exact"/>
              <w:rPr>
                <w:rFonts w:ascii="Arial" w:cs="Arial" w:eastAsia="Arial" w:hAnsi="Arial"/>
                <w:sz w:val="18"/>
                <w:szCs w:val="18"/>
                <w:color w:val="0000FF"/>
                <w:w w:val="94"/>
              </w:rPr>
            </w:pPr>
            <w:hyperlink w:anchor="page87">
              <w:r>
                <w:rPr>
                  <w:rFonts w:ascii="Arial" w:cs="Arial" w:eastAsia="Arial" w:hAnsi="Arial"/>
                  <w:sz w:val="18"/>
                  <w:szCs w:val="18"/>
                  <w:color w:val="0000FF"/>
                  <w:w w:val="94"/>
                </w:rPr>
                <w:t>U.S.C. Section 1350, as adopted pursuant to Section 906 of</w:t>
              </w:r>
            </w:hyperlink>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2"/>
              </w:rPr>
              <w:t>101.INS</w:t>
            </w:r>
          </w:p>
        </w:tc>
        <w:tc>
          <w:tcPr>
            <w:tcW w:w="140" w:type="dxa"/>
            <w:vAlign w:val="bottom"/>
          </w:tcPr>
          <w:p>
            <w:pPr>
              <w:spacing w:after="0"/>
              <w:rPr>
                <w:sz w:val="13"/>
                <w:szCs w:val="13"/>
                <w:color w:val="auto"/>
              </w:rPr>
            </w:pPr>
          </w:p>
        </w:tc>
        <w:tc>
          <w:tcPr>
            <w:tcW w:w="24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w:anchor="page87">
              <w:r>
                <w:rPr>
                  <w:rFonts w:ascii="Arial" w:cs="Arial" w:eastAsia="Arial" w:hAnsi="Arial"/>
                  <w:sz w:val="18"/>
                  <w:szCs w:val="18"/>
                  <w:color w:val="0000FF"/>
                  <w:w w:val="91"/>
                </w:rPr>
                <w:t>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1840" w:type="dxa"/>
            <w:vAlign w:val="bottom"/>
            <w:tcBorders>
              <w:top w:val="single" w:sz="8" w:color="0000FF"/>
            </w:tcBorders>
            <w:gridSpan w:val="8"/>
          </w:tcPr>
          <w:p>
            <w:pPr>
              <w:spacing w:after="0"/>
              <w:rPr>
                <w:sz w:val="13"/>
                <w:szCs w:val="13"/>
                <w:color w:val="auto"/>
              </w:rPr>
            </w:pPr>
          </w:p>
        </w:tc>
        <w:tc>
          <w:tcPr>
            <w:tcW w:w="220" w:type="dxa"/>
            <w:vAlign w:val="bottom"/>
            <w:gridSpan w:val="5"/>
          </w:tcPr>
          <w:p>
            <w:pPr>
              <w:spacing w:after="0"/>
              <w:rPr>
                <w:sz w:val="13"/>
                <w:szCs w:val="13"/>
                <w:color w:val="auto"/>
              </w:rPr>
            </w:pPr>
          </w:p>
        </w:tc>
        <w:tc>
          <w:tcPr>
            <w:tcW w:w="1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69"/>
        </w:trPr>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540" w:type="dxa"/>
            <w:vAlign w:val="bottom"/>
            <w:gridSpan w:val="18"/>
          </w:tcPr>
          <w:p>
            <w:pPr>
              <w:spacing w:after="0" w:line="169" w:lineRule="exact"/>
              <w:rPr>
                <w:sz w:val="20"/>
                <w:szCs w:val="20"/>
                <w:color w:val="auto"/>
              </w:rPr>
            </w:pPr>
            <w:r>
              <w:rPr>
                <w:rFonts w:ascii="Arial" w:cs="Arial" w:eastAsia="Arial" w:hAnsi="Arial"/>
                <w:sz w:val="18"/>
                <w:szCs w:val="18"/>
                <w:color w:val="auto"/>
                <w:w w:val="99"/>
              </w:rPr>
              <w:t>Inline XBRL Instance Document – the instance document</w:t>
            </w:r>
          </w:p>
        </w:tc>
        <w:tc>
          <w:tcPr>
            <w:tcW w:w="1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40" w:type="dxa"/>
            <w:vAlign w:val="bottom"/>
            <w:gridSpan w:val="18"/>
          </w:tcPr>
          <w:p>
            <w:pPr>
              <w:spacing w:after="0" w:line="176" w:lineRule="exact"/>
              <w:rPr>
                <w:sz w:val="20"/>
                <w:szCs w:val="20"/>
                <w:color w:val="auto"/>
              </w:rPr>
            </w:pPr>
            <w:r>
              <w:rPr>
                <w:rFonts w:ascii="Arial" w:cs="Arial" w:eastAsia="Arial" w:hAnsi="Arial"/>
                <w:sz w:val="18"/>
                <w:szCs w:val="18"/>
                <w:color w:val="auto"/>
                <w:w w:val="96"/>
              </w:rPr>
              <w:t>does not appear in the Interactive Data File because XBRL</w:t>
            </w:r>
          </w:p>
        </w:tc>
        <w:tc>
          <w:tcPr>
            <w:tcW w:w="1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gridSpan w:val="18"/>
          </w:tcPr>
          <w:p>
            <w:pPr>
              <w:spacing w:after="0"/>
              <w:rPr>
                <w:sz w:val="20"/>
                <w:szCs w:val="20"/>
                <w:color w:val="auto"/>
              </w:rPr>
            </w:pPr>
            <w:r>
              <w:rPr>
                <w:rFonts w:ascii="Arial" w:cs="Arial" w:eastAsia="Arial" w:hAnsi="Arial"/>
                <w:sz w:val="18"/>
                <w:szCs w:val="18"/>
                <w:color w:val="auto"/>
              </w:rPr>
              <w:t>tags are embedded within the Inline XBRL document.</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40" w:type="dxa"/>
            <w:vAlign w:val="bottom"/>
          </w:tcPr>
          <w:p>
            <w:pPr>
              <w:spacing w:after="0"/>
              <w:rPr>
                <w:sz w:val="24"/>
                <w:szCs w:val="24"/>
                <w:color w:val="auto"/>
              </w:rPr>
            </w:pPr>
          </w:p>
        </w:tc>
        <w:tc>
          <w:tcPr>
            <w:tcW w:w="454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51"/>
        </w:trPr>
        <w:tc>
          <w:tcPr>
            <w:tcW w:w="80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40" w:type="dxa"/>
            <w:vAlign w:val="bottom"/>
          </w:tcPr>
          <w:p>
            <w:pPr>
              <w:spacing w:after="0"/>
              <w:rPr>
                <w:sz w:val="24"/>
                <w:szCs w:val="24"/>
                <w:color w:val="auto"/>
              </w:rPr>
            </w:pPr>
          </w:p>
        </w:tc>
        <w:tc>
          <w:tcPr>
            <w:tcW w:w="454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0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40" w:type="dxa"/>
            <w:vAlign w:val="bottom"/>
          </w:tcPr>
          <w:p>
            <w:pPr>
              <w:spacing w:after="0"/>
              <w:rPr>
                <w:sz w:val="24"/>
                <w:szCs w:val="24"/>
                <w:color w:val="auto"/>
              </w:rPr>
            </w:pPr>
          </w:p>
        </w:tc>
        <w:tc>
          <w:tcPr>
            <w:tcW w:w="454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80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40" w:type="dxa"/>
            <w:vAlign w:val="bottom"/>
          </w:tcPr>
          <w:p>
            <w:pPr>
              <w:spacing w:after="0"/>
              <w:rPr>
                <w:sz w:val="24"/>
                <w:szCs w:val="24"/>
                <w:color w:val="auto"/>
              </w:rPr>
            </w:pPr>
          </w:p>
        </w:tc>
        <w:tc>
          <w:tcPr>
            <w:tcW w:w="4540" w:type="dxa"/>
            <w:vAlign w:val="bottom"/>
            <w:gridSpan w:val="18"/>
          </w:tcPr>
          <w:p>
            <w:pPr>
              <w:spacing w:after="0"/>
              <w:rPr>
                <w:sz w:val="20"/>
                <w:szCs w:val="20"/>
                <w:color w:val="auto"/>
              </w:rPr>
            </w:pPr>
            <w:r>
              <w:rPr>
                <w:rFonts w:ascii="Arial" w:cs="Arial" w:eastAsia="Arial" w:hAnsi="Arial"/>
                <w:sz w:val="18"/>
                <w:szCs w:val="18"/>
                <w:color w:val="auto"/>
              </w:rPr>
              <w:t>Inline XBRL Taxonomy Extension Label Linkbase</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40" w:type="dxa"/>
            <w:vAlign w:val="bottom"/>
          </w:tcPr>
          <w:p>
            <w:pPr>
              <w:spacing w:after="0"/>
              <w:rPr>
                <w:sz w:val="24"/>
                <w:szCs w:val="24"/>
                <w:color w:val="auto"/>
              </w:rPr>
            </w:pPr>
          </w:p>
        </w:tc>
        <w:tc>
          <w:tcPr>
            <w:tcW w:w="4540" w:type="dxa"/>
            <w:vAlign w:val="bottom"/>
            <w:gridSpan w:val="18"/>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54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80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40" w:type="dxa"/>
            <w:vAlign w:val="bottom"/>
          </w:tcPr>
          <w:p>
            <w:pPr>
              <w:spacing w:after="0"/>
              <w:rPr>
                <w:sz w:val="24"/>
                <w:szCs w:val="24"/>
                <w:color w:val="auto"/>
              </w:rPr>
            </w:pPr>
          </w:p>
        </w:tc>
        <w:tc>
          <w:tcPr>
            <w:tcW w:w="4540" w:type="dxa"/>
            <w:vAlign w:val="bottom"/>
            <w:gridSpan w:val="18"/>
          </w:tcPr>
          <w:p>
            <w:pPr>
              <w:spacing w:after="0"/>
              <w:rPr>
                <w:sz w:val="20"/>
                <w:szCs w:val="20"/>
                <w:color w:val="auto"/>
              </w:rPr>
            </w:pPr>
            <w:r>
              <w:rPr>
                <w:rFonts w:ascii="Arial" w:cs="Arial" w:eastAsia="Arial" w:hAnsi="Arial"/>
                <w:sz w:val="18"/>
                <w:szCs w:val="18"/>
                <w:color w:val="auto"/>
                <w:w w:val="96"/>
              </w:rPr>
              <w:t>Cover Page Interactive Data File (formatted as inline XBRL</w:t>
            </w:r>
          </w:p>
        </w:tc>
        <w:tc>
          <w:tcPr>
            <w:tcW w:w="1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8"/>
        </w:trPr>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40" w:type="dxa"/>
            <w:vAlign w:val="bottom"/>
            <w:gridSpan w:val="18"/>
          </w:tcPr>
          <w:p>
            <w:pPr>
              <w:spacing w:after="0"/>
              <w:rPr>
                <w:sz w:val="20"/>
                <w:szCs w:val="20"/>
                <w:color w:val="auto"/>
              </w:rPr>
            </w:pPr>
            <w:r>
              <w:rPr>
                <w:rFonts w:ascii="Arial" w:cs="Arial" w:eastAsia="Arial" w:hAnsi="Arial"/>
                <w:sz w:val="18"/>
                <w:szCs w:val="18"/>
                <w:color w:val="auto"/>
              </w:rPr>
              <w:t>and contained in Exhibits 101).</w:t>
            </w:r>
          </w:p>
        </w:tc>
        <w:tc>
          <w:tcPr>
            <w:tcW w:w="1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auto"/>
        <w:rPr>
          <w:sz w:val="20"/>
          <w:szCs w:val="20"/>
          <w:color w:val="auto"/>
        </w:rPr>
      </w:pPr>
      <w:r>
        <w:rPr>
          <w:rFonts w:ascii="Arial" w:cs="Arial" w:eastAsia="Arial" w:hAnsi="Arial"/>
          <w:sz w:val="18"/>
          <w:szCs w:val="18"/>
          <w:color w:val="auto"/>
        </w:rPr>
        <w:t>______________________________________</w:t>
      </w:r>
    </w:p>
    <w:p>
      <w:pPr>
        <w:spacing w:after="0" w:line="1" w:lineRule="exact"/>
        <w:rPr>
          <w:sz w:val="20"/>
          <w:szCs w:val="20"/>
          <w:color w:val="auto"/>
        </w:rPr>
      </w:pPr>
    </w:p>
    <w:p>
      <w:pPr>
        <w:jc w:val="both"/>
        <w:ind w:firstLine="8"/>
        <w:spacing w:after="0" w:line="238" w:lineRule="auto"/>
        <w:tabs>
          <w:tab w:leader="none" w:pos="143"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contemplated by SEC Release No. 33-8212, these exhibits are furnished with this Quarterly Report on Form 10-Q and are not deemed filed with the Securities and Exchange Commission and are not incorporated by reference in any filing of Cytek Biosciences, Inc. under the Securities Act of 1933, as amended, or the Securities Exchange Act of 1934, as amended, whether made before or after the date hereof and irrespective of any general incorporation language contained in such filings.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82</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3"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Cytek Biosciences, Inc.</w:t>
      </w:r>
    </w:p>
    <w:p>
      <w:pPr>
        <w:spacing w:after="0" w:line="202" w:lineRule="exact"/>
        <w:rPr>
          <w:sz w:val="20"/>
          <w:szCs w:val="20"/>
          <w:color w:val="auto"/>
        </w:rPr>
      </w:pPr>
    </w:p>
    <w:p>
      <w:pPr>
        <w:ind w:left="20"/>
        <w:spacing w:after="0"/>
        <w:tabs>
          <w:tab w:leader="none" w:pos="5340" w:val="left"/>
          <w:tab w:leader="none" w:pos="7840" w:val="left"/>
        </w:tabs>
        <w:rPr>
          <w:sz w:val="20"/>
          <w:szCs w:val="20"/>
          <w:color w:val="auto"/>
        </w:rPr>
      </w:pPr>
      <w:r>
        <w:rPr>
          <w:rFonts w:ascii="Arial" w:cs="Arial" w:eastAsia="Arial" w:hAnsi="Arial"/>
          <w:sz w:val="18"/>
          <w:szCs w:val="18"/>
          <w:color w:val="auto"/>
        </w:rPr>
        <w:t>Date: May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Wenbin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-1905</wp:posOffset>
            </wp:positionV>
            <wp:extent cx="35318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ind w:left="7720"/>
        <w:spacing w:after="0"/>
        <w:rPr>
          <w:sz w:val="20"/>
          <w:szCs w:val="20"/>
          <w:color w:val="auto"/>
        </w:rPr>
      </w:pPr>
      <w:r>
        <w:rPr>
          <w:rFonts w:ascii="Arial" w:cs="Arial" w:eastAsia="Arial" w:hAnsi="Arial"/>
          <w:sz w:val="18"/>
          <w:szCs w:val="18"/>
          <w:color w:val="auto"/>
        </w:rPr>
        <w:t>Wenbin Jiang, Ph.D.</w:t>
      </w:r>
    </w:p>
    <w:p>
      <w:pPr>
        <w:ind w:left="7080"/>
        <w:spacing w:after="0" w:line="203" w:lineRule="auto"/>
        <w:rPr>
          <w:sz w:val="20"/>
          <w:szCs w:val="20"/>
          <w:color w:val="auto"/>
        </w:rPr>
      </w:pPr>
      <w:r>
        <w:rPr>
          <w:rFonts w:ascii="Arial" w:cs="Arial" w:eastAsia="Arial" w:hAnsi="Arial"/>
          <w:sz w:val="18"/>
          <w:szCs w:val="18"/>
          <w:color w:val="auto"/>
        </w:rPr>
        <w:t>President and Chief Executive Officer</w:t>
      </w:r>
    </w:p>
    <w:p>
      <w:pPr>
        <w:ind w:left="74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7" w:lineRule="exact"/>
        <w:rPr>
          <w:sz w:val="20"/>
          <w:szCs w:val="20"/>
          <w:color w:val="auto"/>
        </w:rPr>
      </w:pPr>
    </w:p>
    <w:p>
      <w:pPr>
        <w:ind w:left="20"/>
        <w:spacing w:after="0"/>
        <w:tabs>
          <w:tab w:leader="none" w:pos="5340" w:val="left"/>
          <w:tab w:leader="none" w:pos="7680" w:val="left"/>
        </w:tabs>
        <w:rPr>
          <w:sz w:val="20"/>
          <w:szCs w:val="20"/>
          <w:color w:val="auto"/>
        </w:rPr>
      </w:pPr>
      <w:r>
        <w:rPr>
          <w:rFonts w:ascii="Arial" w:cs="Arial" w:eastAsia="Arial" w:hAnsi="Arial"/>
          <w:sz w:val="18"/>
          <w:szCs w:val="18"/>
          <w:color w:val="auto"/>
        </w:rPr>
        <w:t>Date: May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Patrik Jeanmonod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-1905</wp:posOffset>
            </wp:positionV>
            <wp:extent cx="35318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ind w:left="7820"/>
        <w:spacing w:after="0"/>
        <w:rPr>
          <w:sz w:val="20"/>
          <w:szCs w:val="20"/>
          <w:color w:val="auto"/>
        </w:rPr>
      </w:pPr>
      <w:r>
        <w:rPr>
          <w:rFonts w:ascii="Arial" w:cs="Arial" w:eastAsia="Arial" w:hAnsi="Arial"/>
          <w:sz w:val="18"/>
          <w:szCs w:val="18"/>
          <w:color w:val="auto"/>
        </w:rPr>
        <w:t>Patrik Jeanmonod</w:t>
      </w:r>
    </w:p>
    <w:p>
      <w:pPr>
        <w:ind w:left="7620"/>
        <w:spacing w:after="0" w:line="203" w:lineRule="auto"/>
        <w:rPr>
          <w:sz w:val="20"/>
          <w:szCs w:val="20"/>
          <w:color w:val="auto"/>
        </w:rPr>
      </w:pPr>
      <w:r>
        <w:rPr>
          <w:rFonts w:ascii="Arial" w:cs="Arial" w:eastAsia="Arial" w:hAnsi="Arial"/>
          <w:sz w:val="18"/>
          <w:szCs w:val="18"/>
          <w:color w:val="auto"/>
        </w:rPr>
        <w:t>Chief Financial Officer</w:t>
      </w:r>
    </w:p>
    <w:p>
      <w:pPr>
        <w:ind w:left="68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1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ind w:left="2080"/>
        <w:spacing w:after="0" w:line="234"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ind w:left="2000"/>
        <w:spacing w:after="0" w:line="235" w:lineRule="auto"/>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5" w:lineRule="auto"/>
        <w:rPr>
          <w:sz w:val="20"/>
          <w:szCs w:val="20"/>
          <w:color w:val="auto"/>
        </w:rPr>
      </w:pPr>
      <w:r>
        <w:rPr>
          <w:rFonts w:ascii="Arial" w:cs="Arial" w:eastAsia="Arial" w:hAnsi="Arial"/>
          <w:sz w:val="18"/>
          <w:szCs w:val="18"/>
          <w:color w:val="auto"/>
        </w:rPr>
        <w:t>I, Wenbin Jiang, Ph.D., certify that:</w:t>
      </w:r>
    </w:p>
    <w:p>
      <w:pPr>
        <w:ind w:left="180" w:hanging="172"/>
        <w:spacing w:after="0" w:line="235"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Cytek Biosciences, Inc.;</w:t>
      </w:r>
    </w:p>
    <w:p>
      <w:pPr>
        <w:ind w:right="260" w:firstLine="8"/>
        <w:spacing w:after="0" w:line="264" w:lineRule="auto"/>
        <w:tabs>
          <w:tab w:leader="none" w:pos="1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8"/>
        <w:spacing w:after="0" w:line="248" w:lineRule="auto"/>
        <w:tabs>
          <w:tab w:leader="none" w:pos="1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right="20" w:firstLine="8"/>
        <w:spacing w:after="0" w:line="243"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7" w:lineRule="exact"/>
        <w:rPr>
          <w:rFonts w:ascii="Arial" w:cs="Arial" w:eastAsia="Arial" w:hAnsi="Arial"/>
          <w:sz w:val="18"/>
          <w:szCs w:val="18"/>
          <w:color w:val="auto"/>
        </w:rPr>
      </w:pPr>
    </w:p>
    <w:p>
      <w:pPr>
        <w:ind w:left="760" w:right="280" w:hanging="378"/>
        <w:spacing w:after="0" w:line="248" w:lineRule="auto"/>
        <w:tabs>
          <w:tab w:leader="none" w:pos="7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760" w:right="760" w:hanging="378"/>
        <w:spacing w:after="0" w:line="324" w:lineRule="auto"/>
        <w:tabs>
          <w:tab w:leader="none" w:pos="7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760" w:right="280" w:hanging="378"/>
        <w:spacing w:after="0"/>
        <w:tabs>
          <w:tab w:leader="none" w:pos="7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right="480" w:firstLine="8"/>
        <w:spacing w:after="0" w:line="271" w:lineRule="auto"/>
        <w:tabs>
          <w:tab w:leader="none" w:pos="1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7"/>
          <w:szCs w:val="17"/>
          <w:color w:val="auto"/>
        </w:rPr>
      </w:pPr>
    </w:p>
    <w:p>
      <w:pPr>
        <w:ind w:left="760" w:right="180" w:hanging="378"/>
        <w:spacing w:after="0" w:line="261" w:lineRule="auto"/>
        <w:tabs>
          <w:tab w:leader="none" w:pos="7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60" w:right="140" w:hanging="378"/>
        <w:spacing w:after="0" w:line="261" w:lineRule="auto"/>
        <w:tabs>
          <w:tab w:leader="none" w:pos="7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Pr>
          <w:p>
            <w:pPr>
              <w:spacing w:after="0"/>
              <w:rPr>
                <w:sz w:val="20"/>
                <w:szCs w:val="20"/>
                <w:color w:val="auto"/>
              </w:rPr>
            </w:pPr>
            <w:r>
              <w:rPr>
                <w:rFonts w:ascii="Arial" w:cs="Arial" w:eastAsia="Arial" w:hAnsi="Arial"/>
                <w:sz w:val="18"/>
                <w:szCs w:val="18"/>
                <w:color w:val="auto"/>
              </w:rPr>
              <w:t>Date: May 11, 2022</w:t>
            </w:r>
          </w:p>
        </w:tc>
        <w:tc>
          <w:tcPr>
            <w:tcW w:w="8440" w:type="dxa"/>
            <w:vAlign w:val="bottom"/>
            <w:gridSpan w:val="3"/>
          </w:tcPr>
          <w:p>
            <w:pPr>
              <w:ind w:left="1340"/>
              <w:spacing w:after="0"/>
              <w:rPr>
                <w:sz w:val="20"/>
                <w:szCs w:val="20"/>
                <w:color w:val="auto"/>
              </w:rPr>
            </w:pPr>
            <w:r>
              <w:rPr>
                <w:rFonts w:ascii="Arial" w:cs="Arial" w:eastAsia="Arial" w:hAnsi="Arial"/>
                <w:sz w:val="18"/>
                <w:szCs w:val="18"/>
                <w:color w:val="auto"/>
              </w:rPr>
              <w:t>By: /s/ Wenbin Jiang, Ph.D.</w:t>
            </w:r>
          </w:p>
        </w:tc>
      </w:tr>
      <w:tr>
        <w:trPr>
          <w:trHeight w:val="195"/>
        </w:trPr>
        <w:tc>
          <w:tcPr>
            <w:tcW w:w="2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700" w:type="dxa"/>
            <w:vAlign w:val="bottom"/>
            <w:tcBorders>
              <w:top w:val="single" w:sz="8" w:color="auto"/>
            </w:tcBorders>
          </w:tcPr>
          <w:p>
            <w:pPr>
              <w:ind w:left="580"/>
              <w:spacing w:after="0" w:line="195" w:lineRule="exact"/>
              <w:rPr>
                <w:sz w:val="20"/>
                <w:szCs w:val="20"/>
                <w:color w:val="auto"/>
              </w:rPr>
            </w:pPr>
            <w:r>
              <w:rPr>
                <w:rFonts w:ascii="Arial" w:cs="Arial" w:eastAsia="Arial" w:hAnsi="Arial"/>
                <w:sz w:val="18"/>
                <w:szCs w:val="18"/>
                <w:color w:val="auto"/>
                <w:w w:val="96"/>
              </w:rPr>
              <w:t>Wenbin Jiang,</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Ph.D.</w:t>
            </w:r>
          </w:p>
        </w:tc>
      </w:tr>
      <w:tr>
        <w:trPr>
          <w:trHeight w:val="203"/>
        </w:trPr>
        <w:tc>
          <w:tcPr>
            <w:tcW w:w="28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6800" w:type="dxa"/>
            <w:vAlign w:val="bottom"/>
            <w:gridSpan w:val="2"/>
          </w:tcPr>
          <w:p>
            <w:pPr>
              <w:ind w:left="580"/>
              <w:spacing w:after="0" w:line="202" w:lineRule="exact"/>
              <w:rPr>
                <w:sz w:val="20"/>
                <w:szCs w:val="20"/>
                <w:color w:val="auto"/>
              </w:rPr>
            </w:pPr>
            <w:r>
              <w:rPr>
                <w:rFonts w:ascii="Arial" w:cs="Arial" w:eastAsia="Arial" w:hAnsi="Arial"/>
                <w:sz w:val="18"/>
                <w:szCs w:val="18"/>
                <w:color w:val="auto"/>
              </w:rPr>
              <w:t>President and Chief Executive Officer</w:t>
            </w:r>
          </w:p>
        </w:tc>
      </w:tr>
      <w:tr>
        <w:trPr>
          <w:trHeight w:val="230"/>
        </w:trPr>
        <w:tc>
          <w:tcPr>
            <w:tcW w:w="28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800" w:type="dxa"/>
            <w:vAlign w:val="bottom"/>
            <w:gridSpan w:val="2"/>
          </w:tcPr>
          <w:p>
            <w:pPr>
              <w:ind w:left="580"/>
              <w:spacing w:after="0"/>
              <w:rPr>
                <w:sz w:val="20"/>
                <w:szCs w:val="20"/>
                <w:color w:val="auto"/>
              </w:rPr>
            </w:pPr>
            <w:r>
              <w:rPr>
                <w:rFonts w:ascii="Arial" w:cs="Arial" w:eastAsia="Arial" w:hAnsi="Arial"/>
                <w:sz w:val="18"/>
                <w:szCs w:val="18"/>
                <w:color w:val="auto"/>
              </w:rPr>
              <w:t>(Principal Executive Officer)</w:t>
            </w:r>
          </w:p>
        </w:tc>
      </w:tr>
      <w:tr>
        <w:trPr>
          <w:trHeight w:val="304"/>
        </w:trPr>
        <w:tc>
          <w:tcPr>
            <w:tcW w:w="28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1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ind w:left="2080"/>
        <w:spacing w:after="0" w:line="234"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ind w:left="2000"/>
        <w:spacing w:after="0" w:line="235" w:lineRule="auto"/>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5" w:lineRule="auto"/>
        <w:rPr>
          <w:sz w:val="20"/>
          <w:szCs w:val="20"/>
          <w:color w:val="auto"/>
        </w:rPr>
      </w:pPr>
      <w:r>
        <w:rPr>
          <w:rFonts w:ascii="Arial" w:cs="Arial" w:eastAsia="Arial" w:hAnsi="Arial"/>
          <w:sz w:val="18"/>
          <w:szCs w:val="18"/>
          <w:color w:val="auto"/>
        </w:rPr>
        <w:t>I, Patrik Jeanmonod, certify that:</w:t>
      </w:r>
    </w:p>
    <w:p>
      <w:pPr>
        <w:ind w:left="180" w:hanging="172"/>
        <w:spacing w:after="0" w:line="235" w:lineRule="auto"/>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Cytek Biosciences, Inc.;</w:t>
      </w:r>
    </w:p>
    <w:p>
      <w:pPr>
        <w:ind w:right="260" w:firstLine="8"/>
        <w:spacing w:after="0" w:line="264" w:lineRule="auto"/>
        <w:tabs>
          <w:tab w:leader="none" w:pos="1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8"/>
        <w:spacing w:after="0" w:line="248" w:lineRule="auto"/>
        <w:tabs>
          <w:tab w:leader="none" w:pos="1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right="20" w:firstLine="8"/>
        <w:spacing w:after="0" w:line="243" w:lineRule="auto"/>
        <w:tabs>
          <w:tab w:leader="none" w:pos="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7"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8"/>
          <w:szCs w:val="18"/>
          <w:color w:val="auto"/>
        </w:rPr>
      </w:pPr>
    </w:p>
    <w:p>
      <w:pPr>
        <w:ind w:right="480" w:firstLine="8"/>
        <w:spacing w:after="0" w:line="271" w:lineRule="auto"/>
        <w:tabs>
          <w:tab w:leader="none" w:pos="1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20"/>
                <w:szCs w:val="20"/>
                <w:color w:val="auto"/>
              </w:rPr>
            </w:pPr>
            <w:r>
              <w:rPr>
                <w:rFonts w:ascii="Arial" w:cs="Arial" w:eastAsia="Arial" w:hAnsi="Arial"/>
                <w:sz w:val="18"/>
                <w:szCs w:val="18"/>
                <w:color w:val="auto"/>
              </w:rPr>
              <w:t>Date: May 11, 2022</w:t>
            </w:r>
          </w:p>
        </w:tc>
        <w:tc>
          <w:tcPr>
            <w:tcW w:w="1980" w:type="dxa"/>
            <w:vAlign w:val="bottom"/>
          </w:tcPr>
          <w:p>
            <w:pPr>
              <w:ind w:left="1520"/>
              <w:spacing w:after="0"/>
              <w:rPr>
                <w:sz w:val="20"/>
                <w:szCs w:val="20"/>
                <w:color w:val="auto"/>
              </w:rPr>
            </w:pPr>
            <w:r>
              <w:rPr>
                <w:rFonts w:ascii="Arial" w:cs="Arial" w:eastAsia="Arial" w:hAnsi="Arial"/>
                <w:sz w:val="18"/>
                <w:szCs w:val="18"/>
                <w:color w:val="auto"/>
              </w:rPr>
              <w:t>By:</w:t>
            </w:r>
          </w:p>
        </w:tc>
        <w:tc>
          <w:tcPr>
            <w:tcW w:w="6320" w:type="dxa"/>
            <w:vAlign w:val="bottom"/>
            <w:gridSpan w:val="3"/>
          </w:tcPr>
          <w:p>
            <w:pPr>
              <w:ind w:left="200"/>
              <w:spacing w:after="0"/>
              <w:rPr>
                <w:sz w:val="20"/>
                <w:szCs w:val="20"/>
                <w:color w:val="auto"/>
              </w:rPr>
            </w:pPr>
            <w:r>
              <w:rPr>
                <w:rFonts w:ascii="Arial" w:cs="Arial" w:eastAsia="Arial" w:hAnsi="Arial"/>
                <w:sz w:val="18"/>
                <w:szCs w:val="18"/>
                <w:color w:val="auto"/>
              </w:rPr>
              <w:t>/s/ Patrik Jeanmonod</w:t>
            </w:r>
          </w:p>
        </w:tc>
      </w:tr>
      <w:tr>
        <w:trPr>
          <w:trHeight w:val="195"/>
        </w:trPr>
        <w:tc>
          <w:tcPr>
            <w:tcW w:w="29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w w:val="90"/>
              </w:rPr>
              <w:t>Patrik Jeanmonod</w:t>
            </w:r>
          </w:p>
        </w:tc>
        <w:tc>
          <w:tcPr>
            <w:tcW w:w="4620" w:type="dxa"/>
            <w:vAlign w:val="bottom"/>
          </w:tcPr>
          <w:p>
            <w:pPr>
              <w:spacing w:after="0"/>
              <w:rPr>
                <w:sz w:val="16"/>
                <w:szCs w:val="16"/>
                <w:color w:val="auto"/>
              </w:rPr>
            </w:pPr>
          </w:p>
        </w:tc>
      </w:tr>
      <w:tr>
        <w:trPr>
          <w:trHeight w:val="203"/>
        </w:trPr>
        <w:tc>
          <w:tcPr>
            <w:tcW w:w="29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1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Chief Financial Officer</w:t>
            </w:r>
          </w:p>
        </w:tc>
      </w:tr>
      <w:tr>
        <w:trPr>
          <w:trHeight w:val="230"/>
        </w:trPr>
        <w:tc>
          <w:tcPr>
            <w:tcW w:w="29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120" w:type="dxa"/>
            <w:vAlign w:val="bottom"/>
            <w:gridSpan w:val="2"/>
          </w:tcPr>
          <w:p>
            <w:pPr>
              <w:ind w:left="160"/>
              <w:spacing w:after="0"/>
              <w:rPr>
                <w:sz w:val="20"/>
                <w:szCs w:val="20"/>
                <w:color w:val="auto"/>
              </w:rPr>
            </w:pPr>
            <w:r>
              <w:rPr>
                <w:rFonts w:ascii="Arial" w:cs="Arial" w:eastAsia="Arial" w:hAnsi="Arial"/>
                <w:sz w:val="18"/>
                <w:szCs w:val="18"/>
                <w:color w:val="auto"/>
              </w:rPr>
              <w:t>(Principal Financial Officer)</w:t>
            </w:r>
          </w:p>
        </w:tc>
      </w:tr>
      <w:tr>
        <w:trPr>
          <w:trHeight w:val="506"/>
        </w:trPr>
        <w:tc>
          <w:tcPr>
            <w:tcW w:w="29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jc w:val="both"/>
        <w:ind w:firstLine="898"/>
        <w:spacing w:after="0" w:line="243" w:lineRule="auto"/>
        <w:rPr>
          <w:sz w:val="20"/>
          <w:szCs w:val="20"/>
          <w:color w:val="auto"/>
        </w:rPr>
      </w:pPr>
      <w:r>
        <w:rPr>
          <w:rFonts w:ascii="Arial" w:cs="Arial" w:eastAsia="Arial" w:hAnsi="Arial"/>
          <w:sz w:val="18"/>
          <w:szCs w:val="18"/>
          <w:color w:val="auto"/>
        </w:rPr>
        <w:t>In connection with the Quarterly Report on Form 10-Q of Cytek Biosciences, Inc. (the “Company”) for the period ended March 31, 2022 as filed with the Securities and Exchange Commission on the date hereof (the “Report”), the undersigned, Wenbin Jiang, Ph.D., President and Chief Executive Officer of the Company, hereby certifies, pursuant to requirements set forth in Rule 13a-14(b) of the Securities Exchange Act of 1934, as amended (the “Exchange Act”), and 18 U.S.C. Section 1350, that to his knowledge:</w:t>
      </w:r>
    </w:p>
    <w:p>
      <w:pPr>
        <w:spacing w:after="0" w:line="80" w:lineRule="exact"/>
        <w:rPr>
          <w:sz w:val="20"/>
          <w:szCs w:val="20"/>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03"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ind w:left="20"/>
              <w:spacing w:after="0"/>
              <w:rPr>
                <w:sz w:val="20"/>
                <w:szCs w:val="20"/>
                <w:color w:val="auto"/>
              </w:rPr>
            </w:pPr>
            <w:r>
              <w:rPr>
                <w:rFonts w:ascii="Arial" w:cs="Arial" w:eastAsia="Arial" w:hAnsi="Arial"/>
                <w:sz w:val="18"/>
                <w:szCs w:val="18"/>
                <w:color w:val="auto"/>
              </w:rPr>
              <w:t>Date: May 11, 2022</w:t>
            </w:r>
          </w:p>
        </w:tc>
        <w:tc>
          <w:tcPr>
            <w:tcW w:w="1940" w:type="dxa"/>
            <w:vAlign w:val="bottom"/>
          </w:tcPr>
          <w:p>
            <w:pPr>
              <w:ind w:left="1300"/>
              <w:spacing w:after="0"/>
              <w:rPr>
                <w:sz w:val="20"/>
                <w:szCs w:val="20"/>
                <w:color w:val="auto"/>
              </w:rPr>
            </w:pPr>
            <w:r>
              <w:rPr>
                <w:rFonts w:ascii="Arial" w:cs="Arial" w:eastAsia="Arial" w:hAnsi="Arial"/>
                <w:sz w:val="18"/>
                <w:szCs w:val="18"/>
                <w:color w:val="auto"/>
              </w:rPr>
              <w:t>By:</w:t>
            </w:r>
          </w:p>
        </w:tc>
        <w:tc>
          <w:tcPr>
            <w:tcW w:w="6540" w:type="dxa"/>
            <w:vAlign w:val="bottom"/>
            <w:gridSpan w:val="2"/>
          </w:tcPr>
          <w:p>
            <w:pPr>
              <w:spacing w:after="0"/>
              <w:rPr>
                <w:sz w:val="20"/>
                <w:szCs w:val="20"/>
                <w:color w:val="auto"/>
              </w:rPr>
            </w:pPr>
            <w:r>
              <w:rPr>
                <w:rFonts w:ascii="Arial" w:cs="Arial" w:eastAsia="Arial" w:hAnsi="Arial"/>
                <w:sz w:val="18"/>
                <w:szCs w:val="18"/>
                <w:color w:val="auto"/>
              </w:rPr>
              <w:t>/s/ Wenbin Jiang, Ph.D.</w:t>
            </w:r>
          </w:p>
        </w:tc>
      </w:tr>
      <w:tr>
        <w:trPr>
          <w:trHeight w:val="195"/>
        </w:trPr>
        <w:tc>
          <w:tcPr>
            <w:tcW w:w="27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700" w:type="dxa"/>
            <w:vAlign w:val="bottom"/>
            <w:tcBorders>
              <w:top w:val="single" w:sz="8" w:color="auto"/>
            </w:tcBorders>
          </w:tcPr>
          <w:p>
            <w:pPr>
              <w:ind w:left="320"/>
              <w:spacing w:after="0" w:line="195" w:lineRule="exact"/>
              <w:rPr>
                <w:sz w:val="20"/>
                <w:szCs w:val="20"/>
                <w:color w:val="auto"/>
              </w:rPr>
            </w:pPr>
            <w:r>
              <w:rPr>
                <w:rFonts w:ascii="Arial" w:cs="Arial" w:eastAsia="Arial" w:hAnsi="Arial"/>
                <w:sz w:val="18"/>
                <w:szCs w:val="18"/>
                <w:color w:val="auto"/>
                <w:w w:val="82"/>
              </w:rPr>
              <w:t>Wenbin Jiang, Ph.D.</w:t>
            </w:r>
          </w:p>
        </w:tc>
        <w:tc>
          <w:tcPr>
            <w:tcW w:w="4840" w:type="dxa"/>
            <w:vAlign w:val="bottom"/>
          </w:tcPr>
          <w:p>
            <w:pPr>
              <w:spacing w:after="0"/>
              <w:rPr>
                <w:sz w:val="16"/>
                <w:szCs w:val="16"/>
                <w:color w:val="auto"/>
              </w:rPr>
            </w:pPr>
          </w:p>
        </w:tc>
      </w:tr>
      <w:tr>
        <w:trPr>
          <w:trHeight w:val="203"/>
        </w:trPr>
        <w:tc>
          <w:tcPr>
            <w:tcW w:w="27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54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President and Chief Executive Officer</w:t>
            </w:r>
          </w:p>
        </w:tc>
      </w:tr>
      <w:tr>
        <w:trPr>
          <w:trHeight w:val="230"/>
        </w:trPr>
        <w:tc>
          <w:tcPr>
            <w:tcW w:w="27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6540" w:type="dxa"/>
            <w:vAlign w:val="bottom"/>
            <w:gridSpan w:val="2"/>
          </w:tcPr>
          <w:p>
            <w:pPr>
              <w:ind w:left="320"/>
              <w:spacing w:after="0"/>
              <w:rPr>
                <w:sz w:val="20"/>
                <w:szCs w:val="20"/>
                <w:color w:val="auto"/>
              </w:rPr>
            </w:pPr>
            <w:r>
              <w:rPr>
                <w:rFonts w:ascii="Arial" w:cs="Arial" w:eastAsia="Arial" w:hAnsi="Arial"/>
                <w:sz w:val="18"/>
                <w:szCs w:val="18"/>
                <w:color w:val="auto"/>
              </w:rPr>
              <w:t>(Principal Executive Officer)</w:t>
            </w:r>
          </w:p>
        </w:tc>
      </w:tr>
      <w:tr>
        <w:trPr>
          <w:trHeight w:val="506"/>
        </w:trPr>
        <w:tc>
          <w:tcPr>
            <w:tcW w:w="27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2" w:lineRule="exact"/>
        <w:rPr>
          <w:sz w:val="20"/>
          <w:szCs w:val="20"/>
          <w:color w:val="auto"/>
        </w:rPr>
      </w:pPr>
    </w:p>
    <w:p>
      <w:pPr>
        <w:ind w:right="40" w:firstLine="898"/>
        <w:spacing w:after="0" w:line="243" w:lineRule="auto"/>
        <w:rPr>
          <w:sz w:val="20"/>
          <w:szCs w:val="20"/>
          <w:color w:val="auto"/>
        </w:rPr>
      </w:pPr>
      <w:r>
        <w:rPr>
          <w:rFonts w:ascii="Arial" w:cs="Arial" w:eastAsia="Arial" w:hAnsi="Arial"/>
          <w:sz w:val="18"/>
          <w:szCs w:val="18"/>
          <w:color w:val="auto"/>
        </w:rPr>
        <w:t>In connection with the Quarterly Report on Form 10-Q of Cytek Biosciences, Inc. (the “Company”) for the period ended March 31, 2022 as filed with the Securities and Exchange Commission on the date hereof (the “Report”), the undersigned, Patrik Jeanmonod, Chief Financial Officer of the Company, hereby certifies, pursuant to requirements set forth in Rule 13a-14(b) of the Securities Exchange Act of 1934, as amended (the “Exchange Act”), and 18 U.S.C. Section 1350, that to his knowledge:</w:t>
      </w:r>
    </w:p>
    <w:p>
      <w:pPr>
        <w:spacing w:after="0" w:line="80" w:lineRule="exact"/>
        <w:rPr>
          <w:sz w:val="20"/>
          <w:szCs w:val="20"/>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03"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ind w:left="540"/>
              <w:spacing w:after="0"/>
              <w:rPr>
                <w:sz w:val="20"/>
                <w:szCs w:val="20"/>
                <w:color w:val="auto"/>
              </w:rPr>
            </w:pPr>
            <w:r>
              <w:rPr>
                <w:rFonts w:ascii="Arial" w:cs="Arial" w:eastAsia="Arial" w:hAnsi="Arial"/>
                <w:sz w:val="18"/>
                <w:szCs w:val="18"/>
                <w:color w:val="auto"/>
              </w:rPr>
              <w:t>Date:   May 11, 2022</w:t>
            </w:r>
          </w:p>
        </w:tc>
        <w:tc>
          <w:tcPr>
            <w:tcW w:w="1300" w:type="dxa"/>
            <w:vAlign w:val="bottom"/>
          </w:tcPr>
          <w:p>
            <w:pPr>
              <w:ind w:left="660"/>
              <w:spacing w:after="0"/>
              <w:rPr>
                <w:sz w:val="20"/>
                <w:szCs w:val="20"/>
                <w:color w:val="auto"/>
              </w:rPr>
            </w:pPr>
            <w:r>
              <w:rPr>
                <w:rFonts w:ascii="Arial" w:cs="Arial" w:eastAsia="Arial" w:hAnsi="Arial"/>
                <w:sz w:val="18"/>
                <w:szCs w:val="18"/>
                <w:color w:val="auto"/>
              </w:rPr>
              <w:t>By:</w:t>
            </w:r>
          </w:p>
        </w:tc>
        <w:tc>
          <w:tcPr>
            <w:tcW w:w="7100" w:type="dxa"/>
            <w:vAlign w:val="bottom"/>
            <w:gridSpan w:val="2"/>
          </w:tcPr>
          <w:p>
            <w:pPr>
              <w:spacing w:after="0"/>
              <w:rPr>
                <w:sz w:val="20"/>
                <w:szCs w:val="20"/>
                <w:color w:val="auto"/>
              </w:rPr>
            </w:pPr>
            <w:r>
              <w:rPr>
                <w:rFonts w:ascii="Arial" w:cs="Arial" w:eastAsia="Arial" w:hAnsi="Arial"/>
                <w:sz w:val="18"/>
                <w:szCs w:val="18"/>
                <w:color w:val="auto"/>
              </w:rPr>
              <w:t>/s/ Patrik Jeanmonod</w:t>
            </w:r>
          </w:p>
        </w:tc>
      </w:tr>
      <w:tr>
        <w:trPr>
          <w:trHeight w:val="195"/>
        </w:trPr>
        <w:tc>
          <w:tcPr>
            <w:tcW w:w="2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00" w:type="dxa"/>
            <w:vAlign w:val="bottom"/>
            <w:tcBorders>
              <w:top w:val="single" w:sz="8" w:color="auto"/>
            </w:tcBorders>
          </w:tcPr>
          <w:p>
            <w:pPr>
              <w:ind w:left="280"/>
              <w:spacing w:after="0" w:line="195" w:lineRule="exact"/>
              <w:rPr>
                <w:sz w:val="20"/>
                <w:szCs w:val="20"/>
                <w:color w:val="auto"/>
              </w:rPr>
            </w:pPr>
            <w:r>
              <w:rPr>
                <w:rFonts w:ascii="Arial" w:cs="Arial" w:eastAsia="Arial" w:hAnsi="Arial"/>
                <w:sz w:val="18"/>
                <w:szCs w:val="18"/>
                <w:color w:val="auto"/>
                <w:w w:val="82"/>
              </w:rPr>
              <w:t>Patrik Jeanmonod</w:t>
            </w:r>
          </w:p>
        </w:tc>
        <w:tc>
          <w:tcPr>
            <w:tcW w:w="5600" w:type="dxa"/>
            <w:vAlign w:val="bottom"/>
          </w:tcPr>
          <w:p>
            <w:pPr>
              <w:spacing w:after="0"/>
              <w:rPr>
                <w:sz w:val="16"/>
                <w:szCs w:val="16"/>
                <w:color w:val="auto"/>
              </w:rPr>
            </w:pPr>
          </w:p>
        </w:tc>
      </w:tr>
      <w:tr>
        <w:trPr>
          <w:trHeight w:val="203"/>
        </w:trPr>
        <w:tc>
          <w:tcPr>
            <w:tcW w:w="2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1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Chief Financial Officer</w:t>
            </w:r>
          </w:p>
        </w:tc>
      </w:tr>
      <w:tr>
        <w:trPr>
          <w:trHeight w:val="230"/>
        </w:trPr>
        <w:tc>
          <w:tcPr>
            <w:tcW w:w="2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100" w:type="dxa"/>
            <w:vAlign w:val="bottom"/>
            <w:gridSpan w:val="2"/>
          </w:tcPr>
          <w:p>
            <w:pPr>
              <w:ind w:left="280"/>
              <w:spacing w:after="0"/>
              <w:rPr>
                <w:sz w:val="20"/>
                <w:szCs w:val="20"/>
                <w:color w:val="auto"/>
              </w:rPr>
            </w:pPr>
            <w:r>
              <w:rPr>
                <w:rFonts w:ascii="Arial" w:cs="Arial" w:eastAsia="Arial" w:hAnsi="Arial"/>
                <w:sz w:val="18"/>
                <w:szCs w:val="18"/>
                <w:color w:val="auto"/>
              </w:rPr>
              <w:t>(Principal Financial Officer)</w:t>
            </w:r>
          </w:p>
        </w:tc>
      </w:tr>
      <w:tr>
        <w:trPr>
          <w:trHeight w:val="506"/>
        </w:trPr>
        <w:tc>
          <w:tcPr>
            <w:tcW w:w="28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7" w:name="page88"/>
    <w:bookmarkEnd w:id="8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1"/>
    </w:lvl>
  </w:abstractNum>
  <w:abstractNum w:abstractNumId="3">
    <w:nsid w:val="836C40E"/>
    <w:multiLevelType w:val="hybridMultilevel"/>
    <w:lvl w:ilvl="0">
      <w:lvlJc w:val="left"/>
      <w:lvlText w:val="%1."/>
      <w:numFmt w:val="decimal"/>
      <w:start w:val="2"/>
    </w:lvl>
  </w:abstractNum>
  <w:abstractNum w:abstractNumId="4">
    <w:nsid w:val="2901D82"/>
    <w:multiLevelType w:val="hybridMultilevel"/>
    <w:lvl w:ilvl="0">
      <w:lvlJc w:val="left"/>
      <w:lvlText w:val="%1."/>
      <w:numFmt w:val="decimal"/>
      <w:start w:val="3"/>
    </w:lvl>
  </w:abstractNum>
  <w:abstractNum w:abstractNumId="5">
    <w:nsid w:val="3A95F874"/>
    <w:multiLevelType w:val="hybridMultilevel"/>
    <w:lvl w:ilvl="0">
      <w:lvlJc w:val="left"/>
      <w:lvlText w:val="%1."/>
      <w:numFmt w:val="decimal"/>
      <w:start w:val="4"/>
    </w:lvl>
  </w:abstractNum>
  <w:abstractNum w:abstractNumId="6">
    <w:nsid w:val="8138641"/>
    <w:multiLevelType w:val="hybridMultilevel"/>
    <w:lvl w:ilvl="0">
      <w:lvlJc w:val="left"/>
      <w:lvlText w:val="%1."/>
      <w:numFmt w:val="decimal"/>
      <w:start w:val="6"/>
    </w:lvl>
  </w:abstractNum>
  <w:abstractNum w:abstractNumId="7">
    <w:nsid w:val="1E7FF521"/>
    <w:multiLevelType w:val="hybridMultilevel"/>
    <w:lvl w:ilvl="0">
      <w:lvlJc w:val="left"/>
      <w:lvlText w:val="%1."/>
      <w:numFmt w:val="decimal"/>
      <w:start w:val="7"/>
    </w:lvl>
  </w:abstractNum>
  <w:abstractNum w:abstractNumId="8">
    <w:nsid w:val="7C3DBD3D"/>
    <w:multiLevelType w:val="hybridMultilevel"/>
    <w:lvl w:ilvl="0">
      <w:lvlJc w:val="left"/>
      <w:lvlText w:val="%1."/>
      <w:numFmt w:val="decimal"/>
      <w:start w:val="8"/>
    </w:lvl>
  </w:abstractNum>
  <w:abstractNum w:abstractNumId="9">
    <w:nsid w:val="737B8DDC"/>
    <w:multiLevelType w:val="hybridMultilevel"/>
    <w:lvl w:ilvl="0">
      <w:lvlJc w:val="left"/>
      <w:lvlText w:val="%1."/>
      <w:numFmt w:val="decimal"/>
      <w:start w:val="9"/>
    </w:lvl>
  </w:abstractNum>
  <w:abstractNum w:abstractNumId="10">
    <w:nsid w:val="6CEAF087"/>
    <w:multiLevelType w:val="hybridMultilevel"/>
    <w:lvl w:ilvl="0">
      <w:lvlJc w:val="left"/>
      <w:lvlText w:val="%1."/>
      <w:numFmt w:val="decimal"/>
      <w:start w:val="10"/>
    </w:lvl>
  </w:abstractNum>
  <w:abstractNum w:abstractNumId="11">
    <w:nsid w:val="22221A70"/>
    <w:multiLevelType w:val="hybridMultilevel"/>
    <w:lvl w:ilvl="0">
      <w:lvlJc w:val="left"/>
      <w:lvlText w:val="%1."/>
      <w:numFmt w:val="decimal"/>
      <w:start w:val="11"/>
    </w:lvl>
  </w:abstractNum>
  <w:abstractNum w:abstractNumId="12">
    <w:nsid w:val="4516DDE9"/>
    <w:multiLevelType w:val="hybridMultilevel"/>
    <w:lvl w:ilvl="0">
      <w:lvlJc w:val="left"/>
      <w:lvlText w:val="%1."/>
      <w:numFmt w:val="decimal"/>
      <w:start w:val="12"/>
    </w:lvl>
  </w:abstractNum>
  <w:abstractNum w:abstractNumId="13">
    <w:nsid w:val="3006C83E"/>
    <w:multiLevelType w:val="hybridMultilevel"/>
    <w:lvl w:ilvl="0">
      <w:lvlJc w:val="left"/>
      <w:lvlText w:val="%1."/>
      <w:numFmt w:val="decimal"/>
      <w:start w:val="13"/>
    </w:lvl>
  </w:abstractNum>
  <w:abstractNum w:abstractNumId="14">
    <w:nsid w:val="614FD4A1"/>
    <w:multiLevelType w:val="hybridMultilevel"/>
    <w:lvl w:ilvl="0">
      <w:lvlJc w:val="left"/>
      <w:lvlText w:val="%1."/>
      <w:numFmt w:val="decimal"/>
      <w:start w:val="14"/>
    </w:lvl>
  </w:abstractNum>
  <w:abstractNum w:abstractNumId="15">
    <w:nsid w:val="419AC241"/>
    <w:multiLevelType w:val="hybridMultilevel"/>
    <w:lvl w:ilvl="0">
      <w:lvlJc w:val="left"/>
      <w:lvlText w:val="%1."/>
      <w:numFmt w:val="decimal"/>
      <w:start w:val="15"/>
    </w:lvl>
  </w:abstractNum>
  <w:abstractNum w:abstractNumId="16">
    <w:nsid w:val="5577F8E1"/>
    <w:multiLevelType w:val="hybridMultilevel"/>
    <w:lvl w:ilvl="0">
      <w:lvlJc w:val="left"/>
      <w:lvlText w:val="%1."/>
      <w:numFmt w:val="decimal"/>
      <w:start w:val="16"/>
    </w:lvl>
  </w:abstractNum>
  <w:abstractNum w:abstractNumId="17">
    <w:nsid w:val="440BADFC"/>
    <w:multiLevelType w:val="hybridMultilevel"/>
    <w:lvl w:ilvl="0">
      <w:lvlJc w:val="left"/>
      <w:lvlText w:val="%1."/>
      <w:numFmt w:val="decimal"/>
      <w:start w:val="17"/>
    </w:lvl>
  </w:abstractNum>
  <w:abstractNum w:abstractNumId="18">
    <w:nsid w:val="5072367"/>
    <w:multiLevelType w:val="hybridMultilevel"/>
    <w:lvl w:ilvl="0">
      <w:lvlJc w:val="left"/>
      <w:lvlText w:val="%1."/>
      <w:numFmt w:val="decimal"/>
      <w:start w:val="18"/>
    </w:lvl>
  </w:abstractNum>
  <w:abstractNum w:abstractNumId="19">
    <w:nsid w:val="3804823E"/>
    <w:multiLevelType w:val="hybridMultilevel"/>
    <w:lvl w:ilvl="0">
      <w:lvlJc w:val="left"/>
      <w:lvlText w:val="%1."/>
      <w:numFmt w:val="decimal"/>
      <w:start w:val="19"/>
    </w:lvl>
  </w:abstractNum>
  <w:abstractNum w:abstractNumId="20">
    <w:nsid w:val="77465F01"/>
    <w:multiLevelType w:val="hybridMultilevel"/>
    <w:lvl w:ilvl="0">
      <w:lvlJc w:val="left"/>
      <w:lvlText w:val="%1."/>
      <w:numFmt w:val="decimal"/>
      <w:start w:val="20"/>
    </w:lvl>
  </w:abstractNum>
  <w:abstractNum w:abstractNumId="21">
    <w:nsid w:val="7724C67E"/>
    <w:multiLevelType w:val="hybridMultilevel"/>
    <w:lvl w:ilvl="0">
      <w:lvlJc w:val="left"/>
      <w:lvlText w:val="%1."/>
      <w:numFmt w:val="decimal"/>
      <w:start w:val="21"/>
    </w:lvl>
  </w:abstractNum>
  <w:abstractNum w:abstractNumId="22">
    <w:nsid w:val="5C482A97"/>
    <w:multiLevelType w:val="hybridMultilevel"/>
    <w:lvl w:ilvl="0">
      <w:lvlJc w:val="left"/>
      <w:lvlText w:val="%1."/>
      <w:numFmt w:val="decimal"/>
      <w:start w:val="22"/>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15" Type="http://schemas.openxmlformats.org/officeDocument/2006/relationships/hyperlink" Target="https://www.sec.gov/Archives/edgar/data/1831915/000119312521225716/d183956dex31.htm" TargetMode="External"/><Relationship Id="rId216" Type="http://schemas.openxmlformats.org/officeDocument/2006/relationships/hyperlink" Target="https://www.sec.gov/Archives/edgar/data/1831915/000119312521225716/d183956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2022-05-12T05:29:59Z</dcterms:created>
  <dcterms:modified xsi:type="dcterms:W3CDTF">2022-05-12T05:29:59Z</dcterms:modified>
</cp:coreProperties>
</file>