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1" w:lineRule="exact"/>
        <w:rPr>
          <w:sz w:val="24"/>
          <w:szCs w:val="24"/>
          <w:color w:val="auto"/>
        </w:rPr>
      </w:pPr>
    </w:p>
    <w:p>
      <w:pPr>
        <w:ind w:left="460" w:right="780" w:hanging="434"/>
        <w:spacing w:after="0" w:line="286" w:lineRule="auto"/>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001-40632</w:t>
      </w:r>
    </w:p>
    <w:p>
      <w:pPr>
        <w:spacing w:after="0" w:line="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CYTEK BIOSCIENCES,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9"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47-2547526</w:t>
            </w:r>
          </w:p>
        </w:tc>
      </w:tr>
      <w:tr>
        <w:trPr>
          <w:trHeight w:val="198"/>
        </w:trPr>
        <w:tc>
          <w:tcPr>
            <w:tcW w:w="5020" w:type="dxa"/>
            <w:vAlign w:val="bottom"/>
          </w:tcPr>
          <w:p>
            <w:pPr>
              <w:jc w:val="center"/>
              <w:ind w:right="1686"/>
              <w:spacing w:after="0"/>
              <w:rPr>
                <w:sz w:val="20"/>
                <w:szCs w:val="20"/>
                <w:color w:val="auto"/>
              </w:rPr>
            </w:pPr>
            <w:r>
              <w:rPr>
                <w:rFonts w:ascii="Times New Roman" w:cs="Times New Roman" w:eastAsia="Times New Roman" w:hAnsi="Times New Roman"/>
                <w:sz w:val="13"/>
                <w:szCs w:val="13"/>
                <w:color w:val="auto"/>
                <w:w w:val="96"/>
              </w:rPr>
              <w:t>(State or other jurisdiction of</w:t>
            </w:r>
          </w:p>
        </w:tc>
        <w:tc>
          <w:tcPr>
            <w:tcW w:w="2700" w:type="dxa"/>
            <w:vAlign w:val="bottom"/>
          </w:tcPr>
          <w:p>
            <w:pPr>
              <w:jc w:val="center"/>
              <w:ind w:left="1686"/>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2700" w:type="dxa"/>
            <w:vAlign w:val="bottom"/>
          </w:tcPr>
          <w:p>
            <w:pPr>
              <w:jc w:val="center"/>
              <w:ind w:left="1686"/>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259"/>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8"/>
                <w:szCs w:val="18"/>
                <w:b w:val="1"/>
                <w:bCs w:val="1"/>
                <w:color w:val="auto"/>
                <w:w w:val="99"/>
              </w:rPr>
              <w:t>47215 Lakeview Blvd. Fremont, California</w:t>
            </w:r>
          </w:p>
        </w:tc>
        <w:tc>
          <w:tcPr>
            <w:tcW w:w="2700" w:type="dxa"/>
            <w:vAlign w:val="bottom"/>
          </w:tcPr>
          <w:p>
            <w:pPr>
              <w:jc w:val="right"/>
              <w:ind w:right="166"/>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186"/>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700" w:type="dxa"/>
            <w:vAlign w:val="bottom"/>
          </w:tcPr>
          <w:p>
            <w:pPr>
              <w:jc w:val="center"/>
              <w:ind w:left="1706"/>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(877) 922-9835</w:t>
      </w:r>
    </w:p>
    <w:p>
      <w:pPr>
        <w:spacing w:after="0" w:line="4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20" w:type="dxa"/>
            <w:vAlign w:val="bottom"/>
            <w:gridSpan w:val="2"/>
          </w:tcPr>
          <w:p>
            <w:pPr>
              <w:ind w:left="1640"/>
              <w:spacing w:after="0"/>
              <w:rPr>
                <w:sz w:val="20"/>
                <w:szCs w:val="20"/>
                <w:color w:val="auto"/>
              </w:rPr>
            </w:pPr>
            <w:r>
              <w:rPr>
                <w:rFonts w:ascii="Times New Roman" w:cs="Times New Roman" w:eastAsia="Times New Roman" w:hAnsi="Times New Roman"/>
                <w:sz w:val="14"/>
                <w:szCs w:val="14"/>
                <w:color w:val="auto"/>
              </w:rPr>
              <w:t>Title of each class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4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02"/>
        </w:trPr>
        <w:tc>
          <w:tcPr>
            <w:tcW w:w="44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Common Stock, par value $0.001 per share</w:t>
            </w:r>
          </w:p>
        </w:tc>
        <w:tc>
          <w:tcPr>
            <w:tcW w:w="24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8"/>
              </w:rPr>
              <w:t>CTKB</w:t>
            </w:r>
          </w:p>
        </w:tc>
        <w:tc>
          <w:tcPr>
            <w:tcW w:w="4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r>
    </w:tbl>
    <w:p>
      <w:pPr>
        <w:spacing w:after="0" w:line="93" w:lineRule="exact"/>
        <w:rPr>
          <w:sz w:val="24"/>
          <w:szCs w:val="24"/>
          <w:color w:val="auto"/>
        </w:rPr>
      </w:pPr>
    </w:p>
    <w:p>
      <w:pPr>
        <w:ind w:right="120"/>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520" w:type="dxa"/>
            <w:vAlign w:val="bottom"/>
            <w:vMerge w:val="restart"/>
          </w:tcPr>
          <w:p>
            <w:pPr>
              <w:jc w:val="right"/>
              <w:ind w:right="1464"/>
              <w:spacing w:after="0"/>
              <w:rPr>
                <w:sz w:val="20"/>
                <w:szCs w:val="20"/>
                <w:color w:val="auto"/>
              </w:rPr>
            </w:pPr>
            <w:r>
              <w:rPr>
                <w:rFonts w:ascii="Wingdings" w:cs="Wingdings" w:eastAsia="Wingdings" w:hAnsi="Wingdings"/>
                <w:sz w:val="15"/>
                <w:szCs w:val="15"/>
                <w:b w:val="1"/>
                <w:bCs w:val="1"/>
                <w:color w:val="auto"/>
              </w:rPr>
              <w:t>x</w:t>
            </w:r>
          </w:p>
        </w:tc>
        <w:tc>
          <w:tcPr>
            <w:tcW w:w="47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Accelerated filer</w:t>
            </w:r>
          </w:p>
        </w:tc>
        <w:tc>
          <w:tcPr>
            <w:tcW w:w="1660" w:type="dxa"/>
            <w:vAlign w:val="bottom"/>
            <w:vMerge w:val="restart"/>
          </w:tcPr>
          <w:p>
            <w:pPr>
              <w:ind w:left="1520"/>
              <w:spacing w:after="0"/>
              <w:rPr>
                <w:sz w:val="20"/>
                <w:szCs w:val="20"/>
                <w:color w:val="auto"/>
              </w:rPr>
            </w:pPr>
            <w:r>
              <w:rPr>
                <w:rFonts w:ascii="Wingdings" w:cs="Wingdings" w:eastAsia="Wingdings" w:hAnsi="Wingdings"/>
                <w:sz w:val="15"/>
                <w:szCs w:val="15"/>
                <w:b w:val="1"/>
                <w:bCs w:val="1"/>
                <w:color w:val="auto"/>
                <w:w w:val="89"/>
              </w:rPr>
              <w:t>o</w:t>
            </w:r>
          </w:p>
        </w:tc>
        <w:tc>
          <w:tcPr>
            <w:tcW w:w="0" w:type="dxa"/>
            <w:vAlign w:val="bottom"/>
          </w:tcPr>
          <w:p>
            <w:pPr>
              <w:spacing w:after="0"/>
              <w:rPr>
                <w:sz w:val="1"/>
                <w:szCs w:val="1"/>
                <w:color w:val="auto"/>
              </w:rPr>
            </w:pPr>
          </w:p>
        </w:tc>
      </w:tr>
      <w:tr>
        <w:trPr>
          <w:trHeight w:val="94"/>
        </w:trPr>
        <w:tc>
          <w:tcPr>
            <w:tcW w:w="228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47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520" w:type="dxa"/>
            <w:vAlign w:val="bottom"/>
            <w:vMerge w:val="restart"/>
          </w:tcPr>
          <w:p>
            <w:pPr>
              <w:jc w:val="right"/>
              <w:ind w:right="1464"/>
              <w:spacing w:after="0"/>
              <w:rPr>
                <w:sz w:val="20"/>
                <w:szCs w:val="20"/>
                <w:color w:val="auto"/>
              </w:rPr>
            </w:pPr>
            <w:r>
              <w:rPr>
                <w:rFonts w:ascii="Wingdings" w:cs="Wingdings" w:eastAsia="Wingdings" w:hAnsi="Wingdings"/>
                <w:sz w:val="15"/>
                <w:szCs w:val="15"/>
                <w:b w:val="1"/>
                <w:bCs w:val="1"/>
                <w:color w:val="auto"/>
              </w:rPr>
              <w:t>o</w:t>
            </w:r>
          </w:p>
        </w:tc>
        <w:tc>
          <w:tcPr>
            <w:tcW w:w="47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660" w:type="dxa"/>
            <w:vAlign w:val="bottom"/>
            <w:vMerge w:val="restart"/>
          </w:tcPr>
          <w:p>
            <w:pPr>
              <w:ind w:left="1520"/>
              <w:spacing w:after="0"/>
              <w:rPr>
                <w:sz w:val="20"/>
                <w:szCs w:val="20"/>
                <w:color w:val="auto"/>
              </w:rPr>
            </w:pPr>
            <w:r>
              <w:rPr>
                <w:rFonts w:ascii="Wingdings" w:cs="Wingdings" w:eastAsia="Wingdings" w:hAnsi="Wingdings"/>
                <w:sz w:val="15"/>
                <w:szCs w:val="15"/>
                <w:b w:val="1"/>
                <w:bCs w:val="1"/>
                <w:color w:val="auto"/>
                <w:w w:val="89"/>
              </w:rPr>
              <w:t>o</w:t>
            </w:r>
          </w:p>
        </w:tc>
        <w:tc>
          <w:tcPr>
            <w:tcW w:w="0" w:type="dxa"/>
            <w:vAlign w:val="bottom"/>
          </w:tcPr>
          <w:p>
            <w:pPr>
              <w:spacing w:after="0"/>
              <w:rPr>
                <w:sz w:val="1"/>
                <w:szCs w:val="1"/>
                <w:color w:val="auto"/>
              </w:rPr>
            </w:pPr>
          </w:p>
        </w:tc>
      </w:tr>
      <w:tr>
        <w:trPr>
          <w:trHeight w:val="94"/>
        </w:trPr>
        <w:tc>
          <w:tcPr>
            <w:tcW w:w="228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47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Emerging growth company</w:t>
      </w:r>
    </w:p>
    <w:p>
      <w:pPr>
        <w:ind w:left="3140"/>
        <w:spacing w:after="0"/>
        <w:rPr>
          <w:sz w:val="20"/>
          <w:szCs w:val="20"/>
          <w:color w:val="auto"/>
        </w:rPr>
      </w:pPr>
      <w:r>
        <w:rPr>
          <w:rFonts w:ascii="Wingdings" w:cs="Wingdings" w:eastAsia="Wingdings" w:hAnsi="Wingdings"/>
          <w:sz w:val="15"/>
          <w:szCs w:val="15"/>
          <w:b w:val="1"/>
          <w:bCs w:val="1"/>
          <w:color w:val="auto"/>
        </w:rPr>
        <w:t>o</w:t>
      </w:r>
    </w:p>
    <w:p>
      <w:pPr>
        <w:spacing w:after="0" w:line="124" w:lineRule="exact"/>
        <w:rPr>
          <w:sz w:val="24"/>
          <w:szCs w:val="24"/>
          <w:color w:val="auto"/>
        </w:rPr>
      </w:pPr>
    </w:p>
    <w:p>
      <w:pPr>
        <w:ind w:right="520"/>
        <w:spacing w:after="0" w:line="27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ind w:right="37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Registrant’s Common Stock outstanding as of April 30, 2025 was 126,659,196.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7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60" w:type="dxa"/>
            <w:vAlign w:val="bottom"/>
            <w:gridSpan w:val="3"/>
            <w:vMerge w:val="continue"/>
          </w:tcPr>
          <w:p>
            <w:pPr>
              <w:spacing w:after="0"/>
              <w:rPr>
                <w:sz w:val="19"/>
                <w:szCs w:val="19"/>
                <w:color w:val="auto"/>
              </w:rPr>
            </w:pPr>
          </w:p>
        </w:tc>
        <w:tc>
          <w:tcPr>
            <w:tcW w:w="8700" w:type="dxa"/>
            <w:vAlign w:val="bottom"/>
            <w:gridSpan w:val="17"/>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Financial Statements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300" w:type="dxa"/>
            <w:vAlign w:val="bottom"/>
            <w:gridSpan w:val="6"/>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40" w:type="dxa"/>
            <w:vAlign w:val="bottom"/>
            <w:tcBorders>
              <w:top w:val="single" w:sz="8" w:color="0000FF"/>
            </w:tcBorders>
            <w:gridSpan w:val="3"/>
          </w:tcPr>
          <w:p>
            <w:pPr>
              <w:spacing w:after="0"/>
              <w:rPr>
                <w:sz w:val="20"/>
                <w:szCs w:val="20"/>
                <w:color w:val="auto"/>
              </w:rPr>
            </w:pPr>
          </w:p>
        </w:tc>
        <w:tc>
          <w:tcPr>
            <w:tcW w:w="4040" w:type="dxa"/>
            <w:vAlign w:val="bottom"/>
            <w:gridSpan w:val="2"/>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560" w:type="dxa"/>
            <w:vAlign w:val="bottom"/>
            <w:gridSpan w:val="7"/>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0"/>
                <w:szCs w:val="20"/>
                <w:color w:val="auto"/>
              </w:rPr>
            </w:pPr>
          </w:p>
        </w:tc>
        <w:tc>
          <w:tcPr>
            <w:tcW w:w="2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920" w:type="dxa"/>
            <w:vAlign w:val="bottom"/>
            <w:gridSpan w:val="11"/>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0"/>
                <w:szCs w:val="20"/>
                <w:color w:val="auto"/>
              </w:rPr>
            </w:pPr>
          </w:p>
        </w:tc>
        <w:tc>
          <w:tcPr>
            <w:tcW w:w="7380" w:type="dxa"/>
            <w:vAlign w:val="bottom"/>
            <w:gridSpan w:val="13"/>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60" w:type="dxa"/>
            <w:vAlign w:val="bottom"/>
            <w:gridSpan w:val="4"/>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380" w:type="dxa"/>
            <w:vAlign w:val="bottom"/>
            <w:gridSpan w:val="9"/>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gridSpan w:val="12"/>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0" w:type="dxa"/>
            <w:vAlign w:val="bottom"/>
            <w:gridSpan w:val="14"/>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1"/>
        </w:trPr>
        <w:tc>
          <w:tcPr>
            <w:tcW w:w="10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3"/>
          </w:tcPr>
          <w:p>
            <w:pPr>
              <w:ind w:left="40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780" w:type="dxa"/>
            <w:vAlign w:val="bottom"/>
            <w:tcBorders>
              <w:bottom w:val="single" w:sz="8" w:color="9A9A9A"/>
            </w:tcBorders>
          </w:tcPr>
          <w:p>
            <w:pPr>
              <w:spacing w:after="0"/>
              <w:rPr>
                <w:sz w:val="19"/>
                <w:szCs w:val="19"/>
                <w:color w:val="auto"/>
              </w:rPr>
            </w:pPr>
          </w:p>
        </w:tc>
        <w:tc>
          <w:tcPr>
            <w:tcW w:w="226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20" w:type="dxa"/>
            <w:vAlign w:val="bottom"/>
          </w:tcPr>
          <w:p>
            <w:pPr>
              <w:spacing w:after="0"/>
              <w:rPr>
                <w:sz w:val="17"/>
                <w:szCs w:val="17"/>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2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2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220" w:type="dxa"/>
            <w:vAlign w:val="bottom"/>
          </w:tcPr>
          <w:p>
            <w:pPr>
              <w:spacing w:after="0"/>
              <w:rPr>
                <w:sz w:val="21"/>
                <w:szCs w:val="21"/>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i w:val="1"/>
                <w:iCs w:val="1"/>
                <w:color w:val="auto"/>
                <w:w w:val="98"/>
              </w:rPr>
              <w:t>(audited)</w:t>
            </w:r>
          </w:p>
        </w:tc>
      </w:tr>
      <w:tr>
        <w:trPr>
          <w:trHeight w:val="263"/>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4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98,716</w:t>
            </w:r>
          </w:p>
        </w:tc>
      </w:tr>
      <w:tr>
        <w:trPr>
          <w:trHeight w:val="250"/>
        </w:trPr>
        <w:tc>
          <w:tcPr>
            <w:tcW w:w="74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74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179,145</w:t>
            </w:r>
          </w:p>
        </w:tc>
      </w:tr>
      <w:tr>
        <w:trPr>
          <w:trHeight w:val="250"/>
        </w:trPr>
        <w:tc>
          <w:tcPr>
            <w:tcW w:w="74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60,588</w:t>
            </w:r>
          </w:p>
        </w:tc>
      </w:tr>
      <w:tr>
        <w:trPr>
          <w:trHeight w:val="263"/>
        </w:trPr>
        <w:tc>
          <w:tcPr>
            <w:tcW w:w="74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43,893</w:t>
            </w:r>
          </w:p>
        </w:tc>
      </w:tr>
      <w:tr>
        <w:trPr>
          <w:trHeight w:val="250"/>
        </w:trPr>
        <w:tc>
          <w:tcPr>
            <w:tcW w:w="748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14,075</w:t>
            </w:r>
          </w:p>
        </w:tc>
      </w:tr>
      <w:tr>
        <w:trPr>
          <w:trHeight w:val="257"/>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396,446</w:t>
            </w:r>
          </w:p>
        </w:tc>
      </w:tr>
      <w:tr>
        <w:trPr>
          <w:trHeight w:val="250"/>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income tax assets, noncurrent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33,374</w:t>
            </w:r>
          </w:p>
        </w:tc>
      </w:tr>
      <w:tr>
        <w:trPr>
          <w:trHeight w:val="263"/>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r>
      <w:tr>
        <w:trPr>
          <w:trHeight w:val="250"/>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w:t>
            </w:r>
          </w:p>
        </w:tc>
      </w:tr>
      <w:tr>
        <w:trPr>
          <w:trHeight w:val="263"/>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r>
      <w:tr>
        <w:trPr>
          <w:trHeight w:val="250"/>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w:t>
            </w:r>
          </w:p>
        </w:tc>
      </w:tr>
      <w:tr>
        <w:trPr>
          <w:trHeight w:val="257"/>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r>
      <w:tr>
        <w:trPr>
          <w:trHeight w:val="250"/>
        </w:trPr>
        <w:tc>
          <w:tcPr>
            <w:tcW w:w="74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482,596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499,500</w:t>
            </w: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0"/>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4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50"/>
        </w:trPr>
        <w:tc>
          <w:tcPr>
            <w:tcW w:w="74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Legal settlement liability, 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63"/>
        </w:trPr>
        <w:tc>
          <w:tcPr>
            <w:tcW w:w="74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21,443</w:t>
            </w:r>
          </w:p>
        </w:tc>
      </w:tr>
      <w:tr>
        <w:trPr>
          <w:trHeight w:val="250"/>
        </w:trPr>
        <w:tc>
          <w:tcPr>
            <w:tcW w:w="74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w:t>
            </w:r>
          </w:p>
        </w:tc>
      </w:tr>
      <w:tr>
        <w:trPr>
          <w:trHeight w:val="263"/>
        </w:trPr>
        <w:tc>
          <w:tcPr>
            <w:tcW w:w="74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25,492</w:t>
            </w:r>
          </w:p>
        </w:tc>
      </w:tr>
      <w:tr>
        <w:trPr>
          <w:trHeight w:val="243"/>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67,663</w:t>
            </w:r>
          </w:p>
        </w:tc>
      </w:tr>
      <w:tr>
        <w:trPr>
          <w:trHeight w:val="263"/>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 liability, noncurrent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r>
      <w:tr>
        <w:trPr>
          <w:trHeight w:val="250"/>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16,098</w:t>
            </w:r>
          </w:p>
        </w:tc>
      </w:tr>
      <w:tr>
        <w:trPr>
          <w:trHeight w:val="263"/>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r>
      <w:tr>
        <w:trPr>
          <w:trHeight w:val="250"/>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 term debt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63"/>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43"/>
        </w:trPr>
        <w:tc>
          <w:tcPr>
            <w:tcW w:w="74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102,973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103,763</w:t>
            </w:r>
          </w:p>
        </w:tc>
      </w:tr>
      <w:tr>
        <w:trPr>
          <w:trHeight w:val="243"/>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0"/>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6"/>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$0.001 par value; 1,000,000,000 authorized shares as of March 31, 2025 and</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03"/>
        </w:trPr>
        <w:tc>
          <w:tcPr>
            <w:tcW w:w="2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31, 2024, respectively;</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shd w:val="clear" w:color="auto" w:fill="CCEEFF"/>
              </w:rPr>
              <w:t>127,599,142</w:t>
            </w:r>
          </w:p>
        </w:tc>
        <w:tc>
          <w:tcPr>
            <w:tcW w:w="410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and 129,205,901 issued and outstanding shares as of</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March 31, 2025 and December 31,</w:t>
            </w:r>
          </w:p>
        </w:tc>
        <w:tc>
          <w:tcPr>
            <w:tcW w:w="50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2024, respectively.</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50"/>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430,791</w:t>
            </w:r>
          </w:p>
        </w:tc>
      </w:tr>
      <w:tr>
        <w:trPr>
          <w:trHeight w:val="263"/>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(35,199)</w:t>
            </w:r>
          </w:p>
        </w:tc>
      </w:tr>
      <w:tr>
        <w:trPr>
          <w:trHeight w:val="250"/>
        </w:trPr>
        <w:tc>
          <w:tcPr>
            <w:tcW w:w="74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74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379,623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395,737</w:t>
            </w:r>
          </w:p>
        </w:tc>
      </w:tr>
      <w:tr>
        <w:trPr>
          <w:trHeight w:val="250"/>
        </w:trPr>
        <w:tc>
          <w:tcPr>
            <w:tcW w:w="74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482,596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499,500</w:t>
            </w:r>
          </w:p>
        </w:tc>
      </w:tr>
      <w:tr>
        <w:trPr>
          <w:trHeight w:val="27"/>
        </w:trPr>
        <w:tc>
          <w:tcPr>
            <w:tcW w:w="2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8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ectPr>
          <w:pgSz w:w="11900" w:h="16838" w:orient="portrait"/>
          <w:cols w:equalWidth="0" w:num="1">
            <w:col w:w="10920"/>
          </w:cols>
          <w:pgMar w:left="320" w:top="121" w:right="6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680" w:type="dxa"/>
            <w:vAlign w:val="bottom"/>
          </w:tcPr>
          <w:p>
            <w:pPr>
              <w:spacing w:after="0"/>
              <w:rPr>
                <w:sz w:val="18"/>
                <w:szCs w:val="18"/>
                <w:color w:val="auto"/>
              </w:rPr>
            </w:pPr>
          </w:p>
        </w:tc>
        <w:tc>
          <w:tcPr>
            <w:tcW w:w="2120" w:type="dxa"/>
            <w:vAlign w:val="bottom"/>
          </w:tcPr>
          <w:p>
            <w:pPr>
              <w:jc w:val="right"/>
              <w:ind w:right="11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jc w:val="right"/>
              <w:ind w:right="11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6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28,110</w:t>
            </w:r>
          </w:p>
        </w:tc>
        <w:tc>
          <w:tcPr>
            <w:tcW w:w="1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34,122</w:t>
            </w: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6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44,860</w:t>
            </w: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6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6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21,847</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20,157</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23,013</w:t>
            </w:r>
          </w:p>
        </w:tc>
        <w:tc>
          <w:tcPr>
            <w:tcW w:w="0" w:type="dxa"/>
            <w:vAlign w:val="bottom"/>
          </w:tcPr>
          <w:p>
            <w:pPr>
              <w:spacing w:after="0"/>
              <w:rPr>
                <w:sz w:val="1"/>
                <w:szCs w:val="1"/>
                <w:color w:val="auto"/>
              </w:rPr>
            </w:pP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0" w:type="dxa"/>
            <w:vAlign w:val="bottom"/>
          </w:tcPr>
          <w:p>
            <w:pPr>
              <w:spacing w:after="0"/>
              <w:rPr>
                <w:sz w:val="1"/>
                <w:szCs w:val="1"/>
                <w:color w:val="auto"/>
              </w:rPr>
            </w:pPr>
          </w:p>
        </w:tc>
      </w:tr>
      <w:tr>
        <w:trPr>
          <w:trHeight w:val="250"/>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33,747</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0" w:type="dxa"/>
            <w:vAlign w:val="bottom"/>
          </w:tcPr>
          <w:p>
            <w:pPr>
              <w:spacing w:after="0"/>
              <w:rPr>
                <w:sz w:val="1"/>
                <w:szCs w:val="1"/>
                <w:color w:val="auto"/>
              </w:rPr>
            </w:pP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6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50"/>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6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6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56"/>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basic and diluted</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0" w:type="dxa"/>
            <w:vAlign w:val="bottom"/>
          </w:tcPr>
          <w:p>
            <w:pPr>
              <w:spacing w:after="0"/>
              <w:rPr>
                <w:sz w:val="1"/>
                <w:szCs w:val="1"/>
                <w:color w:val="auto"/>
              </w:rPr>
            </w:pPr>
          </w:p>
        </w:tc>
      </w:tr>
      <w:tr>
        <w:trPr>
          <w:trHeight w:val="21"/>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gridSpan w:val="2"/>
            <w:vMerge w:val="continue"/>
          </w:tcPr>
          <w:p>
            <w:pPr>
              <w:spacing w:after="0"/>
              <w:rPr>
                <w:sz w:val="20"/>
                <w:szCs w:val="20"/>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calculating net loss per share, basic</w:t>
            </w:r>
          </w:p>
        </w:tc>
        <w:tc>
          <w:tcPr>
            <w:tcW w:w="68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128,339,481</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130,920,971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calculating net loss per share, diluted</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gridSpan w:val="2"/>
            <w:vMerge w:val="continue"/>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128,339,481</w:t>
            </w: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130,920,971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6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6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comprehensive loss</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Cytek Biosciences,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20" w:type="dxa"/>
            <w:vAlign w:val="bottom"/>
            <w:tcBorders>
              <w:right w:val="single" w:sz="8" w:color="auto"/>
            </w:tcBorders>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200" w:type="dxa"/>
            <w:vAlign w:val="bottom"/>
          </w:tcPr>
          <w:p>
            <w:pPr>
              <w:spacing w:after="0"/>
              <w:rPr>
                <w:sz w:val="2"/>
                <w:szCs w:val="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220" w:type="dxa"/>
            <w:vAlign w:val="bottom"/>
            <w:tcBorders>
              <w:right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1320" w:type="dxa"/>
            <w:vAlign w:val="bottom"/>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0" w:type="dxa"/>
            <w:vAlign w:val="bottom"/>
          </w:tcPr>
          <w:p>
            <w:pPr>
              <w:spacing w:after="0"/>
              <w:rPr>
                <w:sz w:val="12"/>
                <w:szCs w:val="12"/>
                <w:color w:val="auto"/>
              </w:rPr>
            </w:pPr>
          </w:p>
        </w:tc>
        <w:tc>
          <w:tcPr>
            <w:tcW w:w="900" w:type="dxa"/>
            <w:vAlign w:val="bottom"/>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112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200" w:type="dxa"/>
            <w:vAlign w:val="bottom"/>
          </w:tcPr>
          <w:p>
            <w:pPr>
              <w:spacing w:after="0"/>
              <w:rPr>
                <w:sz w:val="12"/>
                <w:szCs w:val="12"/>
                <w:color w:val="auto"/>
              </w:rPr>
            </w:pPr>
          </w:p>
        </w:tc>
        <w:tc>
          <w:tcPr>
            <w:tcW w:w="114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2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6"/>
        </w:trPr>
        <w:tc>
          <w:tcPr>
            <w:tcW w:w="3220" w:type="dxa"/>
            <w:vAlign w:val="bottom"/>
            <w:tcBorders>
              <w:right w:val="single" w:sz="8" w:color="auto"/>
            </w:tcBorders>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tcPr>
          <w:p>
            <w:pPr>
              <w:spacing w:after="0"/>
              <w:rPr>
                <w:sz w:val="15"/>
                <w:szCs w:val="15"/>
                <w:color w:val="auto"/>
              </w:rPr>
            </w:pPr>
          </w:p>
        </w:tc>
        <w:tc>
          <w:tcPr>
            <w:tcW w:w="114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5"/>
                <w:szCs w:val="15"/>
                <w:color w:val="auto"/>
              </w:rPr>
            </w:pPr>
          </w:p>
        </w:tc>
        <w:tc>
          <w:tcPr>
            <w:tcW w:w="12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20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83"/>
        </w:trPr>
        <w:tc>
          <w:tcPr>
            <w:tcW w:w="322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December 31, 2024</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129,205,901</w:t>
            </w: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430,791</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(35,199)</w:t>
            </w: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395,737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500,830</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(29,006)</w:t>
            </w:r>
          </w:p>
        </w:tc>
        <w:tc>
          <w:tcPr>
            <w:tcW w:w="4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32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Repurchase of shares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(2,078,583)</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(10,625)</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6,630</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(11,402)</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bottom w:val="single" w:sz="8" w:color="CCEEFF"/>
              <w:right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March 31, 2025</w:t>
            </w:r>
          </w:p>
        </w:tc>
        <w:tc>
          <w:tcPr>
            <w:tcW w:w="1720" w:type="dxa"/>
            <w:vAlign w:val="bottom"/>
            <w:tcBorders>
              <w:bottom w:val="single" w:sz="8" w:color="CCEEFF"/>
            </w:tcBorders>
            <w:gridSpan w:val="2"/>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127,599,142 $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426,705</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(46,601)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20" w:type="dxa"/>
            <w:vAlign w:val="bottom"/>
          </w:tcPr>
          <w:p>
            <w:pPr>
              <w:spacing w:after="0"/>
              <w:rPr>
                <w:sz w:val="17"/>
                <w:szCs w:val="17"/>
                <w:color w:val="auto"/>
              </w:rPr>
            </w:pP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vMerge w:val="restart"/>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200" w:type="dxa"/>
            <w:vAlign w:val="bottom"/>
          </w:tcPr>
          <w:p>
            <w:pPr>
              <w:spacing w:after="0"/>
              <w:rPr>
                <w:sz w:val="2"/>
                <w:szCs w:val="2"/>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220" w:type="dxa"/>
            <w:vAlign w:val="bottom"/>
            <w:tcBorders>
              <w:right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Borders>
              <w:right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1"/>
                <w:szCs w:val="11"/>
                <w:color w:val="auto"/>
              </w:rPr>
            </w:pPr>
          </w:p>
        </w:tc>
        <w:tc>
          <w:tcPr>
            <w:tcW w:w="11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12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CCEEFF"/>
              <w:right w:val="single" w:sz="8" w:color="auto"/>
            </w:tcBorders>
          </w:tcPr>
          <w:p>
            <w:pPr>
              <w:ind w:left="7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13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December 31, 2023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130,714,906</w:t>
            </w:r>
          </w:p>
        </w:tc>
        <w:tc>
          <w:tcPr>
            <w:tcW w:w="40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423,386</w:t>
            </w: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(29,178)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393,064</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559,325</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(20,050)</w:t>
            </w:r>
          </w:p>
        </w:tc>
        <w:tc>
          <w:tcPr>
            <w:tcW w:w="4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180"/>
        </w:trPr>
        <w:tc>
          <w:tcPr>
            <w:tcW w:w="32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32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5,640</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20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(244)</w:t>
            </w:r>
          </w:p>
        </w:tc>
        <w:tc>
          <w:tcPr>
            <w:tcW w:w="0" w:type="dxa"/>
            <w:vAlign w:val="bottom"/>
          </w:tcPr>
          <w:p>
            <w:pPr>
              <w:spacing w:after="0"/>
              <w:rPr>
                <w:sz w:val="1"/>
                <w:szCs w:val="1"/>
                <w:color w:val="auto"/>
              </w:rPr>
            </w:pPr>
          </w:p>
        </w:tc>
      </w:tr>
      <w:tr>
        <w:trPr>
          <w:trHeight w:val="30"/>
        </w:trPr>
        <w:tc>
          <w:tcPr>
            <w:tcW w:w="3220" w:type="dxa"/>
            <w:vAlign w:val="bottom"/>
            <w:tcBorders>
              <w:right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(6,169)</w:t>
            </w:r>
          </w:p>
        </w:tc>
        <w:tc>
          <w:tcPr>
            <w:tcW w:w="0" w:type="dxa"/>
            <w:vAlign w:val="bottom"/>
          </w:tcPr>
          <w:p>
            <w:pPr>
              <w:spacing w:after="0"/>
              <w:rPr>
                <w:sz w:val="1"/>
                <w:szCs w:val="1"/>
                <w:color w:val="auto"/>
              </w:rPr>
            </w:pPr>
          </w:p>
        </w:tc>
      </w:tr>
      <w:tr>
        <w:trPr>
          <w:trHeight w:val="166"/>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Balances at March 31, 2024</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131,254,181</w:t>
            </w:r>
          </w:p>
        </w:tc>
        <w:tc>
          <w:tcPr>
            <w:tcW w:w="40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429,384</w:t>
            </w: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(35,347)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392,614</w:t>
            </w: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220" w:type="dxa"/>
            <w:vAlign w:val="bottom"/>
            <w:tcBorders>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60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29"/>
        </w:trPr>
        <w:tc>
          <w:tcPr>
            <w:tcW w:w="81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9"/>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operating lease-right-of use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investments, accretion, and amortization, net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expenses for accretion of the legal settlement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Trade accounts payable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Legal settlement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186"/>
        </w:trPr>
        <w:tc>
          <w:tcPr>
            <w:tcW w:w="81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(77,132)</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70,431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72,000</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(5,754)</w:t>
            </w:r>
          </w:p>
        </w:tc>
        <w:tc>
          <w:tcPr>
            <w:tcW w:w="0" w:type="dxa"/>
            <w:vAlign w:val="bottom"/>
          </w:tcPr>
          <w:p>
            <w:pPr>
              <w:spacing w:after="0"/>
              <w:rPr>
                <w:sz w:val="1"/>
                <w:szCs w:val="1"/>
                <w:color w:val="auto"/>
              </w:rPr>
            </w:pPr>
          </w:p>
        </w:tc>
      </w:tr>
      <w:tr>
        <w:trPr>
          <w:trHeight w:val="19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loan</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Payments for taxes related to net share settlement of equity awards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plans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line of credit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repurchase of shares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1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cash equivalents and restricted cash</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19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98,745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167,630</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95,299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169,141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taxes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Fixed asset purchases in accounts payable or accrued purchase at period end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Intangible asset in accounts payable or accrued expenses at period end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gridSpan w:val="2"/>
            <w:vMerge w:val="continue"/>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business</w:t>
      </w:r>
    </w:p>
    <w:p>
      <w:pPr>
        <w:spacing w:after="0" w:line="121" w:lineRule="exact"/>
        <w:rPr>
          <w:sz w:val="20"/>
          <w:szCs w:val="20"/>
          <w:color w:val="auto"/>
        </w:rPr>
      </w:pPr>
    </w:p>
    <w:p>
      <w:pPr>
        <w:jc w:val="both"/>
        <w:ind w:firstLine="486"/>
        <w:spacing w:after="0" w:line="231" w:lineRule="auto"/>
        <w:rPr>
          <w:sz w:val="20"/>
          <w:szCs w:val="20"/>
          <w:color w:val="auto"/>
        </w:rPr>
      </w:pPr>
      <w:r>
        <w:rPr>
          <w:rFonts w:ascii="Times New Roman" w:cs="Times New Roman" w:eastAsia="Times New Roman" w:hAnsi="Times New Roman"/>
          <w:sz w:val="18"/>
          <w:szCs w:val="18"/>
          <w:color w:val="auto"/>
        </w:rPr>
        <w:t>Cytek Biosciences, Inc. (“Cytek” or the “Company”) is a leading cell analysis solutions company advancing the next generation of cell analysis tools with its novel technical approach of leveraging the full spectrum of fluorescence signatures from multiple lasers to distinguish fluorescent tags on single cells (“Full Spectrum Profiling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 “FSP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technology). The Company is focused on becoming the premier cell analysis company through continued innovation that facilitates scientific advances in biomedical research and clinical applications.</w:t>
      </w:r>
    </w:p>
    <w:p>
      <w:pPr>
        <w:spacing w:after="0" w:line="79" w:lineRule="exact"/>
        <w:rPr>
          <w:sz w:val="20"/>
          <w:szCs w:val="20"/>
          <w:color w:val="auto"/>
        </w:rPr>
      </w:pPr>
    </w:p>
    <w:p>
      <w:pPr>
        <w:jc w:val="both"/>
        <w:ind w:firstLine="486"/>
        <w:spacing w:after="0" w:line="235" w:lineRule="auto"/>
        <w:rPr>
          <w:sz w:val="20"/>
          <w:szCs w:val="20"/>
          <w:color w:val="auto"/>
        </w:rPr>
      </w:pPr>
      <w:r>
        <w:rPr>
          <w:rFonts w:ascii="Times New Roman" w:cs="Times New Roman" w:eastAsia="Times New Roman" w:hAnsi="Times New Roman"/>
          <w:sz w:val="18"/>
          <w:szCs w:val="18"/>
          <w:color w:val="auto"/>
        </w:rPr>
        <w:t>The Company has successfully developed and manufactured its full spectrum flow cytometry platform (“instrument(s)” or “product(s)”). The Company’s FSP cell analyzers, the Cytek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Aurora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Northern Lights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systems, deliver high-resolution, high-content and high-sensitivity cell analysis. The Company also launched its Cytek Aurora cell sorter (“Aurora CS system”), which leverages FSP technology to further broaden potential applications across cell analysis. The Company’s FSP platform includes instruments, accessories, reagents, software, and services to provide a comprehensive and integrated suite of solutions for its customers.</w:t>
      </w:r>
    </w:p>
    <w:p>
      <w:pPr>
        <w:spacing w:after="0" w:line="78" w:lineRule="exact"/>
        <w:rPr>
          <w:sz w:val="20"/>
          <w:szCs w:val="20"/>
          <w:color w:val="auto"/>
        </w:rPr>
      </w:pPr>
    </w:p>
    <w:p>
      <w:pPr>
        <w:jc w:val="both"/>
        <w:ind w:firstLine="486"/>
        <w:spacing w:after="0" w:line="217"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certain assets (the “FCI Acquisition”) relating to the flow cytometry and imaging business of Luminex Corporation (“Luminex”), including relating to the business of manufacturing, marketing, selling, servicing and maintaining Amnis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-and Guava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-branded instruments, and flow cytometry reagent products and services (the “FCI Business”). The acquired FCI Business includes conventional flow and image-based flow cytometry instrumentation and related products and services (the “FCI Products”).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 and summary of significant accounting policies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prepared the accompanying unaudited interim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Cytek Biosciences, Inc., its wholly-owned subsidiaries, Cytek Biosciences B.V. (Netherlands), Cytek Biosciences GmbH (Germany), Cytek Biosciences Ltd (UK), Cytek Biosciences Pte. Ltd. (Singapore), Cytek Biosciences S.A.S. (France), Cytek Limited (Hong Kong), Cytek Japan Corporation (“Cytek Japan”), Cytek (Shanghai) Biosciences Co., Ltd., and Cytek (Wuxi) Biosciences Co., Ltd. (“Cytek Wuxi”). All intercompany accounts and transactions have been eliminated in consolidation.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and voting interest entities</w:t>
      </w:r>
    </w:p>
    <w:p>
      <w:pPr>
        <w:spacing w:after="0" w:line="121" w:lineRule="exact"/>
        <w:rPr>
          <w:sz w:val="20"/>
          <w:szCs w:val="20"/>
          <w:color w:val="auto"/>
        </w:rPr>
      </w:pPr>
    </w:p>
    <w:p>
      <w:pPr>
        <w:jc w:val="both"/>
        <w:ind w:firstLine="486"/>
        <w:spacing w:after="0" w:line="243" w:lineRule="auto"/>
        <w:rPr>
          <w:sz w:val="20"/>
          <w:szCs w:val="20"/>
          <w:color w:val="auto"/>
        </w:rPr>
      </w:pPr>
      <w:r>
        <w:rPr>
          <w:rFonts w:ascii="Times New Roman" w:cs="Times New Roman" w:eastAsia="Times New Roman" w:hAnsi="Times New Roman"/>
          <w:sz w:val="18"/>
          <w:szCs w:val="18"/>
          <w:color w:val="auto"/>
        </w:rPr>
        <w:t>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entity model (“VOE”) or other applicable GAAP metric.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conformity with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0"/>
        <w:spacing w:after="0" w:line="375" w:lineRule="auto"/>
        <w:rPr>
          <w:sz w:val="20"/>
          <w:szCs w:val="20"/>
          <w:color w:val="auto"/>
        </w:rPr>
      </w:pPr>
      <w:r>
        <w:rPr>
          <w:rFonts w:ascii="Times New Roman" w:cs="Times New Roman" w:eastAsia="Times New Roman" w:hAnsi="Times New Roman"/>
          <w:sz w:val="18"/>
          <w:szCs w:val="18"/>
          <w:color w:val="auto"/>
        </w:rPr>
        <w:t xml:space="preserve">and the recording of expenses that are not readily apparent from other sources. Actual results may differ materially and adversely from these estimates. </w:t>
      </w:r>
      <w:r>
        <w:rPr>
          <w:rFonts w:ascii="Times New Roman" w:cs="Times New Roman" w:eastAsia="Times New Roman" w:hAnsi="Times New Roman"/>
          <w:sz w:val="18"/>
          <w:szCs w:val="18"/>
          <w:b w:val="1"/>
          <w:bCs w:val="1"/>
          <w:i w:val="1"/>
          <w:iCs w:val="1"/>
          <w:color w:val="auto"/>
        </w:rPr>
        <w:t>Operating segments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loss have been translated at the average exchange rate for the year or the reporting period. Translation gains and losses are recorded in accumulated other comprehensive (loss)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cash and cash equivalents consist of money held in demand depository accounts and money market funds. The carrying amount of cash and cash equivalents, and restricted cash was $95.3 million and $98.7 million as of March 31, 2025 and December 31, 2024,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March 31, 2025.</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classifies restricted cash as current on the accompanying unaudited interim consolidated balance sheets based upon the term of the remaining restrictions.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cash, cash equivalents and restricted cash on the consolidated balance sheets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5"/>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as presented on the consolidated statements of cash flows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restricted cash</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advance payments to Cytek Biosciences B.V. totaled $0.4 million. The restricted cash will be released into the Company’s normal cash account upon Cytek Biosciences B.V.’s fulfillment of its delivery commitment.</w:t>
      </w:r>
    </w:p>
    <w:p>
      <w:pPr>
        <w:spacing w:after="0" w:line="54" w:lineRule="exact"/>
        <w:rPr>
          <w:sz w:val="20"/>
          <w:szCs w:val="20"/>
          <w:color w:val="auto"/>
        </w:rPr>
      </w:pPr>
    </w:p>
    <w:p>
      <w:pPr>
        <w:ind w:right="420" w:firstLine="486"/>
        <w:spacing w:after="0" w:line="374" w:lineRule="auto"/>
        <w:rPr>
          <w:sz w:val="20"/>
          <w:szCs w:val="20"/>
          <w:color w:val="auto"/>
        </w:rPr>
      </w:pPr>
      <w:r>
        <w:rPr>
          <w:rFonts w:ascii="Times New Roman" w:cs="Times New Roman" w:eastAsia="Times New Roman" w:hAnsi="Times New Roman"/>
          <w:sz w:val="18"/>
          <w:szCs w:val="18"/>
          <w:color w:val="auto"/>
        </w:rPr>
        <w:t xml:space="preserve">As of March 31, 2025, all short-term restricted cash had been released, and there was no short-term restricted cash with Cytek Biosciences B.V. </w:t>
      </w:r>
      <w:r>
        <w:rPr>
          <w:rFonts w:ascii="Times New Roman" w:cs="Times New Roman" w:eastAsia="Times New Roman" w:hAnsi="Times New Roman"/>
          <w:sz w:val="18"/>
          <w:szCs w:val="18"/>
          <w:b w:val="1"/>
          <w:bCs w:val="1"/>
          <w:i w:val="1"/>
          <w:iCs w:val="1"/>
          <w:color w:val="auto"/>
        </w:rPr>
        <w:t>Investments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w:t>
      </w:r>
      <w:r>
        <w:rPr>
          <w:rFonts w:ascii="Times New Roman" w:cs="Times New Roman" w:eastAsia="Times New Roman" w:hAnsi="Times New Roman"/>
          <w:sz w:val="18"/>
          <w:szCs w:val="18"/>
          <w:color w:val="auto"/>
        </w:rPr>
        <w:t>The Company’s investments may consist of U.S. treasury and U.S. government agency securities, corporate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bonds, commercial paper, and money market funds. The Company has designated all investments as available-for-sale and, therefore, such investments are reported at fair value, with unrealized gains and losses recorded in accumulated other comprehensive (loss) income. The Company generally holds securities until maturity;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they may be sold under certain circumstances including, but not limited to, when necessary for the funding of acquisitions and other strategic investments. Realized gains and losses on the sale of investments are recorded in interest and other income, net in the consolidated statements of operations and comprehensive loss.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spacing w:after="0" w:line="7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Company’s equity investments consist of non-marketable equity investments in a privately held company.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consolidated balance sheets and adjustments to their carrying amounts are recorded in other income (expense), net in the consolidated statements of operations and comprehensive loss. There were no material events or circumstances impacting the carrying amount of our strategic investments during the three months ended March 31,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net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consists principally of amounts due related to product sales of instrument systems, reagents and accessories, as well as installation and repair services. These receivables are generally due within 30 to 90 days of the period in which the corresponding sales occur, do not bear interest and are classified as trade accounts receivable, net on the consolidated balance sheets. Trade accounts receivable are reported at their estimated net realizable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ASU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xml:space="preserve"> (“ASU 2016-13, Financial Instruments - Credit Losses”), on December 31, 2022, which was retroactively applied as of the first day of fiscal 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7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is not party to any off-balance sheet arrangements that would require an allowance for credit losses in accordance with this accounting standard.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significant changes in the allowance for credit losses for the three months ended March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Depreciation is recorded using the straight-line method based on the estimated useful lives of the depreciable property or, for leasehold improvements,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remaining term of the lease, whichever is shorter. Assets not yet placed in use are not depreciated. The Company’s estimated useful lives of its property and equipment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674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7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674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20 years</w:t>
            </w:r>
          </w:p>
        </w:tc>
      </w:tr>
      <w:tr>
        <w:trPr>
          <w:trHeight w:val="25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740" w:type="dxa"/>
            <w:vAlign w:val="bottom"/>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7"/>
              </w:rPr>
              <w:t>5 - 7 years</w:t>
            </w:r>
          </w:p>
        </w:tc>
      </w:tr>
      <w:tr>
        <w:trPr>
          <w:trHeight w:val="25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67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5 - 10 years</w:t>
            </w:r>
          </w:p>
        </w:tc>
      </w:tr>
      <w:tr>
        <w:trPr>
          <w:trHeight w:val="26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6740" w:type="dxa"/>
            <w:vAlign w:val="bottom"/>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7"/>
              </w:rPr>
              <w:t>3 - 5 years</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74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Shorter of expected lease term or estimated useful life</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Upon sale or retirement of the assets, the cost and related accumulated depreciation are removed from the accounts and the resulting gain or loss is recognized in the consolidated statements of operations and comprehensive loss. Expenditures for general maintenance and repairs are expensed as incurred.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Pr>
          <w:p>
            <w:pPr>
              <w:spacing w:after="0"/>
              <w:rPr>
                <w:sz w:val="21"/>
                <w:szCs w:val="21"/>
                <w:color w:val="auto"/>
              </w:rPr>
            </w:pPr>
          </w:p>
        </w:tc>
        <w:tc>
          <w:tcPr>
            <w:tcW w:w="64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6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640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20 years</w:t>
            </w:r>
          </w:p>
        </w:tc>
      </w:tr>
      <w:tr>
        <w:trPr>
          <w:trHeight w:val="25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64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10 years</w:t>
            </w:r>
          </w:p>
        </w:tc>
      </w:tr>
      <w:tr>
        <w:trPr>
          <w:trHeight w:val="25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64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2 - 15 years</w:t>
            </w:r>
          </w:p>
        </w:tc>
      </w:tr>
      <w:tr>
        <w:trPr>
          <w:trHeight w:val="25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FCI developed technology</w:t>
            </w:r>
          </w:p>
        </w:tc>
        <w:tc>
          <w:tcPr>
            <w:tcW w:w="64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1 - 6 years</w:t>
            </w:r>
          </w:p>
        </w:tc>
      </w:tr>
      <w:tr>
        <w:trPr>
          <w:trHeight w:val="26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w:t>
            </w:r>
          </w:p>
        </w:tc>
        <w:tc>
          <w:tcPr>
            <w:tcW w:w="640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7"/>
              </w:rPr>
              <w:t>7 - 9 years</w:t>
            </w:r>
          </w:p>
        </w:tc>
      </w:tr>
      <w:tr>
        <w:trPr>
          <w:trHeight w:val="25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Reagent licenses</w:t>
            </w:r>
          </w:p>
        </w:tc>
        <w:tc>
          <w:tcPr>
            <w:tcW w:w="64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5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640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Impairment of Long-Lived Assets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unaudited interim consolidated balance sheets for cash and cash equivalents, trade accounts receivable, net, trade accounts payable and accrued expenses approximate their fair values.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product revenue consists of sales of its instrument systems, reagents and accessories. The Company recognizes product revenue at the point in time when control of the product is transferred to the customer.</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Invoicing for products occurs upon shipment and is adjusted based on the applicable International Commercial Terms, and payment terms are 30 to 90 days. Service contracts are invoiced upfront and payment terms are generally 30 days. For those arrangements that have terms longer than one year, any payments received upfront are for reasons other than financing. Revenue is recognized only to the extent that it is probable that a significant reversal of the cumulative amount recognized will not occur in future periods. The Company does not typically offer discounts, rebates, incentives, or rights of return. Variable consideration is not material.</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Assurance-type product warranties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0" w:lineRule="exact"/>
        <w:rPr>
          <w:sz w:val="20"/>
          <w:szCs w:val="20"/>
          <w:color w:val="auto"/>
        </w:rPr>
      </w:pPr>
    </w:p>
    <w:p>
      <w:pPr>
        <w:ind w:right="280" w:firstLine="486"/>
        <w:spacing w:after="0" w:line="243"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banking and accounting fees relating to offerings of the Company’s securities are capitalized, and are offset against proceeds from an offering upon the effectiveness of the offering.</w:t>
      </w:r>
    </w:p>
    <w:p>
      <w:pPr>
        <w:spacing w:after="0" w:line="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March 31, 2025, the Company has not made any sales of common stock pursuant to the 2022 Sales Agreement. Accordingly, $0.7 million in transaction expenses recorded as prepaid offering costs have not yet been expensed in transaction expenses recorded.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cost of advertising, marketing and media is expensed as incurred. For each of the three months ended March 31, 2025 and 2024, advertising, marketing and media expenses were $1.2 million and $0.9 million, respectively.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Expected Volatility—Expected volatility is estimated by analyzing the historical volatility of selected industry peers, and the Company’s historical market data for the assessment corresponds to the expected term of the awards.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Expected Term—Expected term represents the period that the Company’s stock-based awards are expected to be outstanding and is determined using the simplified method.</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Dividend Yield— The expected dividend yield is zero as the Company has never declared or paid cash dividends and has no current plans to do so in the foreseeable future.</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U.S. Treasury zero-coupon issued in effect at the time of grant for periods corresponding with the expected term of the option.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statements of operations and comprehensive loss. Accrued interest and penalties, if any, are included in accrued expenses in the consolidated balance sheet.</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federal,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Basic net loss per share and diluted net loss per share are computed using the weighted-average number of shares of common stock outstanding for the period. Net loss per share is calculated using the two-class method, which is an earnings allocation formula that determines net loss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loss per share in the periods in which net loss is recorded.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loss per share gives effect to all potentially dilutive common stock equivalents, including outstanding options and redeemable convertible preferred stock.</w:t>
      </w:r>
    </w:p>
    <w:p>
      <w:pPr>
        <w:spacing w:after="0" w:line="72" w:lineRule="exact"/>
        <w:rPr>
          <w:sz w:val="20"/>
          <w:szCs w:val="20"/>
          <w:color w:val="auto"/>
        </w:rPr>
      </w:pPr>
    </w:p>
    <w:p>
      <w:pPr>
        <w:ind w:right="2140" w:firstLine="486"/>
        <w:spacing w:after="0" w:line="374" w:lineRule="auto"/>
        <w:rPr>
          <w:sz w:val="20"/>
          <w:szCs w:val="20"/>
          <w:color w:val="auto"/>
        </w:rPr>
      </w:pPr>
      <w:r>
        <w:rPr>
          <w:rFonts w:ascii="Times New Roman" w:cs="Times New Roman" w:eastAsia="Times New Roman" w:hAnsi="Times New Roman"/>
          <w:sz w:val="18"/>
          <w:szCs w:val="18"/>
          <w:color w:val="auto"/>
        </w:rPr>
        <w:t xml:space="preserve">Common stock equivalents are excluded from the computation of diluted net loss per share if their effect is antidilutive. </w:t>
      </w:r>
      <w:r>
        <w:rPr>
          <w:rFonts w:ascii="Times New Roman" w:cs="Times New Roman" w:eastAsia="Times New Roman" w:hAnsi="Times New Roman"/>
          <w:sz w:val="18"/>
          <w:szCs w:val="18"/>
          <w:b w:val="1"/>
          <w:bCs w:val="1"/>
          <w:i w:val="1"/>
          <w:iCs w:val="1"/>
          <w:color w:val="auto"/>
        </w:rPr>
        <w:t>Business Combinations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acquisition method of accounting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7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Amounts allocated to assets and liabilities are based upon their estimated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(“ASU 2023-07”),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 of significant segment expenses and other segment items as well as incremental qualitative disclosures.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adopted ASU 2023-07 effective December 31, 2024, on a retrospective basis. The adoption of 2023-07 did not change the way that the Company identifies its reportable segments and, as a result, did not have a material impact on the Company’s segment-related disclosures. Refer to Note 22 for further information on the Company’s reportable segment.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 (“ASU 2023-09”)</w:t>
      </w:r>
      <w:r>
        <w:rPr>
          <w:rFonts w:ascii="Times New Roman" w:cs="Times New Roman" w:eastAsia="Times New Roman" w:hAnsi="Times New Roman"/>
          <w:sz w:val="18"/>
          <w:szCs w:val="18"/>
          <w:color w:val="auto"/>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evaluating the impact of this pronouncement.</w:t>
      </w:r>
    </w:p>
    <w:p>
      <w:pPr>
        <w:spacing w:after="0" w:line="75"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disclosure about the types of costs and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w:t>
      </w:r>
    </w:p>
    <w:p>
      <w:pPr>
        <w:spacing w:after="0" w:line="200" w:lineRule="exact"/>
        <w:rPr>
          <w:sz w:val="20"/>
          <w:szCs w:val="20"/>
          <w:color w:val="auto"/>
        </w:rPr>
      </w:pPr>
    </w:p>
    <w:p>
      <w:pPr>
        <w:spacing w:after="0" w:line="2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Concentrations of credit risk and other risks and uncertainties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depicts the disaggregation of revenue by sales channel mix and customer mix as defined by the nature of workflows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3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80" w:type="dxa"/>
            <w:vAlign w:val="bottom"/>
          </w:tcPr>
          <w:p>
            <w:pPr>
              <w:spacing w:after="0"/>
              <w:rPr>
                <w:sz w:val="16"/>
                <w:szCs w:val="16"/>
                <w:color w:val="auto"/>
              </w:rPr>
            </w:pPr>
          </w:p>
        </w:tc>
      </w:tr>
      <w:tr>
        <w:trPr>
          <w:trHeight w:val="23"/>
        </w:trPr>
        <w:tc>
          <w:tcPr>
            <w:tcW w:w="53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6"/>
        </w:trPr>
        <w:tc>
          <w:tcPr>
            <w:tcW w:w="5380" w:type="dxa"/>
            <w:vAlign w:val="bottom"/>
          </w:tcPr>
          <w:p>
            <w:pPr>
              <w:spacing w:after="0"/>
              <w:rPr>
                <w:sz w:val="16"/>
                <w:szCs w:val="16"/>
                <w:color w:val="auto"/>
              </w:rPr>
            </w:pPr>
          </w:p>
        </w:tc>
        <w:tc>
          <w:tcPr>
            <w:tcW w:w="17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80" w:type="dxa"/>
            <w:vAlign w:val="bottom"/>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3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 mix</w:t>
            </w:r>
          </w:p>
        </w:tc>
        <w:tc>
          <w:tcPr>
            <w:tcW w:w="17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50"/>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sales channel</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160" w:type="dxa"/>
            <w:vAlign w:val="bottom"/>
          </w:tcPr>
          <w:p>
            <w:pPr>
              <w:spacing w:after="0"/>
              <w:rPr>
                <w:sz w:val="21"/>
                <w:szCs w:val="21"/>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34,320</w:t>
            </w:r>
          </w:p>
        </w:tc>
      </w:tr>
      <w:tr>
        <w:trPr>
          <w:trHeight w:val="263"/>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Distributor channel</w:t>
            </w:r>
          </w:p>
        </w:tc>
        <w:tc>
          <w:tcPr>
            <w:tcW w:w="17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16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760" w:type="dxa"/>
            <w:vAlign w:val="bottom"/>
            <w:tcBorders>
              <w:bottom w:val="single" w:sz="8" w:color="auto"/>
            </w:tcBorders>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44,860</w:t>
            </w:r>
          </w:p>
        </w:tc>
      </w:tr>
      <w:tr>
        <w:trPr>
          <w:trHeight w:val="21"/>
        </w:trPr>
        <w:tc>
          <w:tcPr>
            <w:tcW w:w="53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56"/>
        </w:trPr>
        <w:tc>
          <w:tcPr>
            <w:tcW w:w="53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r>
      <w:tr>
        <w:trPr>
          <w:trHeight w:val="25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mix</w:t>
            </w:r>
          </w:p>
        </w:tc>
        <w:tc>
          <w:tcPr>
            <w:tcW w:w="1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63"/>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Academia and government</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w:t>
            </w:r>
          </w:p>
        </w:tc>
      </w:tr>
      <w:tr>
        <w:trPr>
          <w:trHeight w:val="211"/>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Biotechnology, pharmaceutical, distributor and contract research</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5"/>
        </w:trPr>
        <w:tc>
          <w:tcPr>
            <w:tcW w:w="5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organizations</w:t>
            </w:r>
          </w:p>
        </w:tc>
        <w:tc>
          <w:tcPr>
            <w:tcW w:w="17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26,456</w:t>
            </w:r>
          </w:p>
        </w:tc>
      </w:tr>
      <w:tr>
        <w:trPr>
          <w:trHeight w:val="27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760" w:type="dxa"/>
            <w:vAlign w:val="bottom"/>
            <w:tcBorders>
              <w:bottom w:val="single" w:sz="8" w:color="auto"/>
            </w:tcBorders>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geographical markets is presented in Note 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revenues expected to be recognized in the future related to performance obligations that are unsatisfied (or partially satisfied) as of March 31, 2025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Greater than 1 year</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42,440</w:t>
            </w:r>
          </w:p>
        </w:tc>
      </w:tr>
      <w:tr>
        <w:trPr>
          <w:trHeight w:val="27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had immaterial amounts of contract assets included within prepaid expenses and other current assets on the consolidated balance sheets. The following table provides information about deferred revenue from contracts with customers, and customer deposits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25,492</w:t>
            </w:r>
          </w:p>
        </w:tc>
        <w:tc>
          <w:tcPr>
            <w:tcW w:w="0" w:type="dxa"/>
            <w:vAlign w:val="bottom"/>
          </w:tcPr>
          <w:p>
            <w:pPr>
              <w:spacing w:after="0"/>
              <w:rPr>
                <w:sz w:val="1"/>
                <w:szCs w:val="1"/>
                <w:color w:val="auto"/>
              </w:rPr>
            </w:pPr>
          </w:p>
        </w:tc>
      </w:tr>
      <w:tr>
        <w:trPr>
          <w:trHeight w:val="26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2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16,098</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Customer deposits, which are included in 'Other current liabilities'</w:t>
            </w:r>
          </w:p>
        </w:tc>
        <w:tc>
          <w:tcPr>
            <w:tcW w:w="29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3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52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9A9A9A"/>
            </w:tcBorders>
          </w:tcPr>
          <w:p>
            <w:pPr>
              <w:spacing w:after="0"/>
              <w:rPr>
                <w:sz w:val="18"/>
                <w:szCs w:val="18"/>
                <w:color w:val="auto"/>
              </w:rPr>
            </w:pPr>
          </w:p>
        </w:tc>
        <w:tc>
          <w:tcPr>
            <w:tcW w:w="29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8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provides a roll-forward of the contract liabilities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(47,190)</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deferred</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50,633</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42,708</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Revenue deferred</w:t>
            </w: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Balance sheet details</w:t>
            </w: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22,571</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0" w:type="dxa"/>
            <w:vAlign w:val="bottom"/>
          </w:tcPr>
          <w:p>
            <w:pPr>
              <w:spacing w:after="0"/>
              <w:rPr>
                <w:sz w:val="1"/>
                <w:szCs w:val="1"/>
                <w:color w:val="auto"/>
              </w:rPr>
            </w:pPr>
          </w:p>
        </w:tc>
      </w:tr>
      <w:tr>
        <w:trPr>
          <w:trHeight w:val="27"/>
        </w:trPr>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8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rent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refund receivable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0" w:type="dxa"/>
            <w:vAlign w:val="bottom"/>
          </w:tcPr>
          <w:p>
            <w:pPr>
              <w:spacing w:after="0"/>
              <w:rPr>
                <w:sz w:val="1"/>
                <w:szCs w:val="1"/>
                <w:color w:val="auto"/>
              </w:rPr>
            </w:pPr>
          </w:p>
        </w:tc>
      </w:tr>
      <w:tr>
        <w:trPr>
          <w:trHeight w:val="27"/>
        </w:trPr>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8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14,765</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 fees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warranty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product warranty analysis refer to Note 20.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other current liabilities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loan and line of credit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13,494</w:t>
            </w:r>
          </w:p>
        </w:tc>
      </w:tr>
      <w:tr>
        <w:trPr>
          <w:trHeight w:val="27"/>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81"/>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740" w:type="dxa"/>
            <w:vAlign w:val="bottom"/>
            <w:tcBorders>
              <w:bottom w:val="single" w:sz="8" w:color="auto"/>
            </w:tcBorders>
            <w:gridSpan w:val="2"/>
            <w:vMerge w:val="continue"/>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2"/>
            <w:vMerge w:val="continue"/>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66,565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66,565</w:t>
            </w:r>
          </w:p>
        </w:tc>
        <w:tc>
          <w:tcPr>
            <w:tcW w:w="80" w:type="dxa"/>
            <w:vAlign w:val="bottom"/>
          </w:tcPr>
          <w:p>
            <w:pPr>
              <w:spacing w:after="0"/>
              <w:rPr>
                <w:sz w:val="21"/>
                <w:szCs w:val="21"/>
                <w:color w:val="auto"/>
              </w:rPr>
            </w:pP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9,236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8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138,765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138,765</w:t>
            </w:r>
          </w:p>
        </w:tc>
        <w:tc>
          <w:tcPr>
            <w:tcW w:w="8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10,845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10,845</w:t>
            </w: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gridSpan w:val="2"/>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246,114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214,566</w:t>
            </w:r>
          </w:p>
        </w:tc>
        <w:tc>
          <w:tcPr>
            <w:tcW w:w="80" w:type="dxa"/>
            <w:vAlign w:val="bottom"/>
          </w:tcPr>
          <w:p>
            <w:pPr>
              <w:spacing w:after="0"/>
              <w:rPr>
                <w:sz w:val="21"/>
                <w:szCs w:val="21"/>
                <w:color w:val="auto"/>
              </w:rPr>
            </w:pP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31,548</w:t>
            </w: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active</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81"/>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4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61,722</w:t>
            </w:r>
          </w:p>
        </w:tc>
        <w:tc>
          <w:tcPr>
            <w:tcW w:w="80" w:type="dxa"/>
            <w:vAlign w:val="bottom"/>
          </w:tcPr>
          <w:p>
            <w:pPr>
              <w:spacing w:after="0"/>
              <w:rPr>
                <w:sz w:val="21"/>
                <w:szCs w:val="21"/>
                <w:color w:val="auto"/>
              </w:rPr>
            </w:pPr>
          </w:p>
        </w:tc>
        <w:tc>
          <w:tcPr>
            <w:tcW w:w="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61,722</w:t>
            </w:r>
          </w:p>
        </w:tc>
        <w:tc>
          <w:tcPr>
            <w:tcW w:w="80" w:type="dxa"/>
            <w:vAlign w:val="bottom"/>
          </w:tcPr>
          <w:p>
            <w:pPr>
              <w:spacing w:after="0"/>
              <w:rPr>
                <w:sz w:val="21"/>
                <w:szCs w:val="21"/>
                <w:color w:val="auto"/>
              </w:rPr>
            </w:pPr>
          </w:p>
        </w:tc>
        <w:tc>
          <w:tcPr>
            <w:tcW w:w="3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161,477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161,477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245,610</w:t>
            </w:r>
          </w:p>
        </w:tc>
        <w:tc>
          <w:tcPr>
            <w:tcW w:w="80" w:type="dxa"/>
            <w:vAlign w:val="bottom"/>
          </w:tcPr>
          <w:p>
            <w:pPr>
              <w:spacing w:after="0"/>
              <w:rPr>
                <w:sz w:val="21"/>
                <w:szCs w:val="21"/>
                <w:color w:val="auto"/>
              </w:rPr>
            </w:pPr>
          </w:p>
        </w:tc>
        <w:tc>
          <w:tcPr>
            <w:tcW w:w="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227,942</w:t>
            </w:r>
          </w:p>
        </w:tc>
        <w:tc>
          <w:tcPr>
            <w:tcW w:w="80" w:type="dxa"/>
            <w:vAlign w:val="bottom"/>
          </w:tcPr>
          <w:p>
            <w:pPr>
              <w:spacing w:after="0"/>
              <w:rPr>
                <w:sz w:val="21"/>
                <w:szCs w:val="21"/>
                <w:color w:val="auto"/>
              </w:rPr>
            </w:pPr>
          </w:p>
        </w:tc>
        <w:tc>
          <w:tcPr>
            <w:tcW w:w="3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80" w:type="dxa"/>
            <w:vAlign w:val="bottom"/>
          </w:tcPr>
          <w:p>
            <w:pPr>
              <w:spacing w:after="0"/>
              <w:rPr>
                <w:sz w:val="21"/>
                <w:szCs w:val="21"/>
                <w:color w:val="auto"/>
              </w:rPr>
            </w:pPr>
          </w:p>
        </w:tc>
        <w:tc>
          <w:tcPr>
            <w:tcW w:w="3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did not have any transfers of financial assets measured at fair value on a recurring basis to or from Level 1, Level 2 or Level 3 for any of the periods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the Company’s investments in privately held equity securities. Non-marketable equity investments of $1.6 million are included within Other noncurrent assets on the consolidated balance sheet as of March 31, 2025.</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securities by significant investment category reported as short-term as of March 31, 2025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9"/>
                <w:szCs w:val="9"/>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138,766</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0" w:type="dxa"/>
            <w:vAlign w:val="bottom"/>
          </w:tcPr>
          <w:p>
            <w:pPr>
              <w:spacing w:after="0"/>
              <w:rPr>
                <w:sz w:val="1"/>
                <w:szCs w:val="1"/>
                <w:color w:val="auto"/>
              </w:rPr>
            </w:pPr>
          </w:p>
        </w:tc>
      </w:tr>
      <w:tr>
        <w:trPr>
          <w:trHeight w:val="25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170,294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170,314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securities at March 31, 2025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4"/>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3"/>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170,294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170,314</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170,314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securities by significant investment category reported as short-term as of December 31, 2024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9"/>
                <w:szCs w:val="9"/>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161,477</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0" w:type="dxa"/>
            <w:vAlign w:val="bottom"/>
          </w:tcPr>
          <w:p>
            <w:pPr>
              <w:spacing w:after="0"/>
              <w:rPr>
                <w:sz w:val="1"/>
                <w:szCs w:val="1"/>
                <w:color w:val="auto"/>
              </w:rPr>
            </w:pPr>
          </w:p>
        </w:tc>
      </w:tr>
      <w:tr>
        <w:trPr>
          <w:trHeight w:val="25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179,061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179,145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securities at December 31, 2024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43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179,061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179,145</w:t>
            </w:r>
          </w:p>
        </w:tc>
        <w:tc>
          <w:tcPr>
            <w:tcW w:w="0" w:type="dxa"/>
            <w:vAlign w:val="bottom"/>
          </w:tcPr>
          <w:p>
            <w:pPr>
              <w:spacing w:after="0"/>
              <w:rPr>
                <w:sz w:val="1"/>
                <w:szCs w:val="1"/>
                <w:color w:val="auto"/>
              </w:rPr>
            </w:pPr>
          </w:p>
        </w:tc>
      </w:tr>
      <w:tr>
        <w:trPr>
          <w:trHeight w:val="27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80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9A9A9A"/>
            </w:tcBorders>
          </w:tcPr>
          <w:p>
            <w:pPr>
              <w:spacing w:after="0"/>
              <w:rPr>
                <w:sz w:val="19"/>
                <w:szCs w:val="19"/>
                <w:color w:val="auto"/>
              </w:rPr>
            </w:pPr>
          </w:p>
        </w:tc>
        <w:tc>
          <w:tcPr>
            <w:tcW w:w="43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property and equipment, net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5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depreciation expense for the three months ended March 31, 2025 and 2024 was $0.9 million and $0.8 million, respectively.</w:t>
      </w:r>
    </w:p>
    <w:p>
      <w:pPr>
        <w:spacing w:after="0" w:line="1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28, 2023, the Company completed the FCI Acquisition for an aggregate cash consideration of $44.9 million.</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FCI Acquisition expanded the Company’s product portfolio to include high-resolution cell images with the speed, sensitivity and phenotyping abilities of flow cytometry and added cost-effective, entry-level and personal instrument options to broaden the market and research areas the Company services.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accordance with ASC 805. The purchase price has been allocated to tangible assets and identifiable intangible assets acquired and liabilities assumed based upon their estimated fair values, with the exception of contract liabilities assumed which are recognized and measured in accordance with ASC 606, Revenue from Contracts with Customers. The Company finalized its accounting for the FCI Acquisition during the fourth quarter of 2023.</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the following changes as a result of measurement period adjustments to the fair value of the initial assets as follows:</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increased by $1.4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increased by $0.6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increased by $0.1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technologies increased by $0.7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names increased by $0.2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measurement period adjustments noted above decreased goodwill by $3.0 million.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assets acquired and liabilities assumed at the date of the FCI Acquisition: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thousands)</w:t>
            </w:r>
          </w:p>
        </w:tc>
      </w:tr>
      <w:tr>
        <w:trPr>
          <w:trHeight w:val="33"/>
        </w:trPr>
        <w:tc>
          <w:tcPr>
            <w:tcW w:w="9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r>
      <w:tr>
        <w:trPr>
          <w:trHeight w:val="257"/>
        </w:trPr>
        <w:tc>
          <w:tcPr>
            <w:tcW w:w="9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Amnis ImageStream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developed technology</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56"/>
        </w:trPr>
        <w:tc>
          <w:tcPr>
            <w:tcW w:w="97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Guava easyCyte™ and Muse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developed technology</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7"/>
        </w:trPr>
        <w:tc>
          <w:tcPr>
            <w:tcW w:w="9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Amnis FlowSight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CellStream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developed technology</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Amnis trade name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Guava trade name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 costs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57"/>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44,896</w:t>
            </w:r>
          </w:p>
        </w:tc>
      </w:tr>
      <w:tr>
        <w:trPr>
          <w:trHeight w:val="21"/>
        </w:trPr>
        <w:tc>
          <w:tcPr>
            <w:tcW w:w="9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$6.0 million of goodwill arising from the FCI Acquisition is primarily attributed to significant time-to-market advantages, as the Company gained immediate access to the FCI Products, existing relationships and business infrastructure and knowledgeable and experienced workforce. The goodwill is deductible for tax purposes. The Company has integrated the FCI Business into its existing business structure, which is comprised of a single reportable segment and a single reporting unit.</w:t>
      </w:r>
    </w:p>
    <w:p>
      <w:pPr>
        <w:spacing w:after="0" w:line="19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Intangible assets identified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8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04"/>
        </w:trPr>
        <w:tc>
          <w:tcPr>
            <w:tcW w:w="8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(In thousands, except for years)</w:t>
            </w:r>
          </w:p>
        </w:tc>
      </w:tr>
      <w:tr>
        <w:trPr>
          <w:trHeight w:val="33"/>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58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8"/>
              </w:rPr>
              <w:t>9</w:t>
            </w:r>
          </w:p>
        </w:tc>
      </w:tr>
      <w:tr>
        <w:trPr>
          <w:trHeight w:val="256"/>
        </w:trPr>
        <w:tc>
          <w:tcPr>
            <w:tcW w:w="81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Amnis ImageStream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developed technology</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5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88"/>
              </w:rPr>
              <w:t>6</w:t>
            </w:r>
          </w:p>
        </w:tc>
      </w:tr>
      <w:tr>
        <w:trPr>
          <w:trHeight w:val="257"/>
        </w:trPr>
        <w:tc>
          <w:tcPr>
            <w:tcW w:w="81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Guava easyCyte™ and Muse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developed technology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58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8"/>
              </w:rPr>
              <w:t>2</w:t>
            </w:r>
          </w:p>
        </w:tc>
      </w:tr>
      <w:tr>
        <w:trPr>
          <w:trHeight w:val="256"/>
        </w:trPr>
        <w:tc>
          <w:tcPr>
            <w:tcW w:w="81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Amnis FlowSight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CellStream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developed technology</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88"/>
              </w:rPr>
              <w:t>1</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Amnis trade name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Guava trade name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58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w w:val="88"/>
              </w:rPr>
              <w:t>3</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580" w:type="dxa"/>
            <w:vAlign w:val="bottom"/>
            <w:tcBorders>
              <w:bottom w:val="single" w:sz="8" w:color="CCEEFF"/>
            </w:tcBorders>
            <w:shd w:val="clear" w:color="auto" w:fill="CCEEFF"/>
          </w:tcPr>
          <w:p>
            <w:pPr>
              <w:spacing w:after="0"/>
              <w:rPr>
                <w:sz w:val="24"/>
                <w:szCs w:val="24"/>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customer relationships intangible asset represents the fair value of the underlying relationships with existing customers of the FCI Business. The trade name intangible asset represents the fair value of brand and name recognition associated with the marketing of the FCI Products. The FCI developed technology intangible asset represents the fair value of access to certain imaging and microcapillary technologies.</w:t>
      </w:r>
    </w:p>
    <w:p>
      <w:pPr>
        <w:spacing w:after="0" w:line="10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fair value of the intangible assets acquired were estimated using variations of the income approach. The fair value of the customer relationships intangible asset was determined based on the multi-period excess earnings method and the relief-from-royalty method was utilized to estimate the fair values of the trade name and FCI developed technology intangible assets. The key assumptions used in estimating the fair values of intangible assets included forecasted financial information; customer retention rates; factors for technological obsolescence; royalty rates and discount rates. The cash flow projections were discounted using rates ranging from 29.0% to 39.0%. The cash flows were based on estimates used to price the transaction, including market participant considerations, and the discount rates applied were benchmarked with reference to the implied rate of return from the transaction model and the weighted average cost of capital.</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acquired intangibles are being amortized over their estimated useful lives using the straight-line method of amortization.</w:t>
      </w:r>
    </w:p>
    <w:p>
      <w:pPr>
        <w:spacing w:after="0" w:line="11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assigned to the assets acquired are based on reasonable assumptions and estimates that market participants would use. Actual results may differ from these estimates and assumptions.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results of operations for the FCI Business are included in the consolidated financial statements of the Company from the date of the acquisition.</w:t>
      </w:r>
    </w:p>
    <w:p>
      <w:pPr>
        <w:spacing w:after="0" w:line="1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 and intangible assets,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102870</wp:posOffset>
            </wp:positionV>
            <wp:extent cx="19456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Reagent license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Land use right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(8,341)</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amortization expense for the three months ended March 31, 2025 and 2024 was approximately $0.9 million and $0.9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9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Legal settlement liability</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patents in question were determined to have an average useful life of 18 months. Accordingly, beginning with the second quarter of 2022, the remaining contractual payments were classified as operating expenses as they were considered deferred litigation settlement. The Company recorded $0.3 million and $0.3 million of interest expense for the three months ended March 31, 2025 and 2024,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2020. The Company recorded legal settlement liability on the consolidated balance sheets of $10.5 million and $10.7 million as of March 31, 2025 and December 31, 2024,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the legal settlement liability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102870</wp:posOffset>
            </wp:positionV>
            <wp:extent cx="19456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legal settlement liability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November 7, 2022, Cytek Wuxi entered a fixed asset loan agreement with Bank of Communications, China (the “Wuxi Loan”). The Wuxi Loan was denominated in Chinese renminbi and collateralized by Cytek Wuxi’s cash deposit to the bank. The deposit was in a separate account with Cytek Wuxi’s name, but the use of such account was restricted. The Company presented the deposit as restricted cash on the audited consolidated balance sheets as of December 31, 2022. In April 2023, the restricted cash account was released. The purchased building in Wuxi serves as collateral for the Wuxi Loan. The total loan amount was $2.9 million and the loan term is five years. As of March 31, 2025, the total outstanding loan amount is $1.5 million. The current portion of the loan, $0.6 million, is included in other current liabilities. As of March 31, 2025, the interest rate on the loan was 3.8%, which is based on the five-year Loan Prime Rate (LPR) plus a margin of 0.2%.</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16, 2024, the Company signed a maximum credit agreement with Bank of Communications, China. for 40 million Chinese renminbi (approximately US $5.7 million). This credit was collateralized by the Wuxi building purchased in November 2023. 20 million Chinese renminbi (approximately US $2.8 million) under the credit agreement served as collateral for the Wuxi Loan. The remaining 20 million Chinese renminbi (approximately US $2.8 million) was available as a short-term loan for normal business operation requirements. The line of credit was available from December 25, 2023 to December 25, 2024.</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February 28, 2024, based on the above mentioned line of credit, Cytek Wuxi entered into a one year loan agreement with Bank of Communications, China. The loan was denominated in Chinese renminbi and collateralized by the building purchased by Cytek Wuxi in November 2023. The total loan amount was 10 million Chinese renminbi (approximately US $1.4 million) and the interest rate was fixed at 3.45%. The loan effective term was February 28, 2024 to February 28, 2025. The interest expenses was paid on a monthly basis. The loan was used for operating expenses. The loan was paid in full at the end of the loan term on February 28, 2025.</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October 24, 2024, the Company signed a maximum credit agreement with the Bank of China, Wuxi Branch, for 37 million Chinese renminbi (approximately US $5.2 million). This credit is collateralized by Cytek Wuxi’s cash deposit to the bank. The 37 million Chinese renminbi (approximately US $5.2 million) can be borrowed, as needed, as a short-term loan for normal business operation requirements. The line of credit is available from October 24, 2024 to September 22, 2025. During the fourth quarter of 2024, the Company withdrew 10 million Chinese renminbi (approximately US $1.4 million) in November and an additional 10 million Chinese renminbi (approximately US $1.4 million) in December to support its operational needs. The outstanding balance as of March 31, 2025 was 17 million Chinese renminbi (approximately US $2.4 million).</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January 6, 2025, Cytek (Shanghai) Biosciences Co., Ltd. signed a maximum credit agreement with the Bank of Ningbo for 10 million Chinese renminbi (approximately US $1.4 million). Collateral for the credit was provided to the bank by Cytek Wuxi. In January and March of 2025, Cytek (Shanghai) Biosciences Co., Ltd. withdrew 2.0 million Chinese renminbi (approximately US $0.3 million) and 3.0 million Chinese renminbi (approximately US $0.45 million), respectively, to support its operational needs. The interest rate was at 3.1% and 2.55%, respectively, and the lines of credit are due on January 9 and March 3, 2026, respectively. As of March 31, 2025, the outstanding balance was 5 million Chinese renminbi (approximately US $0.75 million).</w:t>
      </w:r>
    </w:p>
    <w:p>
      <w:pPr>
        <w:spacing w:after="0" w:line="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has authorized 1,000,000,000 shares of common stock at $0.001 par value. Holders of common stock are entitled to one vote per share, and to receive dividends, only and if declared by the Company’s Board of Directors (the “Board”) and, upon liquidation or dissolution, are entitled to receive all assets available for distribution to stockholders, subordinate to the rights, preferences and privileges of any outstanding preferred stock</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dividends and in connection with a liquidation, winding up and dissolution of the Company. The holders have no preemptive or other subscription rights.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filing by the Company of the Registration Statement on August 26, 2022, the Company also entered into the “2022 Sales Agreement”-with Piper as sales agent to sell from time to time up to $150 million of the Company’s common stock through an “at-the-market” offering program as defined in Rule 415 promulgated under the Securities Act.</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March 31, 2025, the Company has not made any sales of common stock pursuant to the 2022 Sales Agreement. Accordingly, $0.7 million in transaction expenses recorded as prepaid offering costs have not yet been expensed in transaction expenses recorded.</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May 17, 2023, the Board approved a program for the repurchase by the Company of up to an aggregate of $50 million of its outstanding common stock. During the three months ended December 31, 2023, the Company repurchased 5,332,769 shares of its outstanding common stock for a total cost of approximately $34.6 million at an average price per share of $6.49. During the twelve months ended December 31, 2023, the Company repurchased 6,613,780 shares of its outstanding common stock for a total cost of approximately $44.2 million at an average price per share of $6.66. The commissions costs related with the repurchases were $0.1 million for both the three months and twelve months ended December 31, 2023. The repurchase program was used to return capital to shareholders and to minimize the dilutive impact of stock options and other stock-based awards. The repurchased shares of common stock were retired. The repurchase program expired on December 31, 2023.</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6, 2024, the Board approved a program for the repurchase by the Company of up to an aggregate of $50 million of its outstanding common stock. During the three months ended December 31, 2024, the Company repurchased 1,332,950 shares of its outstanding common stock for a total cost of approximately $7.0 million at an average price per share of $5.21. During the twelve months ended December 31, 2024, the Company repurchased 3,971,624 shares of its outstanding common stock for a total cost of approximately $21.6 million at an average price per share of $5.41. The repurchase program was used to return capital to shareholders and to minimize the dilutive impact of stock options and other stock-based awards. The repurchased shares of common stock were retired. The repurchase program expired on December 31, 2024.</w:t>
      </w:r>
    </w:p>
    <w:p>
      <w:pPr>
        <w:spacing w:after="0" w:line="79"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On December 11, 2024, the Board approved a new program for the repurchase by the Company of up to an aggregate of $50 million of its outstanding common stock commencing January 1, 2025. During the three months ended March 31, 2025, the Company repurchased 2,078,583 shares of its outstanding common stock for a total cost of approximately $10.6 million at an average price per share of $5.05. As of March 31, 2025, the Company had a remaining authorized amount of $39.5 million in the repurchase program. The repurchase program is used to return capital to shareholders and to minimize the dilutive impact of stock options and other stock-based awards. The repurchased shares of common stock were retired. The repurchase program will expire on December 31, 2025.</w:t>
      </w:r>
    </w:p>
    <w:p>
      <w:pPr>
        <w:spacing w:after="0" w:line="7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Under these three repurchase programs, the Company has purchased an aggregate of 12,663,987 shares of its outstanding common stock for a total cost of approximately $76.0 million at an average price per share of $6.0.</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March 31, 2025, the Company accrued $0.5 million in excise taxes related with its share repurchases.</w:t>
      </w:r>
    </w:p>
    <w:p>
      <w:pPr>
        <w:spacing w:after="0" w:line="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Stock-based compensation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Plans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the Company had three stock-based compensation plans (the “Plans”) which are described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Equity Incentive Plan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March 2015, the Board approved the 2015 Equity Incentive Plan (the “2015 Plan”), which provided for the granting of stock options to employees, directors and consultants of the Company. As of the effective date of the 2021 Plan described below, the 2015 Plan was terminated and no further equity awards may be granted pursuant to the 2015 Plan.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stock options granted under the 2015 Plan will continue to be governed by the provisions of the 2015 Plan until expiration or exercise, whichever is earlier.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Equity Incentive Plan</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March 31, 2025, the total number of shares of common stock available for issuance under the 2021 Plan was 23,426,234 shares.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As of March 31, 2025, the total number of shares of common stock available for issuance under the ESPP was 6,442,882 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valuation assumptions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stock option activity during the periods indicated (in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62"/>
        </w:trPr>
        <w:tc>
          <w:tcPr>
            <w:tcW w:w="55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300" w:type="dxa"/>
            <w:vAlign w:val="bottom"/>
          </w:tcPr>
          <w:p>
            <w:pPr>
              <w:spacing w:after="0"/>
              <w:rPr>
                <w:sz w:val="14"/>
                <w:szCs w:val="14"/>
                <w:color w:val="auto"/>
              </w:rPr>
            </w:pPr>
          </w:p>
        </w:tc>
        <w:tc>
          <w:tcPr>
            <w:tcW w:w="10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0"/>
        </w:trPr>
        <w:tc>
          <w:tcPr>
            <w:tcW w:w="5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7,764,457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7"/>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10,103,769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43,341</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5,566,365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March 31, 2025 and 2024 were $2.72 and $4.74 per share,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was $17.8 million of unrecognized stock-based compensation expense related to unvested stock options as of March 31, 2025. The unrecognized stock-based compensation expense is estimated to be recognized over a period of 3 years as of March 31, 2025.</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option exercises.</w:t>
      </w:r>
    </w:p>
    <w:p>
      <w:pPr>
        <w:spacing w:after="0" w:line="117"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and the estimated fair value of the Company’s common stock as of March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RSU awards activity during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 (in</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204"/>
        </w:trPr>
        <w:tc>
          <w:tcPr>
            <w:tcW w:w="5500" w:type="dxa"/>
            <w:vAlign w:val="bottom"/>
          </w:tcPr>
          <w:p>
            <w:pPr>
              <w:spacing w:after="0"/>
              <w:rPr>
                <w:sz w:val="17"/>
                <w:szCs w:val="17"/>
                <w:color w:val="auto"/>
              </w:rPr>
            </w:pPr>
          </w:p>
        </w:tc>
        <w:tc>
          <w:tcPr>
            <w:tcW w:w="14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 (in thousands)</w:t>
            </w:r>
          </w:p>
        </w:tc>
      </w:tr>
      <w:tr>
        <w:trPr>
          <w:trHeight w:val="23"/>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4,220,878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27,393</w:t>
            </w: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1,710,718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7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March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5,414,339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2025, $35.9 million of unrecognized stock-based compensation expense related to unvested RSU awards. The unrecognized stock-based compensation expense is estimated to be recognized over a weighted-average period of approximately 3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allocation of stock-based compensation expense related to the Company’s stock-based awards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3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18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0" w:type="dxa"/>
            <w:vAlign w:val="bottom"/>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3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0" w:type="dxa"/>
            <w:vAlign w:val="bottom"/>
            <w:shd w:val="clear" w:color="auto" w:fill="CCEEFF"/>
          </w:tcPr>
          <w:p>
            <w:pPr>
              <w:jc w:val="right"/>
              <w:ind w:right="16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5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6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5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75"/>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0" w:type="dxa"/>
            <w:vAlign w:val="bottom"/>
            <w:tcBorders>
              <w:bottom w:val="single" w:sz="8" w:color="auto"/>
            </w:tcBorders>
            <w:shd w:val="clear" w:color="auto" w:fill="CCEEFF"/>
          </w:tcPr>
          <w:p>
            <w:pPr>
              <w:jc w:val="right"/>
              <w:ind w:right="16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weighted-average valuation assumptions used in determining the fair value of employee stock options:</w:t>
      </w:r>
    </w:p>
    <w:p>
      <w:pPr>
        <w:spacing w:after="0" w:line="16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33655</wp:posOffset>
            </wp:positionV>
            <wp:extent cx="3840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gridSpan w:val="2"/>
          </w:tcPr>
          <w:p>
            <w:pPr>
              <w:ind w:left="6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Pr>
          <w:p>
            <w:pPr>
              <w:jc w:val="right"/>
              <w:ind w:right="12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2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5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1"/>
                <w:szCs w:val="21"/>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63"/>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2"/>
                <w:szCs w:val="22"/>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823"/>
        </w:trPr>
        <w:tc>
          <w:tcPr>
            <w:tcW w:w="730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09"/>
        </w:trPr>
        <w:tc>
          <w:tcPr>
            <w:tcW w:w="5200" w:type="dxa"/>
            <w:vAlign w:val="bottom"/>
            <w:tcBorders>
              <w:bottom w:val="single" w:sz="8" w:color="9A9A9A"/>
            </w:tcBorders>
          </w:tcPr>
          <w:p>
            <w:pPr>
              <w:spacing w:after="0"/>
              <w:rPr>
                <w:sz w:val="18"/>
                <w:szCs w:val="18"/>
                <w:color w:val="auto"/>
              </w:rPr>
            </w:pPr>
          </w:p>
        </w:tc>
        <w:tc>
          <w:tcPr>
            <w:tcW w:w="21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9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estimating the fair value of the ESPP for the current offering period using the Black-Scholes option-pricing model:</w:t>
      </w:r>
    </w:p>
    <w:p>
      <w:pPr>
        <w:spacing w:after="0" w:line="10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33655</wp:posOffset>
            </wp:positionV>
            <wp:extent cx="38404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gridSpan w:val="2"/>
          </w:tcPr>
          <w:p>
            <w:pPr>
              <w:ind w:left="6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Pr>
          <w:p>
            <w:pPr>
              <w:jc w:val="right"/>
              <w:ind w:right="12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2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5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1"/>
                <w:szCs w:val="21"/>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Pr>
          <w:p>
            <w:pPr>
              <w:spacing w:after="0"/>
              <w:rPr>
                <w:sz w:val="21"/>
                <w:szCs w:val="21"/>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63"/>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22"/>
                <w:szCs w:val="22"/>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Employee benefit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retirement savings plan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currently maintains a 401(k) retirement savings plan that covers substantially all of its employees (“401(k) Plan”). The 401(k) Plan permits voluntary contributions by employees, a portion of which are matched by the Company. The Company’s contributions to the 401(k) Plan were approximately $0.45 million and $0.40 million for the three months ended March 31, 2025 and 2024, respectively.</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statements of operations and comprehensive loss. Accrued interest and penalties, if any, are included in accrued expenses in the consolidated balance sheet.</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effective income tax rate from continuing operations was (1.1)% and 31.4% for the three months ended March 31, 2025 and 2024, respectively. The Company’s effective income tax rate for the three months ended March 31, 2025 is negative as income tax expense is recorded on an operating loss. The Company’s negative income tax rate is due to non-deductible stock-based compensation, and the Company’s mix of earnings between various taxing jurisdictions, partially offset by stock compensation deductions, and federal and state research credits. The effective income tax rate for the three months ended March 31, 2024 was higher than the US federal statutory tax rate primarily due to state income taxes, non-deductible stock-based compensation, the Company’s mix of earnings between various taxing jurisdictions, partially offset by a deduction for foreign-sourced revenue, and federal and state research credits.</w:t>
      </w:r>
    </w:p>
    <w:p>
      <w:pPr>
        <w:spacing w:after="0" w:line="8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along with other objectively verifiable evidence. Objectively verifiable evidence includes the Company’s realization of tax attributes, assessment of tax credits, and utilization of net operating loss carryforwards during the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benefit from income taxes consists primarily of provision for foreign taxes. As the Company plans to expand the scale and scope of its international business activities, any changes in the United States and foreign taxation of such activities may increase the Company’s overall provision for income taxes in the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the benefit from income taxes for the three months ended March 31, 2025 and 2024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04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16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0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5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(2,824)</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2,960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Income tax expense was $0.1 million for the three months ended March 31, 2025, as compared to a benefit from income taxes of $2.8 million for the three months ended March 31, 2024. The net increase of $2.96 million for the three months ended March 31, 2025 was primarily due to a lower effective tax rate as a result of a projected net loss for 2025 which caused permanently nondeductible items to decrease the effective tax rate as opposed to increasing the effective tax rate for the same quarter in 2024.</w:t>
      </w:r>
    </w:p>
    <w:p>
      <w:pPr>
        <w:spacing w:after="0" w:line="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tab/>
        <w:t>Lease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which is the date on which the terms of the contract are agreed to, and the agreement creates enforceable rights and obligations. Under ASC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leases office facilities and equipment from unrelated parties under operating lease agreements that have initial terms ranging from 1 to 9 years. Some leases include one or more options to renew, generally at the Company’s sole discretion, with renewal terms that can extend the lease term up to 5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The components of lease expense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 payments on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63"/>
        </w:trPr>
        <w:tc>
          <w:tcPr>
            <w:tcW w:w="8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9"/>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in other 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w:t>
            </w:r>
          </w:p>
        </w:tc>
      </w:tr>
      <w:tr>
        <w:trPr>
          <w:trHeight w:val="275"/>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8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center"/>
              <w:ind w:right="176"/>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rPr>
              <w:t>3.49</w:t>
            </w:r>
          </w:p>
        </w:tc>
      </w:tr>
      <w:tr>
        <w:trPr>
          <w:trHeight w:val="270"/>
        </w:trPr>
        <w:tc>
          <w:tcPr>
            <w:tcW w:w="8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center"/>
              <w:ind w:right="176"/>
              <w:spacing w:after="0"/>
              <w:rPr>
                <w:sz w:val="20"/>
                <w:szCs w:val="20"/>
                <w:color w:val="auto"/>
              </w:rPr>
            </w:pPr>
            <w:r>
              <w:rPr>
                <w:rFonts w:ascii="Times New Roman" w:cs="Times New Roman" w:eastAsia="Times New Roman" w:hAnsi="Times New Roman"/>
                <w:sz w:val="18"/>
                <w:szCs w:val="18"/>
                <w:color w:val="auto"/>
                <w:w w:val="95"/>
              </w:rPr>
              <w:t>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5"/>
              </w:rPr>
              <w:t>3.4%</w:t>
            </w:r>
          </w:p>
        </w:tc>
      </w:tr>
    </w:tbl>
    <w:p>
      <w:pPr>
        <w:spacing w:after="0" w:line="17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balance sheet as of March 31, 2025 is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5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6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6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9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5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9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5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486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9A9A9A"/>
            </w:tcBorders>
          </w:tcPr>
          <w:p>
            <w:pPr>
              <w:spacing w:after="0"/>
              <w:rPr>
                <w:sz w:val="18"/>
                <w:szCs w:val="18"/>
                <w:color w:val="auto"/>
              </w:rPr>
            </w:pPr>
          </w:p>
        </w:tc>
        <w:tc>
          <w:tcPr>
            <w:tcW w:w="49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cloud computing and other information technology services. As of March 31, 2025, future payments under these contractual obligations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29"/>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06"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and claims. On August 14, 2024, Beckman Coulter, Inc. (“Beckman Coulter”) sued the Company in federal court in the District of Delaware, alleging that the Company’s Aurora flow cytometers, Aurora CS cell sorters, and Northern Lights and Northern Lights-CLC products infringe U.S. Patent Nos. 10,330,582 and 11,703,443, each titled “Flow Cytometer.” On October 7, 2024, the Company filed an answer denying any liability and including a counterclaim against Beckman Coulter for false marking. On October 28, 2024, Beckman Coulter filed an answer to the counterclaim, denying liability. On January 9, 2025, Beckman Coulter filed a first amended complaint, further alleging that the Company’s Aurora flow cytometers, Aurora CS cell sorters, and Northern Lights and Northern Lights-CLC products also infringe U.S. Patent Nos. 12,174,106 and 12,174,107, each of which is also titled “Flow Cytometer” and related to the earlier asserted patents. On February 6, 2025, the Company filed an answer to the first amended complaint, denying any liability and including a counterclaim against Beckman Coulter for false patent marking. On February 27, 2025, Beckman Coulter filed an answer to the counterclaim, denying liability. A claim construction hearing is currently scheduled for August 21, 2025, briefing on dispositive motions is currently scheduled in March and April of 2026, and a trial is scheduled for August 17, 2026. The Company intends to vigorously defend itself and pursue the counterclaim.</w:t>
      </w:r>
    </w:p>
    <w:p>
      <w:pPr>
        <w:spacing w:after="0" w:line="9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Product warranty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activity in the product warranty accrual included in accrued expenses on the consolidated balance sheets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current year warranties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cost incurred</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7"/>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Net loss attributable to common stockholders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for the three months ended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(in thousands except share and per share data):</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3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8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17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80" w:type="dxa"/>
            <w:vAlign w:val="bottom"/>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4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7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5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60" w:type="dxa"/>
            <w:vAlign w:val="bottom"/>
          </w:tcPr>
          <w:p>
            <w:pPr>
              <w:jc w:val="right"/>
              <w:ind w:right="15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r>
      <w:tr>
        <w:trPr>
          <w:trHeight w:val="277"/>
        </w:trPr>
        <w:tc>
          <w:tcPr>
            <w:tcW w:w="54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5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63"/>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7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128,339,481</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130,920,971</w:t>
            </w:r>
          </w:p>
        </w:tc>
      </w:tr>
      <w:tr>
        <w:trPr>
          <w:trHeight w:val="25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employee stock plans</w:t>
            </w:r>
          </w:p>
        </w:tc>
        <w:tc>
          <w:tcPr>
            <w:tcW w:w="17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17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128,339,481</w:t>
            </w:r>
          </w:p>
        </w:tc>
        <w:tc>
          <w:tcPr>
            <w:tcW w:w="10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130,920,971</w:t>
            </w:r>
          </w:p>
        </w:tc>
      </w:tr>
      <w:tr>
        <w:trPr>
          <w:trHeight w:val="256"/>
        </w:trPr>
        <w:tc>
          <w:tcPr>
            <w:tcW w:w="54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8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1760" w:type="dxa"/>
            <w:vAlign w:val="bottom"/>
            <w:tcBorders>
              <w:bottom w:val="single" w:sz="8" w:color="auto"/>
            </w:tcBorders>
            <w:shd w:val="clear" w:color="auto" w:fill="CCEEFF"/>
          </w:tcPr>
          <w:p>
            <w:pPr>
              <w:jc w:val="right"/>
              <w:ind w:right="15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1760" w:type="dxa"/>
            <w:vAlign w:val="bottom"/>
            <w:tcBorders>
              <w:bottom w:val="single" w:sz="8" w:color="auto"/>
            </w:tcBorders>
          </w:tcPr>
          <w:p>
            <w:pPr>
              <w:jc w:val="right"/>
              <w:ind w:right="15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5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80" w:firstLine="486"/>
        <w:spacing w:after="0" w:line="250" w:lineRule="auto"/>
        <w:rPr>
          <w:sz w:val="20"/>
          <w:szCs w:val="20"/>
          <w:color w:val="auto"/>
        </w:rPr>
      </w:pPr>
      <w:r>
        <w:rPr>
          <w:rFonts w:ascii="Times New Roman" w:cs="Times New Roman" w:eastAsia="Times New Roman" w:hAnsi="Times New Roman"/>
          <w:sz w:val="18"/>
          <w:szCs w:val="18"/>
          <w:color w:val="auto"/>
        </w:rPr>
        <w:t>Because the Company had a net loss during the three months ended March 31, 2025 and 2024, 1.7 million and 2.4 million shares for the three months ended March 31, 2025 and 2024, respectively, were dilutive, but were not included in the computation of diluted net loss per share because their inclusion would have been anti-dilutive. Therefore, basic net loss per share is the same as diluted net loss per share.</w:t>
      </w:r>
    </w:p>
    <w:p>
      <w:pPr>
        <w:spacing w:after="0" w:line="65" w:lineRule="exact"/>
        <w:rPr>
          <w:sz w:val="20"/>
          <w:szCs w:val="20"/>
          <w:color w:val="auto"/>
        </w:rPr>
      </w:pPr>
    </w:p>
    <w:p>
      <w:pPr>
        <w:ind w:right="7480" w:firstLine="8"/>
        <w:spacing w:after="0" w:line="370" w:lineRule="auto"/>
        <w:tabs>
          <w:tab w:leader="none" w:pos="40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and Geographic Data Segment Information</w:t>
      </w: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The Company operates and manages its business activities on a consolidated basis and has one operating and reportable segment, as defined under ASC 280, Segment Reporting. Operating segments are defined as components of an enterprise where separate financial information is evaluated regularly by the Chief Operating Decision Maker (“CODM”), who decides how to allocate resources and assess performance. The Company’s Chief Executive Officer serves as the CODM and is responsible for evaluating the Company’s financial performance and allocating resources. The CODM uses net income as the measure of profit or loss to allocate resources, assess performance, and monitor budgets against actual results.</w:t>
      </w:r>
    </w:p>
    <w:p>
      <w:pPr>
        <w:spacing w:after="0" w:line="7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 the CODM reviews the significant segment expenses in the table below on net loss when assessing performance and allocating resources, as well as those used for strategic decisions related to headcount and capital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The measure of segment assets is reported on the balance sheet as total assets. The CODM does not review segment assets at a level other than that presented in the Company’s consolidated balance sheets.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 the Company’s significant segment expenses:</w:t>
      </w:r>
    </w:p>
    <w:p>
      <w:pPr>
        <w:spacing w:after="0" w:line="165"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3"/>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28,110</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34,122</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13,347</w:t>
            </w: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41,457</w:t>
            </w: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44,860</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(excluding stock-based compensation)</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19,721</w:t>
            </w:r>
          </w:p>
        </w:tc>
        <w:tc>
          <w:tcPr>
            <w:tcW w:w="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 license &amp; IP expense</w:t>
            </w:r>
          </w:p>
        </w:tc>
        <w:tc>
          <w:tcPr>
            <w:tcW w:w="380" w:type="dxa"/>
            <w:vAlign w:val="bottom"/>
          </w:tcPr>
          <w:p>
            <w:pPr>
              <w:spacing w:after="0"/>
              <w:rPr>
                <w:sz w:val="19"/>
                <w:szCs w:val="19"/>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493</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(excluding stock-based compensation)</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8,606</w:t>
            </w:r>
          </w:p>
        </w:tc>
        <w:tc>
          <w:tcPr>
            <w:tcW w:w="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(excluding stock-based compensation)</w:t>
            </w:r>
          </w:p>
        </w:tc>
        <w:tc>
          <w:tcPr>
            <w:tcW w:w="380" w:type="dxa"/>
            <w:vAlign w:val="bottom"/>
          </w:tcPr>
          <w:p>
            <w:pPr>
              <w:spacing w:after="0"/>
              <w:rPr>
                <w:sz w:val="19"/>
                <w:szCs w:val="19"/>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2,699</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(excluding stock-based compensation)</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8,148</w:t>
            </w:r>
          </w:p>
        </w:tc>
        <w:tc>
          <w:tcPr>
            <w:tcW w:w="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(excluding stock-based compensation)</w:t>
            </w:r>
          </w:p>
        </w:tc>
        <w:tc>
          <w:tcPr>
            <w:tcW w:w="380" w:type="dxa"/>
            <w:vAlign w:val="bottom"/>
          </w:tcPr>
          <w:p>
            <w:pPr>
              <w:spacing w:after="0"/>
              <w:rPr>
                <w:sz w:val="19"/>
                <w:szCs w:val="19"/>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10,135</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6,630</w:t>
            </w:r>
          </w:p>
        </w:tc>
        <w:tc>
          <w:tcPr>
            <w:tcW w:w="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(3,573)</w:t>
            </w:r>
          </w:p>
        </w:tc>
        <w:tc>
          <w:tcPr>
            <w:tcW w:w="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(11,402)</w:t>
            </w:r>
          </w:p>
        </w:tc>
        <w:tc>
          <w:tcPr>
            <w:tcW w:w="5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segment items include other income (expenses) and interest income (expenses).</w:t>
      </w:r>
    </w:p>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sells its products worldwide and attributes revenue to the geography where the product is delivered. The geographical distribution of revenue for the three months ended March 31, 2025 and 2024 was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3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6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17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60" w:type="dxa"/>
            <w:vAlign w:val="bottom"/>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4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60" w:type="dxa"/>
            <w:vAlign w:val="bottom"/>
            <w:shd w:val="clear" w:color="auto" w:fill="CCEEFF"/>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21,358</w:t>
            </w:r>
          </w:p>
        </w:tc>
      </w:tr>
      <w:tr>
        <w:trPr>
          <w:trHeight w:val="25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7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w:t>
            </w:r>
          </w:p>
        </w:tc>
      </w:tr>
      <w:tr>
        <w:trPr>
          <w:trHeight w:val="26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7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r>
      <w:tr>
        <w:trPr>
          <w:trHeight w:val="25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7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760" w:type="dxa"/>
            <w:vAlign w:val="bottom"/>
            <w:tcBorders>
              <w:bottom w:val="single" w:sz="8" w:color="auto"/>
            </w:tcBorders>
            <w:shd w:val="clear" w:color="auto" w:fill="CCEEFF"/>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EMEA includes Europe, the Middle East and Africa; APAC includes Asia and the Pacific countries; Other includes Canada and Latin America.</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revenue, a major country is defined as a group of customers in a country with combined revenue of greater than 10% of consolidated revenue or as otherwise deemed significant. Revenue in the United States were approximately $18.5 million and $21.4 million as of March 31, 2025 and 2024, respectively. Revenue in China were approximately $5.3 million and $3.2 million as of March 31, 2025 and 2024, respectively. No other country represented greater than 10% of the Company’s consolidated net sales or was otherwise deemed significant. For the three months ended March 31, 2025 and 2024, the Company had no major customers that represented more than 10% of the Company’s total revenue.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and December 31, 2024, the Company’s long-lived assets by geographic area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61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6"/>
        </w:trPr>
        <w:tc>
          <w:tcPr>
            <w:tcW w:w="6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5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60" w:type="dxa"/>
            <w:vAlign w:val="bottom"/>
            <w:shd w:val="clear" w:color="auto" w:fill="CCEEFF"/>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r>
      <w:tr>
        <w:trPr>
          <w:trHeight w:val="25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5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7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w:t>
            </w:r>
          </w:p>
        </w:tc>
      </w:tr>
      <w:tr>
        <w:trPr>
          <w:trHeight w:val="25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17,962</w:t>
            </w:r>
          </w:p>
        </w:tc>
      </w:tr>
      <w:tr>
        <w:trPr>
          <w:trHeight w:val="27"/>
        </w:trPr>
        <w:tc>
          <w:tcPr>
            <w:tcW w:w="61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and December 31, 2024, most of the Company’s long-lived assets were located in the United States and in Wuxi, China.</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2024 and the related Management’s Discussion and Analysis of Financial Condition and Results of Operations, both of which are contained in our Annual Report on Form 10-K filed with the Securities and Exchange Commission (the “SEC”) on February 28, 2025. Unless the context requires otherwise, references in this Quarterly Report on Form 10-Q to “we,” “us” and “our” refer to Cytek Biosciences,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We are a leading cell analysis solutions company advancing the next generation of research and clinical tools with our novel technical approach of leveraging the full spectrum of fluorescence 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 Our FSP platform includes instruments, accessories, reagents, software and services to provide a comprehensive and integrated suite of solutions for our customers.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FSP cell analyzers, the Cytek Aurora and Northern Lights systems, deliver high-resolution, high-content and high-sensitivity cell analysis and addresses the inherent limitations of other technologies by providing a higher level of multiplexing with exquisite sensitivity, more flexibility and increased efficiency, all at a lower cost for performance. Additionally, our Cytek Aurora cell sorter (“Aurora CS system”) leverages our FSP technology to further broaden our potential applications across cell analysis. Each system is supported by our highly intuitive, proprietary embedded SpectroFlo software, our reagents, and our service offerings to provide a comprehensive, end-to-end platform of solutions for our customers. Since our first U.S. commercial launch in mid-2017 through December 31, 2024, we have sold and deployed our instruments to customers around the world, including pharmaceutical companies, biopharma companies, academic research centers, and clinical research organizations (“CROs”).</w:t>
      </w:r>
    </w:p>
    <w:p>
      <w:pPr>
        <w:spacing w:after="0" w:line="2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February 28, 2023, we completed the acquisition of certain assets (the “FCI Acquisition”) relating to the flow cytometry and imaging business of Luminex Corporation (“Luminex”), including relating to the business of manufacturing, marketing, selling, servicing and maintaining Amnis- and Guava-branded instruments, and flow cytometry reagent products and services (the “FCI Business”). The acquired FCI Business includes conventional flow and image-based flow cytometry instrumentation and related products and services (the “FCI Products”), which provide insights into all facets of cellular phenotypes and morphology. The acquisition supports our plan to develop new products and capabilities with flow cytometry and imaging technology, expand our reach and offerings into customer segments previously underserved, and increase the efficiency of our operations.</w:t>
      </w:r>
    </w:p>
    <w:p>
      <w:pPr>
        <w:spacing w:after="0" w:line="3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manufacture our instruments in our facilities in Fremont, California; Wuxi, China; Seattle, Washington; and Singapore. We have designed our operating model to be capital efficient and to scale efficiently as our product volumes grow.</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Total revenue for the three months ended March 31, 2025 was $41.5 million, an 8% decrease compared to revenue for the three months ended March 31, 2024 of $44.9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72% and 77% of total revenue for the three months ended March 31, 2025 and 2024, respectively, and revenue from distributors represented 28% and 23% of total revenue for the three months ended March 31, 2025 and 2024, respectively.</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$9.7 million and $9.8 million for the three months ended March 31, 2025 and 2024, respectively. We intend to continue to make significant investments in research and development in the future.</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our commercial infrastructure through hiring additional employees with strong scientific and technical backgrounds to support growth in our instrument sales as well as our planned expansion of reagents offerings and panel design capabilities. We also plan to continue to invest in sales, marketing and business development across the globe to drive commercialization of our products. We incurred sales and marketing expenses of $12.5 million and $12.5 million for the three months ended March 31, 2025 and 2024, respectively.</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Since our inception in 2014, we have financed our operations primarily through sales of our securities and revenue from the sale of our products and services.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net loss was $11.4 million and $6.2 million for the three months ended March 31, 2025 and 2024, respectively. The change for the three months ended March 31, 2025 compared to the three months ended March 31, 2024, resulted primarily from a decrease in revenues and gross profit and an increase in operating expenses.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our expenses will increase substantially in connection with our ongoing activities, as we:</w:t>
      </w:r>
    </w:p>
    <w:p>
      <w:pPr>
        <w:spacing w:after="0" w:line="117"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processes, commercial infrastructure and supporting functions to scale our business and introduce new products and services;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research and development efforts;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geographically;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defend our intellectual property;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complementary businesses, services, products or technologies.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future performance</w:t>
      </w:r>
    </w:p>
    <w:p>
      <w:pPr>
        <w:spacing w:after="0" w:line="12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customer adoption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We intend to continue increasing our workforce in line with our growth.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mix and gross margin</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revenue is primarily derived from sales of our instruments and services with our instruments recognizing higher revenue and gross profit than our services. Although we expect sales of our instruments to continue to represent the largest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percentage of our revenue in the future, we expect service revenue to increase as a percentage of our total revenue and our gross margins to experience a corresponding improvement as we grow our installed base and increase our focus on leveraging our fixed manufacturing and service overhead costs. Our sales in certain regions, particularly outside of the United States, are largely realized through third-party distribution partners that typically receive discounted prices, thus resulting in lower gross margins than those recognized by our direct sales organization. Furthermore, our instrument selling prices and gross margins may fluctuate in the future due to the impact of competing products entering the market and fluctuating foreign exchange rates and as we continue to introduce new products and reduce our production costs.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near term, we expect the continued leveraging of fixed manufacturing and service overhead costs, optimization of our manufacturing processes, and material cost fluctuations to have the greatest impact on our gross margin.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into new markets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Northern Lights-CLC system received CE Marking under the European Union In Vitro Diagnostic Medical Devices Directive in September 2020 and was registered in the European Union in compliance with Regulation (EU) 2017/746 on In Vitro Diagnostic Medical Devices in November 2023. The Northern Lights-CLC system was also registered as a Class II In Vitro Diagnostic Medical Device in China. These registrations enable the Northern Lights-CLC system to be marketed for clinical use in China, the European Union and in other countries around the world that accept the Certification of Free Sale issued from an EU Competent Authority.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50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 mix</w:t>
            </w: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 sales channel</w:t>
            </w:r>
          </w:p>
        </w:tc>
        <w:tc>
          <w:tcPr>
            <w:tcW w:w="118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80" w:type="dxa"/>
            <w:vAlign w:val="bottom"/>
          </w:tcPr>
          <w:p>
            <w:pPr>
              <w:spacing w:after="0"/>
              <w:rPr>
                <w:sz w:val="22"/>
                <w:szCs w:val="22"/>
                <w:color w:val="auto"/>
              </w:rPr>
            </w:pPr>
          </w:p>
        </w:tc>
        <w:tc>
          <w:tcPr>
            <w:tcW w:w="118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56"/>
        </w:trPr>
        <w:tc>
          <w:tcPr>
            <w:tcW w:w="5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Distributor channel</w:t>
            </w:r>
          </w:p>
        </w:tc>
        <w:tc>
          <w:tcPr>
            <w:tcW w:w="1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8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2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1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mix</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Academia and government</w:t>
            </w:r>
          </w:p>
        </w:tc>
        <w:tc>
          <w:tcPr>
            <w:tcW w:w="118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80" w:type="dxa"/>
            <w:vAlign w:val="bottom"/>
          </w:tcPr>
          <w:p>
            <w:pPr>
              <w:spacing w:after="0"/>
              <w:rPr>
                <w:sz w:val="22"/>
                <w:szCs w:val="22"/>
                <w:color w:val="auto"/>
              </w:rPr>
            </w:pPr>
          </w:p>
        </w:tc>
        <w:tc>
          <w:tcPr>
            <w:tcW w:w="118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57"/>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Biotechnology, pharmaceutical, distributor and CRO</w:t>
            </w:r>
          </w:p>
        </w:tc>
        <w:tc>
          <w:tcPr>
            <w:tcW w:w="1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26,456</w:t>
            </w: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2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1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Distributors typically sell to end customers identified in other customer categories.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Events and Uncertainties</w:t>
      </w:r>
    </w:p>
    <w:p>
      <w:pPr>
        <w:spacing w:after="0" w:line="243"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Recent inflation trends may adversely affect our business and corresponding financial position and cash flows. Inflationary factors, such as increases in the cost of materials and supplies, labor and benefit costs and overhead costs may adversely affect our operating results. Although we do not believe that inflation has had a material impact on our financial position or results of operations to date, we may experience increases in the near future (especially if the rate of inflation increases) on our operating costs, including our labor costs and research and development costs, due to supply chain constraints, consequences associated with future public health crises, the ongoing conflict between Russia and Ukraine, conflict in the Middle East or liquidity concerns at, and failure of, banks and other financial institutions.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our pharmaceutical and biotech customers based in the United States have been impacted by the difficult fundraising environment for small companies and generally high interest rates. We believe these factors contributed to longer sales cycles, which adversely impacted our operating results for the three months ended March 31, 2025 and may adversely affect our operating results in the future.</w:t>
      </w: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strengthening of the U.S. dollar in early 2025 against the currencies of other countries where we do business had a negative impact on revenue in the first quarter of 2025 and may have a continuing negative impact in the near future.</w:t>
      </w:r>
    </w:p>
    <w:p>
      <w:pPr>
        <w:spacing w:after="0" w:line="175"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The Trump administration has signaled changes to existing U.S. trade policies, including imposing and announcing plans for reciprocal tariffs on all U.S. trading partners including China, and renegotiating or potentially terminating existing bilateral and multi-lateral trade agreements. In response,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Although we cannot predict the ultimate extent to which the United States or other countries will impose quotas, duties, reciprocal tariffs, taxes, or other similar restrictions upon the import or export of our products, nor can we predict future trade policy or the terms of any renegotiated trade agreements and their impact on our business, the Trump administration’s imposition of tariffs as well as threatened and actual retaliatory tariffs against U.S. goods may have a negative impact on our revenue and costs in the future.</w:t>
      </w:r>
    </w:p>
    <w:p>
      <w:pPr>
        <w:spacing w:after="0" w:line="22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new license and export controls announced by the U.S. government in January 2025 that impact exports of certain products and technology, including high-parameter and spectral flow cytometers and cell sorters and certain mass spectrometry equipment to certain countries, including China, may have a negative impact on our sales, manufacturing and research and development activities.</w:t>
      </w: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Finally, changes in the U.S. National Institutes of Health (“NIH”) policy with respect to grants for academic research, specifically, the reduction in indirect cost reimbursement, may impact our revenue from academic and government customers in the near term.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currently generate our total revenue, net from product revenue and service revenue.</w:t>
      </w:r>
    </w:p>
    <w:p>
      <w:pPr>
        <w:spacing w:after="0" w:line="11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Our product revenue primarily consists of sales of our instruments, including the Cytek Aurora, Northern Lights, Aurora CS, Amnis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Guava systems, instrument accessories, such as loaders, and consumables, such as reagents. We offer multiple versions of our FSP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7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our revenue to increase in absolute dollars as we expand our sales organization and sales territories, broaden our customer base, and expand awareness of our products with new and existing customers. Our revenue was $41.5 million and $44.9 million for the three months ended March 31, 2025 and 2024, respectively.</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total cost of sales is comprised of product cost of sales and service cost of sales.</w:t>
      </w:r>
    </w:p>
    <w:p>
      <w:pPr>
        <w:spacing w:after="0" w:line="11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Cost of sales associated with our products primarily consist of manufacturing-related costs incurred in the production process,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write-downs, warranty costs, third party royalty costs, personnel and related costs, costs of component materials, overhead, packaging and delivery and depreciation expense.</w:t>
      </w:r>
    </w:p>
    <w:p>
      <w:pPr>
        <w:spacing w:after="0" w:line="6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Cost of sales associated with our services primarily consists of personnel and related costs, expenses related to product replacements,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updates and qualification validation of our products and depreciation expense.</w:t>
      </w:r>
    </w:p>
    <w:p>
      <w:pPr>
        <w:spacing w:after="0" w:line="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operating expenses are primarily comprised of research and development, sales and marketing, and general and administrative expenses, depreciation and amortization, and related overhead.</w:t>
      </w:r>
    </w:p>
    <w:p>
      <w:pPr>
        <w:spacing w:after="0" w:line="52"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Our research and development expenses primarily consist of salaries, benefits, stock-based compensation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our research and development department, independent contractor costs, laboratory supplies, equipment maintenance and materials expenses.</w:t>
      </w:r>
    </w:p>
    <w:p>
      <w:pPr>
        <w:spacing w:after="0" w:line="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Research and development expense may increase in absolute dollars in future periods due to our continuing investment in product development.</w:t>
      </w:r>
    </w:p>
    <w:p>
      <w:pPr>
        <w:spacing w:after="0" w:line="5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consist primarily of salaries, benefits, and stock-based compensation costs for employees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sales and marketing department, sales commissions, marketing material costs, travel expenses and costs related to trade shows, trainings and various workshops. Sales and marketing expense may increase in absolute dollars in future periods.</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primarily consist of salaries, benefits, and stock-based compensation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our executive, accounting and finance, legal and human resource functions, as well as professional services fees, such as consulting, audit, tax, legal, general corporate costs and allocated overhead expenses. The Company is focused on controlling its general and administrative expenses; however, these may increase in absolute dollars in future periods.</w:t>
      </w:r>
    </w:p>
    <w:p>
      <w:pPr>
        <w:spacing w:after="0" w:line="7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these expenses to vary from period to period as a percentage of revenue. As a result, our historical results of operations may not be indicative of our results of operations in future periods.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accretion of the present value of the litigation settlement liability. See Note 11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unaudited interim consolidated financial statements included elsewhere in this Quarterly Report on Form 10-Q for further details regarding the settlement.</w:t>
      </w:r>
    </w:p>
    <w:p>
      <w:pPr>
        <w:spacing w:after="0" w:line="5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consists primarily of interest earned on our cash and cash equivalents which are invested in cash deposits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funds.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Our other income (expense), net consists primarily of foreign exchange gains and losses.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provision for (benefit from)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unaudited interim consolidated financial statements and related notes included elsewhere in this Quarterly Report on Form 10-Q.</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and comprehensive loss data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2"/>
                <w:szCs w:val="22"/>
                <w:color w:val="auto"/>
              </w:rPr>
            </w:pP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28,110</w:t>
            </w:r>
          </w:p>
        </w:tc>
        <w:tc>
          <w:tcPr>
            <w:tcW w:w="100" w:type="dxa"/>
            <w:vAlign w:val="bottom"/>
          </w:tcPr>
          <w:p>
            <w:pPr>
              <w:spacing w:after="0"/>
              <w:rPr>
                <w:sz w:val="22"/>
                <w:szCs w:val="22"/>
                <w:color w:val="auto"/>
              </w:rPr>
            </w:pPr>
          </w:p>
        </w:tc>
        <w:tc>
          <w:tcPr>
            <w:tcW w:w="74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34,122</w:t>
            </w: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13,347</w:t>
            </w: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4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41,457</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44,860</w:t>
            </w:r>
          </w:p>
        </w:tc>
        <w:tc>
          <w:tcPr>
            <w:tcW w:w="0" w:type="dxa"/>
            <w:vAlign w:val="bottom"/>
          </w:tcPr>
          <w:p>
            <w:pPr>
              <w:spacing w:after="0"/>
              <w:rPr>
                <w:sz w:val="1"/>
                <w:szCs w:val="1"/>
                <w:color w:val="auto"/>
              </w:rPr>
            </w:pPr>
          </w:p>
        </w:tc>
      </w:tr>
      <w:tr>
        <w:trPr>
          <w:trHeight w:val="24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15,529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4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21,300</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21,847</w:t>
            </w:r>
          </w:p>
        </w:tc>
        <w:tc>
          <w:tcPr>
            <w:tcW w:w="0" w:type="dxa"/>
            <w:vAlign w:val="bottom"/>
          </w:tcPr>
          <w:p>
            <w:pPr>
              <w:spacing w:after="0"/>
              <w:rPr>
                <w:sz w:val="1"/>
                <w:szCs w:val="1"/>
                <w:color w:val="auto"/>
              </w:rPr>
            </w:pPr>
          </w:p>
        </w:tc>
      </w:tr>
      <w:tr>
        <w:trPr>
          <w:trHeight w:val="256"/>
        </w:trPr>
        <w:tc>
          <w:tcPr>
            <w:tcW w:w="3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20,157</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23,013</w:t>
            </w: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9,725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0" w:type="dxa"/>
            <w:vAlign w:val="bottom"/>
          </w:tcPr>
          <w:p>
            <w:pPr>
              <w:spacing w:after="0"/>
              <w:rPr>
                <w:sz w:val="1"/>
                <w:szCs w:val="1"/>
                <w:color w:val="auto"/>
              </w:rPr>
            </w:pPr>
          </w:p>
        </w:tc>
      </w:tr>
      <w:tr>
        <w:trPr>
          <w:trHeight w:val="250"/>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12,509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12,898</w:t>
            </w: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35,132</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33,747</w:t>
            </w:r>
          </w:p>
        </w:tc>
        <w:tc>
          <w:tcPr>
            <w:tcW w:w="0" w:type="dxa"/>
            <w:vAlign w:val="bottom"/>
          </w:tcPr>
          <w:p>
            <w:pPr>
              <w:spacing w:after="0"/>
              <w:rPr>
                <w:sz w:val="1"/>
                <w:szCs w:val="1"/>
                <w:color w:val="auto"/>
              </w:rPr>
            </w:pPr>
          </w:p>
        </w:tc>
      </w:tr>
      <w:tr>
        <w:trPr>
          <w:trHeight w:val="256"/>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50"/>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4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0" w:type="dxa"/>
            <w:vAlign w:val="bottom"/>
          </w:tcPr>
          <w:p>
            <w:pPr>
              <w:spacing w:after="0"/>
              <w:rPr>
                <w:sz w:val="1"/>
                <w:szCs w:val="1"/>
                <w:color w:val="auto"/>
              </w:rPr>
            </w:pPr>
          </w:p>
        </w:tc>
      </w:tr>
      <w:tr>
        <w:trPr>
          <w:trHeight w:val="263"/>
        </w:trPr>
        <w:tc>
          <w:tcPr>
            <w:tcW w:w="3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4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5"/>
        </w:trPr>
        <w:tc>
          <w:tcPr>
            <w:tcW w:w="35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comprehensive loss</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tc>
        <w:tc>
          <w:tcPr>
            <w:tcW w:w="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net</w:t>
            </w:r>
          </w:p>
        </w:tc>
        <w:tc>
          <w:tcPr>
            <w:tcW w:w="4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34,122</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740" w:type="dxa"/>
            <w:vAlign w:val="bottom"/>
          </w:tcPr>
          <w:p>
            <w:pPr>
              <w:jc w:val="center"/>
              <w:ind w:left="138"/>
              <w:spacing w:after="0"/>
              <w:rPr>
                <w:sz w:val="20"/>
                <w:szCs w:val="20"/>
                <w:color w:val="auto"/>
              </w:rPr>
            </w:pPr>
            <w:r>
              <w:rPr>
                <w:rFonts w:ascii="Times New Roman" w:cs="Times New Roman" w:eastAsia="Times New Roman" w:hAnsi="Times New Roman"/>
                <w:sz w:val="16"/>
                <w:szCs w:val="16"/>
                <w:color w:val="auto"/>
              </w:rPr>
              <w:t>(6,012)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59"/>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4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13,347</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10,738</w:t>
            </w: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center"/>
              <w:ind w:left="178"/>
              <w:spacing w:after="0"/>
              <w:rPr>
                <w:sz w:val="20"/>
                <w:szCs w:val="20"/>
                <w:color w:val="auto"/>
              </w:rPr>
            </w:pPr>
            <w:r>
              <w:rPr>
                <w:rFonts w:ascii="Times New Roman" w:cs="Times New Roman" w:eastAsia="Times New Roman" w:hAnsi="Times New Roman"/>
                <w:sz w:val="16"/>
                <w:szCs w:val="16"/>
                <w:color w:val="auto"/>
                <w:w w:val="99"/>
              </w:rPr>
              <w:t>2,609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3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44,860</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tcPr>
          <w:p>
            <w:pPr>
              <w:jc w:val="center"/>
              <w:ind w:left="138"/>
              <w:spacing w:after="0"/>
              <w:rPr>
                <w:sz w:val="20"/>
                <w:szCs w:val="20"/>
                <w:color w:val="auto"/>
              </w:rPr>
            </w:pPr>
            <w:r>
              <w:rPr>
                <w:rFonts w:ascii="Times New Roman" w:cs="Times New Roman" w:eastAsia="Times New Roman" w:hAnsi="Times New Roman"/>
                <w:sz w:val="16"/>
                <w:szCs w:val="16"/>
                <w:color w:val="auto"/>
              </w:rPr>
              <w:t>(3,403)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Total revenue, net decreased by $3.4 million to $41.5 million, or 8%, for the three months ended March 31, 2025 as compared to the three months ended March 31, 2024.</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Product revenue decreased by $6.0 million to $28.1 million, or 18%, for the three months ended March 31, 2025, as compared to the three months ended March 31, 2024 due to lower revenue in EMEA and the United States offset partially by growth in the APAC market, particularly in China.</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Service revenue increased $2.6 million to $13.3 million, or 24% for the three months ended March 31, 2025, as compared to the three months ended March 31, 2024. The increase was primarily due to continued growth of the installed base with the related increase in service contracts and maintenance activity.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4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ind w:right="76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ind w:right="742"/>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360" w:type="dxa"/>
            <w:vAlign w:val="bottom"/>
          </w:tcPr>
          <w:p>
            <w:pPr>
              <w:jc w:val="right"/>
              <w:ind w:right="82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9"/>
        </w:trPr>
        <w:tc>
          <w:tcPr>
            <w:tcW w:w="3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Product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15,529</w:t>
            </w:r>
          </w:p>
        </w:tc>
        <w:tc>
          <w:tcPr>
            <w:tcW w:w="10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16,746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46"/>
        </w:trPr>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5,771</w:t>
            </w: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5,101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21,300</w:t>
            </w:r>
          </w:p>
        </w:tc>
        <w:tc>
          <w:tcPr>
            <w:tcW w:w="100" w:type="dxa"/>
            <w:vAlign w:val="bottom"/>
          </w:tcPr>
          <w:p>
            <w:pPr>
              <w:spacing w:after="0"/>
              <w:rPr>
                <w:sz w:val="17"/>
                <w:szCs w:val="17"/>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21,847</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20,157</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23,013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cost of sales decreased by $0.5 million, or 3%, for the three months ended March 31, 2025 as compared to the three months ended March 31, 2024. The decrease in cost of sales was driven primarily by decreases in product revenue, offset by higher cost for service parts used in the field and higher overhead costs in three months ended March 31, 2025.</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gross profit margin was 49% and 51% of total revenue for the three months ended March 31, 2025 and 2024, respectively. Gross profit margin declined due to higher cost of sales driven by the factors described above. Gross profit margin depends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80" w:type="dxa"/>
            <w:vAlign w:val="bottom"/>
            <w:gridSpan w:val="3"/>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3"/>
          </w:tcPr>
          <w:p>
            <w:pPr>
              <w:ind w:left="13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360" w:type="dxa"/>
            <w:vAlign w:val="bottom"/>
          </w:tcPr>
          <w:p>
            <w:pPr>
              <w:spacing w:after="0"/>
              <w:rPr>
                <w:sz w:val="14"/>
                <w:szCs w:val="14"/>
                <w:color w:val="auto"/>
              </w:rPr>
            </w:pPr>
          </w:p>
        </w:tc>
      </w:tr>
      <w:tr>
        <w:trPr>
          <w:trHeight w:val="29"/>
        </w:trPr>
        <w:tc>
          <w:tcPr>
            <w:tcW w:w="3420" w:type="dxa"/>
            <w:vAlign w:val="bottom"/>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7"/>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360" w:type="dxa"/>
            <w:vAlign w:val="bottom"/>
          </w:tcPr>
          <w:p>
            <w:pPr>
              <w:jc w:val="right"/>
              <w:ind w:right="822"/>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9"/>
        </w:trPr>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10"/>
        </w:trPr>
        <w:tc>
          <w:tcPr>
            <w:tcW w:w="3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28,110</w:t>
            </w:r>
          </w:p>
        </w:tc>
        <w:tc>
          <w:tcPr>
            <w:tcW w:w="100" w:type="dxa"/>
            <w:vAlign w:val="bottom"/>
          </w:tcPr>
          <w:p>
            <w:pPr>
              <w:spacing w:after="0"/>
              <w:rPr>
                <w:sz w:val="18"/>
                <w:szCs w:val="18"/>
                <w:color w:val="auto"/>
              </w:rPr>
            </w:pPr>
          </w:p>
        </w:tc>
        <w:tc>
          <w:tcPr>
            <w:tcW w:w="1180" w:type="dxa"/>
            <w:vAlign w:val="bottom"/>
          </w:tcPr>
          <w:p>
            <w:pPr>
              <w:jc w:val="right"/>
              <w:ind w:right="1003"/>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34,122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1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15,529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0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Product gross profit</w:t>
            </w:r>
          </w:p>
        </w:tc>
        <w:tc>
          <w:tcPr>
            <w:tcW w:w="1100" w:type="dxa"/>
            <w:vAlign w:val="bottom"/>
            <w:tcBorders>
              <w:top w:val="single" w:sz="8" w:color="auto"/>
            </w:tcBorders>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12,581</w:t>
            </w:r>
          </w:p>
        </w:tc>
        <w:tc>
          <w:tcPr>
            <w:tcW w:w="100" w:type="dxa"/>
            <w:vAlign w:val="bottom"/>
          </w:tcPr>
          <w:p>
            <w:pPr>
              <w:spacing w:after="0"/>
              <w:rPr>
                <w:sz w:val="17"/>
                <w:szCs w:val="17"/>
                <w:color w:val="auto"/>
              </w:rPr>
            </w:pPr>
          </w:p>
        </w:tc>
        <w:tc>
          <w:tcPr>
            <w:tcW w:w="1180" w:type="dxa"/>
            <w:vAlign w:val="bottom"/>
            <w:tcBorders>
              <w:top w:val="single" w:sz="8" w:color="auto"/>
            </w:tcBorders>
          </w:tcPr>
          <w:p>
            <w:pPr>
              <w:jc w:val="right"/>
              <w:ind w:right="1003"/>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17,376</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(4,795)</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70"/>
        </w:trPr>
        <w:tc>
          <w:tcPr>
            <w:tcW w:w="3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3"/>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1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10"/>
        </w:trPr>
        <w:tc>
          <w:tcPr>
            <w:tcW w:w="3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13,347</w:t>
            </w:r>
          </w:p>
        </w:tc>
        <w:tc>
          <w:tcPr>
            <w:tcW w:w="100" w:type="dxa"/>
            <w:vAlign w:val="bottom"/>
          </w:tcPr>
          <w:p>
            <w:pPr>
              <w:spacing w:after="0"/>
              <w:rPr>
                <w:sz w:val="18"/>
                <w:szCs w:val="18"/>
                <w:color w:val="auto"/>
              </w:rPr>
            </w:pPr>
          </w:p>
        </w:tc>
        <w:tc>
          <w:tcPr>
            <w:tcW w:w="1180" w:type="dxa"/>
            <w:vAlign w:val="bottom"/>
          </w:tcPr>
          <w:p>
            <w:pPr>
              <w:jc w:val="right"/>
              <w:ind w:right="1003"/>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10,738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24 %</w:t>
            </w: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1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5,771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13 %</w:t>
            </w:r>
          </w:p>
        </w:tc>
      </w:tr>
      <w:tr>
        <w:trPr>
          <w:trHeight w:val="20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 gross profit (loss)</w:t>
            </w:r>
          </w:p>
        </w:tc>
        <w:tc>
          <w:tcPr>
            <w:tcW w:w="1100" w:type="dxa"/>
            <w:vAlign w:val="bottom"/>
            <w:tcBorders>
              <w:top w:val="single" w:sz="8" w:color="auto"/>
            </w:tcBorders>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7,576</w:t>
            </w:r>
          </w:p>
        </w:tc>
        <w:tc>
          <w:tcPr>
            <w:tcW w:w="100" w:type="dxa"/>
            <w:vAlign w:val="bottom"/>
          </w:tcPr>
          <w:p>
            <w:pPr>
              <w:spacing w:after="0"/>
              <w:rPr>
                <w:sz w:val="17"/>
                <w:szCs w:val="17"/>
                <w:color w:val="auto"/>
              </w:rPr>
            </w:pPr>
          </w:p>
        </w:tc>
        <w:tc>
          <w:tcPr>
            <w:tcW w:w="1180" w:type="dxa"/>
            <w:vAlign w:val="bottom"/>
            <w:tcBorders>
              <w:top w:val="single" w:sz="8" w:color="auto"/>
            </w:tcBorders>
          </w:tcPr>
          <w:p>
            <w:pPr>
              <w:jc w:val="right"/>
              <w:ind w:right="1003"/>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5,637</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34 %</w:t>
            </w: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33"/>
        </w:trPr>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Product revenue for the three months ended March 31, 2025 decreased by 18% as compared to the three months ended March 31, 2024. Product cost of sales for the three months ended March 31, 2025 decreased by 7% as compared to the same period in 2024. Product gross profit for the three months ended March 31, 2025 decreased 28% as compared to the three months ended March 31, 2024. The lower product gross profit margins in the three months ended March 31, 2025 compared to the three months ended March 31, 2024 were driven primarily by lower product revenue partially offset by lower material costs, and higher manufacturing material and overhead costs.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Service revenue for the three months ended March 31, 2025 increased 24% as compared to the three months ended March 31, 2024. Service cost of sales for the three months ended March 31, 2025 increased by 13% as compared to the same period in 2024. Service gross profit for the three months ended March 31, 2025 increased 34% as compared to the three months ended March 31, 2024. The higher service gross margins in the three months ended March 31, 2025 compared to the three months ended March 31, 2024 were mainly driven by operating efficiencies gained from leveraging operating costs over greater revenues.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4"/>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20" w:type="dxa"/>
            <w:vAlign w:val="bottom"/>
            <w:gridSpan w:val="2"/>
            <w:vMerge w:val="continue"/>
          </w:tcPr>
          <w:p>
            <w:pPr>
              <w:spacing w:after="0"/>
              <w:rPr>
                <w:sz w:val="16"/>
                <w:szCs w:val="16"/>
                <w:color w:val="auto"/>
              </w:rPr>
            </w:pPr>
          </w:p>
        </w:tc>
        <w:tc>
          <w:tcPr>
            <w:tcW w:w="122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CEEFF"/>
          </w:tcPr>
          <w:p>
            <w:pPr>
              <w:jc w:val="right"/>
              <w:ind w:right="104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$9.7 million for the three months ended March 31, 2025 as compared to $9.8 million for the three months ended March 31, 2024.</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00" w:type="dxa"/>
            <w:vAlign w:val="bottom"/>
            <w:gridSpan w:val="2"/>
            <w:vMerge w:val="continue"/>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tcPr>
          <w:p>
            <w:pPr>
              <w:jc w:val="right"/>
              <w:ind w:right="82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shd w:val="clear" w:color="auto" w:fill="CCEEFF"/>
          </w:tcPr>
          <w:p>
            <w:pPr>
              <w:jc w:val="right"/>
              <w:ind w:right="1025"/>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12,509</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12,543</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Sales and marketing expenses were $12.5 million for the three months ended March 31, 2025 as compared to $12.5 million for the three months ended March 31, 2024.</w:t>
      </w:r>
    </w:p>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gridSpan w:val="2"/>
            <w:vMerge w:val="continue"/>
          </w:tcPr>
          <w:p>
            <w:pPr>
              <w:spacing w:after="0"/>
              <w:rPr>
                <w:sz w:val="16"/>
                <w:szCs w:val="16"/>
                <w:color w:val="auto"/>
              </w:rPr>
            </w:pP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ind w:right="82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shd w:val="clear" w:color="auto" w:fill="CCEEFF"/>
          </w:tcPr>
          <w:p>
            <w:pPr>
              <w:jc w:val="right"/>
              <w:ind w:right="100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11,408</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$12.9 million for the three months ended March 31, 2025 as compared to $11.4 million for the three months ended March 31, 2024. The increase of $1.5 million in general and administrative expenses was primarily due to an increase in outside service expenses and higher compensation related to increased headcount.</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While we are focused on controlling our general and administrative expenses, these may increase in absolute dollars in future periods to provide the infrastructure necessary to support the growth of the business.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4"/>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20" w:type="dxa"/>
            <w:vAlign w:val="bottom"/>
            <w:gridSpan w:val="2"/>
            <w:vMerge w:val="continue"/>
          </w:tcPr>
          <w:p>
            <w:pPr>
              <w:spacing w:after="0"/>
              <w:rPr>
                <w:sz w:val="16"/>
                <w:szCs w:val="16"/>
                <w:color w:val="auto"/>
              </w:rPr>
            </w:pPr>
          </w:p>
        </w:tc>
        <w:tc>
          <w:tcPr>
            <w:tcW w:w="124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6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6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1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33"/>
        </w:trPr>
        <w:tc>
          <w:tcPr>
            <w:tcW w:w="3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expense was $0.3 million for the three months ended March 31, 2025 as compared to $0.4 million for the three months ended March 31, 2024. The decrease was mainly due to the adjustment to the settlement liability related to the settlement agreement with Becton, Dickinson and Company (“BD”). See Note 11 to our unaudited interim consolidated financial statements included elsewhere in this Quarterly Report on Form 10-Q for further details.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4"/>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20" w:type="dxa"/>
            <w:vAlign w:val="bottom"/>
            <w:gridSpan w:val="2"/>
            <w:vMerge w:val="continue"/>
          </w:tcPr>
          <w:p>
            <w:pPr>
              <w:spacing w:after="0"/>
              <w:rPr>
                <w:sz w:val="16"/>
                <w:szCs w:val="16"/>
                <w:color w:val="auto"/>
              </w:rPr>
            </w:pPr>
          </w:p>
        </w:tc>
        <w:tc>
          <w:tcPr>
            <w:tcW w:w="128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2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income was $0.5 million for the three months ended March 31, 2025 as compared to $1.4 million for the three months ended March 31, 2024. The decrease in interest income was the result of lower average balance of cash and cash equivalents and short-term investments as compared to the three months ended March 31, 2024 due to the transfer of funds from cash accounts to marketable securities accounts, the income from which is classified as investment income, included in Other income, net, rather than interest income, and a lower interest rate environment.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4"/>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gridSpan w:val="2"/>
            <w:vMerge w:val="continue"/>
          </w:tcPr>
          <w:p>
            <w:pPr>
              <w:spacing w:after="0"/>
              <w:rPr>
                <w:sz w:val="16"/>
                <w:szCs w:val="16"/>
                <w:color w:val="auto"/>
              </w:rPr>
            </w:pPr>
          </w:p>
        </w:tc>
        <w:tc>
          <w:tcPr>
            <w:tcW w:w="122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tcPr>
          <w:p>
            <w:pPr>
              <w:jc w:val="right"/>
              <w:ind w:right="82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4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1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324 %</w:t>
            </w:r>
          </w:p>
        </w:tc>
        <w:tc>
          <w:tcPr>
            <w:tcW w:w="0" w:type="dxa"/>
            <w:vAlign w:val="bottom"/>
          </w:tcPr>
          <w:p>
            <w:pPr>
              <w:spacing w:after="0"/>
              <w:rPr>
                <w:sz w:val="1"/>
                <w:szCs w:val="1"/>
                <w:color w:val="auto"/>
              </w:rPr>
            </w:pPr>
          </w:p>
        </w:tc>
      </w:tr>
      <w:tr>
        <w:trPr>
          <w:trHeight w:val="33"/>
        </w:trPr>
        <w:tc>
          <w:tcPr>
            <w:tcW w:w="3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was $3.5 million for the three months ended March 31, 2025, as compared to other income, net of $0.8 million for the three months ended March 31, 2024. The increase in other income was primarily driven by an increase in realized and unrealized foreign exchange gains of $1.3 million in the three months ended March 31, 2025, compared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exchange losses of $1.1 million in the three months ended March 31, 2024, and an increase in investment income of $0.3 million in the current quarter.</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gridSpan w:val="3"/>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3"/>
        </w:trPr>
        <w:tc>
          <w:tcPr>
            <w:tcW w:w="3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Provision for income taxes was $0.1 million for the three months ended March 31, 2025 as compared to a benefit from income taxes of $2.8 million for the three months ended March 31, 2024. The net increase of $2.96 million for the three months ended March 31, 2025 was primarily due to a lower effective tax rate as a result of a projected net loss for 2025 which caused permanently nondeductible items to decrease the effective tax rate as opposed to increasing the effective tax rate for the same quarter in 2024.</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date, our primary sources of capital have been through sales of our securities and revenue from the sale of our products and services. As of March 31, 2025 and December 31, 2024, we had approximately $265.6 million and $277.9 million, respectively, in cash and cash equivalents and short term investments, which were primarily held in U.S. short-term bank deposit accounts, money market funds, U.S. Treasury notes, Federal agency security notes, and short term commercial paper.</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Funding and material cash requirements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currently anticipate making additional capital expenditures during the next 12 months, which is expected to primarily include equipment to be used for manufacturing and investment in research and development.</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we lease certain office facilities under operating lease arrangements that expire on various dates through fiscal year 2029. Under the terms of the leases, we are responsible for certain expenses related to operations, maintenance, repairs and management fees. Future minimum lease payments under non-cancelable operating leases totaled $11.6 million as of March 31, 2025.</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26, 2022, we entered into a sales agreement (the “Sales Agreement”) with Piper Sandler &amp; Co. (“Piper”) as sales agent to sell from time to time up to $150 million of our common stock through an “at the market” offering program. To date, we have not made any sales of common stock pursuant to the Sales Agreement. The securities in this transaction were offered pursuant to an automatic shelf registration statement on Form S-3ASR (File No. 333-267118) that was filed with the SEC on August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51"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8"/>
              </w:rPr>
              <w:t>3,957</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(5,754)</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8"/>
              </w:rPr>
              <w:t>1,613</w:t>
            </w:r>
          </w:p>
        </w:tc>
      </w:tr>
      <w:tr>
        <w:trPr>
          <w:trHeight w:val="257"/>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8"/>
              </w:rPr>
              <w:t>1,695</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8"/>
                <w:szCs w:val="18"/>
                <w:color w:val="auto"/>
                <w:w w:val="93"/>
              </w:rPr>
              <w:t>1,511</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$0.1 million, which included a net loss of $11.4 million, a decrease in accrued expenses and other liabilities of $2.1 million, and loss on investments, accretion and amortization, net of $1.5 million. Additionally, there was an increase of $1.5 million in inventories and a decrease of operating lease liabilities of $1.0 million. Cash used in operating activities during the period was partially offset by the non-cash provision for stock-based compensation expense, depreciation and amortization, amortization of right-of-use assets, and excess and obsolete inventory of $6.6 million, $1.9 million, $1.0 million, and $0.3 million, respectively. Additionally, trade accounts receivable decreased by $6.4 million due to seasonality, with our first quarter typically being lower than our fourth quarter.</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2024 was $4.0 million due to the non-cash provision for stock-based compensation expense, depreciation and amortization, excess and obsolete inventory and amortization of right-of-use assets of $5.6 million, $1.7 million, $0.9 million, and $0.8 million, respectively; partially offset by a gain on investments, accretion and amortization, net of $1.2 million. Additionally, there was a decrease of inventories of $4.8 million and a decrease of trade accounts receivable of $4.2 million due to seasonality with our first quarter typically being lower than our fourth quarter. These were partially offset by cash used in operating activities during the period, which included a net loss of $6.2 million and an increase in accrued expenses and other liabilities of $4.6 million.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2025 was $9.5 million driven by proceeds from maturities of marketable securities of $70.4 million, partially offset by purchases of marketable securities of $60.2 million and purchases of fixed assets and intangibles of approximately $0.9 million.</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2024 was $5.8 million driven by purchases of marketable securities of $77.1 million, partially offset by the proceeds from maturities of marketable securities of $72.0 million and purchase of fixed assets and intangibles of approximately $0.6 million.</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2025 was $11.5 million driven by the payments for repurchase of shares of $10.6 million and repayment of loan of $1.5 million, partially offset by the proceeds from a line of credit of $0.7 million.</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2024 was $1.6 million driven by the proceeds from a line of credit of $1.4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there were no material changes to our contractual obligations and commitments from those described under “Management’s Discussion and Analysis of Financial Condition” which is contained in our Form 10-K and filed with the SEC on February 28, 2025.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December 31, 2024 included in our Annual Report on Form 10-K filed with the SEC on February 28, 2025. There were no material changes to our critical accounting policies during the three months ended March 31, 2025.</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interim consolidated financial statements included in Part I, Item 1, of this Quarterly Report on Form 10-Q, which information is incorporated herein by reference.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condition represents the potential loss arising from adverse changes in interest rates or exchange rates. As of March 31, 2025, we had approximately $266 million in cash and cash equivalents and short-term investments, which were primarily held in U.S. short-term bank deposit accounts, money market funds, U.S. Treasury notes, Federal agency security notes, and short-term commercial paper. The primary objective of our investment is to preserve principal and provide liquidity. These money market funds and bank deposits generate interest income at variable rates.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do not believe that either inflation or foreign currency risk had a material effect on our business, financial condition, or results of operations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controls, our disclosure controls and procedures were not effective as of March 31,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our financial statement close process for the year ended December 31, 2024, we identified deficiencies in the control environment and control activities components of the Committee of Sponsoring Organizations (“COSO”) framework that constitute material weaknesses, either individually or in the aggregate.</w:t>
      </w:r>
    </w:p>
    <w:p>
      <w:pPr>
        <w:spacing w:after="0" w:line="68" w:lineRule="exact"/>
        <w:rPr>
          <w:sz w:val="20"/>
          <w:szCs w:val="20"/>
          <w:color w:val="auto"/>
        </w:rPr>
      </w:pPr>
    </w:p>
    <w:p>
      <w:pPr>
        <w:jc w:val="both"/>
        <w:ind w:left="980" w:hanging="486"/>
        <w:spacing w:after="0" w:line="261"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environment – Management did not maintain an effective control environment based on the criteria established in the COSO framework and identified deficiencies in the principles associated with the control environment of the COSO framework. Specifically, the Company’s resources within its accounting and IT function require additional time to perform their assigned responsibilities for a sufficient period of time to evidence an effective control environment.</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2" w:lineRule="auto"/>
        <w:tabs>
          <w:tab w:leader="none" w:pos="9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activities – Management did not design and implement effective control activities based on the criteria established in the COSO framework and identified deficiencies in the principles associated with the control activities component of the COSO framework. Specifically, these related to: (i) selecting and developing control activities that contribute to the mitigation of risks and support achievement of objectives;</w:t>
      </w:r>
    </w:p>
    <w:p>
      <w:pPr>
        <w:jc w:val="both"/>
        <w:ind w:left="980"/>
        <w:spacing w:after="0" w:line="246" w:lineRule="auto"/>
        <w:tabs>
          <w:tab w:leader="none" w:pos="12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spacing w:after="0" w:line="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material weaknesses were contributing factors: (i) inadequate general information technology controls (“GITCs”) in the areas of access security and program change-management over certain information technology systems that support the Company’s financial reporting processes. Some of our business process controls (automated and manual) are dependent on the affected GITCs; they too were deemed ineffective because they could have been adversely impacted; and (ii) ineffective design and/or review procedures for journal entries and balance sheet account reconciliations.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and Status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remain committed to remediating the control deficiencies that constituted the above material weaknesses by continuing to enhance our internal control over financial reporting. Management has put in place measures aimed at addressing these deficiencies to ensure the material weaknesses are remediated. such that these controls are designed, implemented and operating effectively. Throughout the three months ended March 31, 2025, we have executed, and we will continue to execute the following steps intended to remediate the material weaknesses described above and strengthen our internal control over financial reporting:</w:t>
      </w:r>
    </w:p>
    <w:p>
      <w:pPr>
        <w:spacing w:after="0" w:line="75" w:lineRule="exact"/>
        <w:rPr>
          <w:sz w:val="20"/>
          <w:szCs w:val="20"/>
          <w:color w:val="auto"/>
        </w:rPr>
      </w:pPr>
    </w:p>
    <w:p>
      <w:pPr>
        <w:jc w:val="both"/>
        <w:ind w:left="980" w:hanging="486"/>
        <w:spacing w:after="0" w:line="258"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augmented our workforce with qualified personnel in both our accounting and information technology functions. We have appointed personnel that are qualified to assume responsibility for the design and operation of internal control over financial reporting and monitor the progress for remediation.</w:t>
      </w:r>
    </w:p>
    <w:p>
      <w:pPr>
        <w:spacing w:after="0" w:line="61"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revise and improve the design of our controls, implement reviews and monitor the effectiveness of our internal control environment with external consultants with subject matter expertise, including GITCs.</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an ongoing process to revise and implement new controls, update documentation.</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expand education and training, enforce accountability, and strengthen supervisory reviews by our management.</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focus on control execution and monitoring internal controls within our revenue and inventory processes.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further strengthen GITCs related to financial accounting and reporting systems including implementing monitoring controls as appropriate. We invested in redesigning of our IT systems in 2024 through early 2025 to get those systems in compliance.</w:t>
      </w:r>
    </w:p>
    <w:p>
      <w:pPr>
        <w:spacing w:after="0" w:line="68"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taking actions to remediate the material weaknesses relating to our internal control over financial reporting. Other than the changes intended to remediate the material weaknesses noted above, there was no change in our internal control over financial reporting that occurred during the quarter ended March 31, 2025 that materially affected, or were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claims. See Note 18 to our unaudited interim consolidated financial statements included elsewhere in this Quarterly Report on Form 10-Q for information regarding ongoing legal proceedings.</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75" w:lineRule="exact"/>
        <w:rPr>
          <w:sz w:val="20"/>
          <w:szCs w:val="20"/>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a limited number of product offerings. Our revenue has been primarily generated from sales of our core Cytek Aurora, Northern Lights and Aurora cell sorter (“Aurora CS”) systems, which require a substantial sales cycle and are prone to quarterly fluctuations in revenue.</w:t>
      </w:r>
    </w:p>
    <w:p>
      <w:pPr>
        <w:spacing w:after="0" w:line="61"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single source suppliers and, in some cases, sole source suppliers, for certain components and materials used in our systems and, other than our agreement with Coherent NA, Inc. (“Coherent”), we do not currently have long-term supply contracts with our sole and single source suppliers of key components. As a result, we may not be able to find replacements or immediately transition to alternative suppliers, which could have an adverse effect on our business, financial condition and results of operations.</w:t>
      </w:r>
    </w:p>
    <w:p>
      <w:pPr>
        <w:spacing w:after="0" w:line="8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will be harmed if we are unable to accurately forecast customer demand for our products and manage our inventory.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and expansion of our international business exposes us to business, regulatory, political, operational, financial and economic risks associated with doing business outside of the United States.</w:t>
      </w:r>
    </w:p>
    <w:p>
      <w:pPr>
        <w:spacing w:after="0" w:line="189"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or other government trade policies may materially adversely affect our business and results of operations, including by reducing demand for our products.</w:t>
      </w:r>
    </w:p>
    <w:p>
      <w:pPr>
        <w:spacing w:after="0" w:line="67"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controls and sanctions programs that could impair our ability to compete in international markets due to licensing requirements and subject us to liability if we are not in compliance with applicable laws.</w:t>
      </w:r>
    </w:p>
    <w:p>
      <w:pPr>
        <w:spacing w:after="0" w:line="54"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limited experience manufacturing our products, and if we are unable to manufacture our products in high-quality commercial quantities successfully and consistently to meet demand, our growth will be limited.</w:t>
      </w:r>
    </w:p>
    <w:p>
      <w:pPr>
        <w:spacing w:after="0" w:line="67" w:lineRule="exact"/>
        <w:rPr>
          <w:rFonts w:ascii="Times New Roman" w:cs="Times New Roman" w:eastAsia="Times New Roman" w:hAnsi="Times New Roman"/>
          <w:sz w:val="18"/>
          <w:szCs w:val="18"/>
          <w:b w:val="1"/>
          <w:bCs w:val="1"/>
          <w:i w:val="1"/>
          <w:iCs w:val="1"/>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is dependent upon our ability to increase penetration in our existing markets and expand into adjacent markets.</w:t>
      </w:r>
    </w:p>
    <w:p>
      <w:pPr>
        <w:spacing w:after="0" w:line="103"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adoption of our products by academic and government institutions, clinical research organizations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w:t>
      </w:r>
    </w:p>
    <w:p>
      <w:pPr>
        <w:spacing w:after="0" w:line="69"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40"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61"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67"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develop and successfully introduce new and enhanced products that meet the needs of our customers.</w:t>
      </w:r>
    </w:p>
    <w:p>
      <w:pPr>
        <w:spacing w:after="0" w:line="54"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development involves a lengthy and complex process, and we may be unable to develop or commercialize products on a timely basis, or at all.</w:t>
      </w:r>
    </w:p>
    <w:p>
      <w:pPr>
        <w:spacing w:after="0" w:line="40"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61"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67"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5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40"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980" w:hanging="486"/>
        <w:spacing w:after="0" w:line="25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existing operations, develop our products and/or expand our operations.</w:t>
      </w:r>
    </w:p>
    <w:p>
      <w:pPr>
        <w:spacing w:after="0" w:line="10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40"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subject to more onerous regulation by the U.S. Food and Drug Administration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61"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82" w:lineRule="exact"/>
        <w:rPr>
          <w:rFonts w:ascii="Times New Roman" w:cs="Times New Roman" w:eastAsia="Times New Roman" w:hAnsi="Times New Roman"/>
          <w:sz w:val="18"/>
          <w:szCs w:val="18"/>
          <w:color w:val="auto"/>
        </w:rPr>
      </w:pPr>
    </w:p>
    <w:p>
      <w:pPr>
        <w:jc w:val="both"/>
        <w:ind w:left="980" w:hanging="486"/>
        <w:spacing w:after="0" w:line="244"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of our common stock among our executive officers, directors, principal stockholders and their respective affiliates may prevent new investors from influencing significant corporate decisions. Based on shares outstanding as of March 31, 2025, our executive officers, directors, holders of 5% or more of our common stock and their respective affiliates (based on filings with the U.S. Securities and Exchange Commission (the “SEC”)), in the aggregate, own approximately 45.4% of our common stock. These stockholders, acting together, will be able to significantly influence all matters requiring stockholder approval, including the election and removal of directors and any merger or other significant corporate transaction.</w:t>
      </w:r>
    </w:p>
    <w:p>
      <w:pPr>
        <w:spacing w:after="0" w:line="87"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 and services, limit their use or adoption, and otherwise negatively affect our operating results and business.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and may encounter unforeseen expenses, difficulties, complications, delays and other known and unknown obstacles. We launched our first core commercial product, the Cytek Aurora system, in June 2017. Our Northern Lights system was commercially launched in October 2018, and our Aurora CS system was first commercially shipped in June 2021. Our limited commercial and operating history makes it difficult to evaluate our current business and predict our future performance. Although we have experienced significant revenue growth in prior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a limited number of product offerings. Our revenue has been primarily generated from sales of our core Cytek Aurora, Northern Lights and Aurora CS systems, which require a substantial sales cycle and are prone to quarterly fluctuations in revenue.</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of the Cytek Aurora, Northern Lights and Aurora CS systems together accounted for a substantial portion of our revenue for the periods presented in this Quarterly Report on Form 10-Q. We expect that, for at least the foreseeable future, sales of our Cytek Aurora, Northern Lights and Aurora CS systems will continue to account for a substantial portion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our revenue. The sales cycle for our instruments is slow and can take up to six months or longer to complete. As a result of this lengthy and unpredictable sales cycle, we will be prone to quarterly fluctuations in our revenue as sales of the Cytek Aurora, Northern Lights and Aurora CS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sourced and will continue to source certain components of the Cytek Aurora, Northern Lights and Aurora CS systems from a limited number of suppliers and, in some cases, sole source suppliers. Key components in our products that are supplied by sole or single source suppliers include certain lasers and semiconductors that are used in our optical, electrical and fluidic subassemblies. On August 25, 2021, we and Cytek (Wuxi) Biosciences Co., Ltd, our Wuxi, China subsidiary, (“Cytek Wuxi”) into a Supply Agreement (the “Coherent Agreement”) with Coherent. Pursuant to the Coherent Agreement, Coherent has agreed to sell and supply to us and Cytek Wuxi, on a non-exclusive basis, laser products manufactured by Coherent. We and Cytek Wuxi provide Coherent with rolling forecasts of our and Cytek Wuxi’s anticipated orders, which are non-binding. Purchase orders submitted by us and Cytek Wuxi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Supply interruptions have in the past arisen and could arise in the future as a result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harmed if we are unable to accurately forecast customer demand for our products and manage our inventory.</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5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the United States, China and Singapore. Doing business internationally involves a number of risks, including:</w:t>
      </w:r>
    </w:p>
    <w:p>
      <w:pPr>
        <w:spacing w:after="0" w:line="69" w:lineRule="exact"/>
        <w:rPr>
          <w:sz w:val="20"/>
          <w:szCs w:val="20"/>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40"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distributors to obtain approvals to conduct our business in various countries;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intellectual property rights;</w:t>
      </w:r>
    </w:p>
    <w:p>
      <w:pPr>
        <w:spacing w:after="0" w:line="117"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enforcing our intellectual property and defending against third-party intellectual property claims;</w:t>
      </w:r>
    </w:p>
    <w:p>
      <w:pPr>
        <w:spacing w:after="0" w:line="5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systems and parts and components for our products, as well as transportation delays;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 that limit the ability of marketing, presales, sales, services and support teams to service customers;</w:t>
      </w:r>
    </w:p>
    <w:p>
      <w:pPr>
        <w:spacing w:after="0" w:line="10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40"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that could result in tariffs and other protective measures;</w:t>
      </w:r>
    </w:p>
    <w:p>
      <w:pPr>
        <w:spacing w:after="0" w:line="10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such as the ongoing war in Ukraine, conflict in the Middle East, outbreak of disease, boycotts, curtailment of trade and other business restrictions;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68"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 For more information, please see “Risks Related to Government Regulation and Our Industry” below.</w:t>
      </w:r>
    </w:p>
    <w:p>
      <w:pPr>
        <w:spacing w:after="0" w:line="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Tariffs or other government trade policies may materially adversely affect our business and results of operations, including by reducing demand for our products.</w:t>
      </w:r>
    </w:p>
    <w:p>
      <w:pPr>
        <w:spacing w:after="0" w:line="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 response,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These developments have created a dynamic and unpredictable trade landscape, which may adversely impact our business, results of operations, financial condition and prospects.</w:t>
      </w:r>
    </w:p>
    <w:p>
      <w:pPr>
        <w:spacing w:after="0" w:line="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imposition of tariffs and trade restrictions as a result of international trade disputes or changes in trade policies may adversely affect our sales and profitability. For example, our components are subject to the most recent tariffs, which may increase our manufacturing costs and could make our products less competitive than those of our competitors whose inputs are not subject to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In addition, certain Chinese biotechnology companies and contract manufacturing organizations may become subject to trade restrictions, sanctions, other regulatory requirements, or proposed legislation by the U.S. government, which could restrict or even prohibit our ability to work with such entities, thereby potentially disrupting the supply of material to our Wuxi facility. Such disruption could have adverse effects on the development of our product candidates and our business operations.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access the capital markets or other financing sources, results of operations, financial condition and prospects. In addition, tariffs and other trade developments have and may continue to heighten the risks related to the other risk factors described in this Quarterly Report on Form 10-Q.</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sanctions programs that could impair our ability to compete in international markets due to licensing requirements and subject us to liability if we are not in compliance with applicable laws.</w:t>
      </w:r>
    </w:p>
    <w:p>
      <w:pPr>
        <w:spacing w:after="0" w:line="63" w:lineRule="exact"/>
        <w:rPr>
          <w:sz w:val="20"/>
          <w:szCs w:val="20"/>
          <w:color w:val="auto"/>
        </w:rPr>
      </w:pPr>
    </w:p>
    <w:p>
      <w:pPr>
        <w:jc w:val="both"/>
        <w:ind w:firstLine="486"/>
        <w:spacing w:after="0" w:line="243" w:lineRule="auto"/>
        <w:rPr>
          <w:sz w:val="20"/>
          <w:szCs w:val="20"/>
          <w:color w:val="auto"/>
        </w:rPr>
      </w:pPr>
      <w:r>
        <w:rPr>
          <w:rFonts w:ascii="Times New Roman" w:cs="Times New Roman" w:eastAsia="Times New Roman" w:hAnsi="Times New Roman"/>
          <w:sz w:val="18"/>
          <w:szCs w:val="18"/>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78"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On January 15, 2025, the U.S. government announced new license requirements that impact exports of certain products and technology, including high-parameter and spectral flow cytometers and cell sorters and certain mass spectrometry equipment to certain countries, including China, which may have a significant negative impact on our sales, manufacturing and research and development activities. Given the timing, the impact of the new license requirements is difficult to quantify, and it may be challenging for us to manage our international operations and accurately forecast our operating results due to these requirements. For more information, please see “Our results of operations will be harmed if we are unable to accurately forecast customer demand for our products and manage our inventory” above.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limited experience manufacturing our products. We currently manufacture instruments and reagents at our manufacturing facilities in Fremont, California and Wuxi, China, instruments at our facilities in Seattle, Washington and Singapore,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75"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is dependent upon our ability to increase penetration in our existing markets and expand into adjacent markets.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customer base includes academic and government institutions, pharmaceutical and biotechnology companies, clinical research organizations and clinical laboratories focused on cell analysis. Approximately 41% and 41% of our revenue came from sales to academic and government-owned institutions and 59% and 59% of our revenue came from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to pharmaceutical and biotechnology companies, distributors and CROs in the three months ended March 31, 2025 and 2024,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adoption of our products by academic and government institutions,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primary strategy to grow our revenue is to take a stepwise approach to market our products across key stakeholders in flow cytometry and cell analysis, such as academic and government institutions, CROs, pharmaceutical companies and clinical laboratories. While the number of customers using our products has increased in recent years, many academic and government institutions, CROs, pharmaceutical companies and clinical laboratories have not yet adopted our products, and such institutions and companies may choose not to adopt our products for a number of reasons, including:</w:t>
      </w:r>
    </w:p>
    <w:p>
      <w:pPr>
        <w:spacing w:after="0" w:line="72" w:lineRule="exact"/>
        <w:rPr>
          <w:sz w:val="20"/>
          <w:szCs w:val="20"/>
          <w:color w:val="auto"/>
        </w:rPr>
      </w:pPr>
    </w:p>
    <w:p>
      <w:pPr>
        <w:ind w:left="980" w:right="2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recruiting or training of talented sales force in existing and new markets to facilitate outreach and further adoption and awareness of our products;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for cell analysis;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inadequacy of evidence supporting benefits or cost-effectiveness of our products over existing alternatives;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processes;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training required to use new products;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or delay in the research and development activities using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products and alternatives; and</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other novel alternative products for cell analysis.</w:t>
      </w:r>
    </w:p>
    <w:p>
      <w:pPr>
        <w:spacing w:after="0" w:line="10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educating notable industry key opinion leaders, representatives of academic and government institutions, CROs, pharmaceutical companies and clinical laboratories about the merits and benefits of our products for flow cytometry and cell analysis is one of the key elements to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Approximately 41% and 41% of our revenue came from sales to academic and government-owned institutions in the three months ended March 31, 2025 and 2024,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w:t>
      </w:r>
    </w:p>
    <w:p>
      <w:pPr>
        <w:spacing w:after="0" w:line="1" w:lineRule="exact"/>
        <w:rPr>
          <w:sz w:val="20"/>
          <w:szCs w:val="20"/>
          <w:color w:val="auto"/>
        </w:rPr>
      </w:pPr>
    </w:p>
    <w:p>
      <w:pPr>
        <w:ind w:left="980" w:right="20" w:hanging="486"/>
        <w:spacing w:after="0" w:line="243"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including any reductions in funding to the U.S. National Institutes of Health (“NIH”);</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the political climate;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scientists’ and customers’ opinions of the utility of new products or services;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offerings or pricing;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ours.</w:t>
      </w:r>
    </w:p>
    <w:p>
      <w:pPr>
        <w:spacing w:after="0" w:line="11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various state, federal and foreign agencies that provide grants and other funding may be subject to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For example, congressional appropriations to the NIH may experience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the cell analysis and life sciences tools markets. We currently compete with both established and early stage life sciences and in vitro diagnostics companies that design, manufacture and market flow cytometry instruments, accessories,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competitors and potential competitors may enjoy a number of competitive advantages over us, including:</w:t>
      </w:r>
    </w:p>
    <w:p>
      <w:pPr>
        <w:spacing w:after="0" w:line="11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 and market penetration;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 and capabilities;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technological and research and development resources;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quality assurance and regulatory staff;</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intellectual property portfolios;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system reliability and robustness;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selling and marketing capabilities;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and successfully introduce new and enhanced products that meet the needs of our customers.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current products include instruments, accessories,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accessories, consumables, software, services and enhancements, our offerings may become less competitive over time, in which case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Full Spectrum Profiling (“FSP”) solutions, it could slow or stop our business growth and negatively impact our business, financial condition, results of operations and prospects.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involves a lengthy and complex process and we may be unable to develop or commercialize products on a timely basis, or at all.</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72"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necessary regulatory approval;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engineering and manufacturing processes to accommodate different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enter into agreements with new suppliers;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w:t>
      </w:r>
    </w:p>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provide reliable, high quality products that enable high-content and high-sensitivity cell analysis through flexible, efficient and cost-effective solutions. Our instruments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customers may discover defects in our products after the products have been fully installed and operated. In addition, some of our products</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include components from other vendors, which may contain latent defects. As a result, should problems occur, it may be difficult to identify the source of the problem. If we are unable to identify and fix defects or other problems, we could experience, among other things:</w:t>
      </w:r>
    </w:p>
    <w:p>
      <w:pPr>
        <w:spacing w:after="0" w:line="54"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orders;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warranty expenses;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engineering and manufacturing resources;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by governmental authorities;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actions by our customers.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March 31, 2025, we had accrued approximately $1.7 million in expenses relating to product warranty accruals. Substantial amounts of warranty claims could have an adverse effect on our business, financial condition and results of operations.</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may pursue acquisitions of businesses and assets. For example, in February 2023, we entered into an asset purchase agreement with Luminex Corporation (“Luminex”) and acquired certain assets related to the flow cytometry and imaging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successfully into our existing business, and in certain cases we could assume unknown or contingent liabilities. Any future acquisitions also could result in the incurrence of debt, contingent liabilities or future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Seattle, Washington, Wuxi, China, and Singapore require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future sales will depend, in large part, on our ability to develop and substantially expand our sales infrastructure, particularly as we enter into new markets, roll 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CROs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on a significant base of peer-reviewed publications to showcase and validate the importance and application of our technology in academic and clinical research settings. As of March 31, 2025, there have been more than 2,600 peer-reviewed articles published since our first commercial launch in 2017,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Competition for skilled personnel in our market is intense.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has significantly appreciated in value, or if the exercise prices of the options that they hold are significantly below the market price of our common stock.</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2025, we had 663 full-time employees. As our sales and marketing strategies develop,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5540" w:right="4100" w:hanging="5046"/>
        <w:spacing w:after="0" w:line="861" w:lineRule="auto"/>
        <w:tabs>
          <w:tab w:leader="none" w:pos="9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17"/>
          <w:szCs w:val="17"/>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information technology, finance, legal, human resources,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6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In connection with our financial statement close process for the year ended December 31, 2024, we identified deficiencies in the control environment and control activities components of the Committee of Sponsoring Organizations (“COSO”) framework that constitute material weaknesses, either individually or in the aggregate. These included deficiencies in the control environment, as well as deficiencies related to control activities related to</w:t>
      </w:r>
    </w:p>
    <w:p>
      <w:pPr>
        <w:spacing w:after="0" w:line="1" w:lineRule="exact"/>
        <w:rPr>
          <w:sz w:val="20"/>
          <w:szCs w:val="20"/>
          <w:color w:val="auto"/>
        </w:rPr>
      </w:pPr>
    </w:p>
    <w:p>
      <w:pPr>
        <w:jc w:val="both"/>
        <w:ind w:firstLine="8"/>
        <w:spacing w:after="0" w:line="253" w:lineRule="auto"/>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See the section entitled “Item 4. Controls and Procedures” for additional information.</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These deficiencies could result in additional material misstatements to our consolidated financial statements that could not be prevented or detected on a timely basis.</w:t>
      </w:r>
    </w:p>
    <w:p>
      <w:pPr>
        <w:spacing w:after="0" w:line="6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We currently do not have an internal audit group, and we will need to hire additional accounting and finance staff and consultants with appropriate public company experience and technical accounting knowledge to remediate the control deficiencies.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For example, we required additional time to complete our financial closing procedures and ensure appropriate accounting of various intercompany transactions and accruals at the end of the quarter ended September 30, 2023. In addition, we required additional time to complete our financial closing procedures as of the end of period ending December 31, 2023 due to a lack of internal accounting resources, resulting in a delay in obtaining and compiling required information. Accordingly, we were not able to complete the preparation, review and filing of our Quarterly Report on Form 10-Q for the quarter ended September 30, 2023, and our Annual Report on Form 10-K for the year ended December 31, 2023, within the prescribed time period without unreasonable effort or expense. Such filings were timely made on or prior to the prescribed due date pursuant to Form 12b-25, with adjustments to certain line items in the financial statements with respect to such Annual Report.</w:t>
      </w:r>
    </w:p>
    <w:p>
      <w:pPr>
        <w:spacing w:after="0" w:line="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our products and/or expand our operations.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some of which are beyond our control, including:</w:t>
      </w:r>
    </w:p>
    <w:p>
      <w:pPr>
        <w:spacing w:after="0" w:line="117"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revenue growth;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operations, including our sales and marketing efforts;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launching and commercializing new products, and the cost of the sales and marketing activities associated with, establishing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recall that may occur;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domestic and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collaborative, licensing and other arrangements that we may establish.</w:t>
      </w:r>
    </w:p>
    <w:p>
      <w:pPr>
        <w:spacing w:after="0" w:line="1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conflict in the Middle East, government actions implemented as a result of either of the foregoing, as 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54"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seasonality and customer mix of the cell analysis market;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efforts and expenses;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newly-hired salespeople become effective;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productivity of our sales force;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distribution partners in selling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in the media or publications of our products or competitive products;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which may vary depending on the quantity of production and the terms of our arrangements with our suppliers;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the industry in which we do business, including those related to widespread health crises;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financial crises and economic downturns, including those caused by widespread public health crises;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including changes in inflation, interest rates, foreign currency rates, liquidity concerns at, and failures of, banks and other financial institutions and the potential effect of such factors on revenues and expenses;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products may be smaller than we estimate.</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Within the life sciences technology market, flow cytometry technologies currently provide solutions largely within cell proliferation, cell counting, cell identification, cell quality control and single-cell applications. However, we believe that the enhanced capabilities of our FSP platform has the potential to capture an increasingly greater share of the broader cell analysis market.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total addressable market for our products is even more difficult to predict.</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75"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costs;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products or new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reputation;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 from the market;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existing agreements by our partners and potential partners failing to partner with us.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harm our business.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See Note 18 to our consolidated financial statements included elsewhere in this Quarterly Report on Form 10-Q for information regarding ongoing legal proceedings.</w:t>
      </w:r>
    </w:p>
    <w:p>
      <w:pPr>
        <w:spacing w:after="0" w:line="75"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We rely upon third parties (such as service providers) for our data processing–related activities and share or receive Sensitive Information with or from third parties.</w:t>
      </w:r>
    </w:p>
    <w:p>
      <w:pPr>
        <w:spacing w:after="0" w:line="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face a variety of evolving threats, which have in the past and could in the future cause security incidents.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becoming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cyber-attacks, that could materially disrupt our systems and operations, supply chain, and ability to produce, sell and distribute our goods and services.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(“AI ”), and other similar threats. In particular, severe ransomware attacks, including those perpetrated by organized criminal threat actors, nation-states, and nation-state-supported actors, are becoming increasingly prevalent and severe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 increased risks to our information technology systems and data when utilizing network connections, computers, and devices outside our premises or network.</w:t>
      </w:r>
    </w:p>
    <w:p>
      <w:pPr>
        <w:spacing w:after="0" w:line="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 may be, and in certain cases has been,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 Our sensitive information or sensitive information of our customers could also be leaked, disclosed, or revealed as a result of or in connection with our employees’, personnel’s, or vendors’ use of generative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with whom we work), but have not, and we may not in the future, detect, mitigate,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(and have in the past caused) a security incident or other interruption that could result, and in certain cases in the past has resulted,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products and services. We expend significant resources and may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of security incidents, including affected individuals, customers, regulators and investors, or to take other actions, such as providing credit monitoring and identity theft protections services. Such disclosures and related actions can be costly, and the disclosures or the failure to comply with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diversion of management’s attention; interruptions in our operations (including availability of data); financial loss; and other similar harms. Security incidents and attendant material consequences may cause customers to stop using our products and services, deter new customers from purchasing our products and services, and negatively impact our ability to grow and operate our business.</w:t>
      </w:r>
    </w:p>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manufacture our products at our manufacturing facilities located in Fremont and San Diego, California; Seattle, Washington; Wuxi, China; and Singapore; and we rely on various suppliers in the United States, China and other countries. Should our manufacturing facilities or the facilities of our suppliers be damaged or destroyed by natural or man-made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Operating as a public company may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because our product contains metals and electronic components which are purchased from third-party vendors, we are required under rules promulgated by the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(the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currency exchange risk.</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Our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Currently, our Northern Lights CLC system is available for clinical use in only China and the European Union. Our Cytek Aurora and Northern Lights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8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part of our growth strategy, we plan to seek approval to offer our Cytek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81" w:lineRule="exact"/>
        <w:rPr>
          <w:sz w:val="20"/>
          <w:szCs w:val="20"/>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approval of new products or modified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clearances on PMA approvals that have already been granted;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5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that are subject to FDA regulation. Manufacturers may, under their own initiative, recall a product if any deficiency is found. For reportable corrections 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information. As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of 2018 (the “CCPA”) applies to personal information of consumers, business representatives, and employees, and requires businesses to provide specific disclosures in privacy notices and honor requests of California residents to exercise certain rights related to their personal information. The CCPA allows for statutory fines for noncompliance (up to $7,988 per intentional violation) and allows private litigants affected by certain data breaches to recover significant statutory damages. The CCPA and other U.S. comprehensive privacy laws exempt some data processed in the context of clinical trials, but these developments increase compliance costs and potential liability with respect to other personal information we maintain about residents in these states.</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Similar laws are being considered in several other states, as well as at the federal and local levels, and we expect more jurisdictions to pass similar laws in the future.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 costs for us and the third parties with whom we work.</w:t>
      </w:r>
    </w:p>
    <w:p>
      <w:pPr>
        <w:spacing w:after="0" w:line="7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 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causes us to incur substantial operational costs and may require us to change our business practices, and could lead to material fines, penalties and liability.</w:t>
      </w:r>
    </w:p>
    <w:p>
      <w:pPr>
        <w:spacing w:after="0" w:line="87"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In addition, many jurisdictions have enacted data localization laws and cross-border persona information transfer laws. These laws may make it more difficult for us to transfer personal information across jurisdictions, which could impede our business. For example, absent appropriate safeguards or other circumstances, the GDPR generally restricts the transfer of personal information to the United States and other countries that are viewed by some regulators to not generally provide an adequate level of data privacy and security. Although there are currently various mechanisms that can be used to transfer personal information from the EEA and UK to the United States in compliance with law, such as the EEA standard contractual clauses, the UK’s International Data Transfer Agreement / Addendum, and the EU-U.S. Data Privacy Framework (the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have ordered certain companies to suspend or permanently cease certain transfers out of Europe for allegedly violating the GDPR’s cross-border data transfer limitations.</w:t>
      </w:r>
    </w:p>
    <w:p>
      <w:pPr>
        <w:spacing w:after="0" w:line="189"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The U.S. Department of Justice has issued a rule entitled “Preventing Access to U.S. Sensitive Personal Data and Government-Related Data by Countries of Concern or Covered Persons,” which places additional restrictions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216"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Our employees and personnel use generative AI and/or automated decision-making technologies to perform their work, and the disclosure and use of personal information in AI technologies is subject to various privacy laws and other privacy obligations. Governments have passed and are likely to pass additional laws regulating AI and/or automated decision-making technologies. Our use of such technologies could result in additional compliance costs, regulatory investigations and actions, and consumer lawsuits. If we are unable to use AI and/or automated decision-making technologies, it could make our business less efficient and result in competitive disadvantages. We also use AI and machine learning (“ML”)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8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and security expectations)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impact our compliance posture and business operations. If we or the third parties with whom we work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75" w:lineRule="exact"/>
        <w:rPr>
          <w:sz w:val="20"/>
          <w:szCs w:val="20"/>
          <w:color w:val="auto"/>
        </w:rPr>
      </w:pPr>
    </w:p>
    <w:p>
      <w:pPr>
        <w:jc w:val="both"/>
        <w:ind w:left="980" w:hanging="486"/>
        <w:spacing w:after="0" w:line="25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87" w:lineRule="exact"/>
        <w:rPr>
          <w:rFonts w:ascii="Times New Roman" w:cs="Times New Roman" w:eastAsia="Times New Roman" w:hAnsi="Times New Roman"/>
          <w:sz w:val="18"/>
          <w:szCs w:val="18"/>
          <w:color w:val="auto"/>
        </w:rPr>
      </w:pPr>
    </w:p>
    <w:p>
      <w:pPr>
        <w:jc w:val="both"/>
        <w:ind w:left="980" w:hanging="486"/>
        <w:spacing w:after="0" w:line="25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17"/>
          <w:szCs w:val="17"/>
          <w:color w:val="auto"/>
        </w:rPr>
        <w:t>“relators”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74" w:lineRule="exact"/>
        <w:rPr>
          <w:sz w:val="20"/>
          <w:szCs w:val="20"/>
          <w:color w:val="auto"/>
        </w:rPr>
      </w:pPr>
    </w:p>
    <w:p>
      <w:pPr>
        <w:jc w:val="both"/>
        <w:ind w:left="980" w:hanging="486"/>
        <w:spacing w:after="0" w:line="25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79"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state laws govern the privacy and security of personal information, including the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75" w:lineRule="exact"/>
        <w:rPr>
          <w:rFonts w:ascii="Times New Roman" w:cs="Times New Roman" w:eastAsia="Times New Roman" w:hAnsi="Times New Roman"/>
          <w:sz w:val="18"/>
          <w:szCs w:val="18"/>
          <w:color w:val="auto"/>
        </w:rPr>
      </w:pPr>
    </w:p>
    <w:p>
      <w:pPr>
        <w:jc w:val="both"/>
        <w:ind w:left="980" w:hanging="486"/>
        <w:spacing w:after="0" w:line="25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w:t>
      </w:r>
    </w:p>
    <w:p>
      <w:pPr>
        <w:spacing w:after="0" w:line="79" w:lineRule="exact"/>
        <w:rPr>
          <w:rFonts w:ascii="Times New Roman" w:cs="Times New Roman" w:eastAsia="Times New Roman" w:hAnsi="Times New Roman"/>
          <w:sz w:val="18"/>
          <w:szCs w:val="18"/>
          <w:color w:val="auto"/>
        </w:rPr>
      </w:pPr>
    </w:p>
    <w:p>
      <w:pPr>
        <w:jc w:val="both"/>
        <w:ind w:left="980" w:hanging="486"/>
        <w:spacing w:after="0" w:line="254"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and other intellectual property protection in the United States and other countries that cover such products, their manufacturing processes and their intended methods of use and enforcing those patent claims against infringers once granted as well as our other intellectual property rights. In some cases, we may not be able to obtain issued patent claims or other intellectual property rights covering our technologies which are sufficient to prevent third parties, such as our competitors, from utilizing our products and negating any competitive advantage we may have. Any failure to obtain or maintain patent claims and other intellectual property rights with respect to our current and any future products or other aspects of our business could harm our business, financial condition and results of operations.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to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Including rights acquired in connection with the FCI Acquisition, as of March 31, 2025, we own 37 issued U.S. utility patents, ten issued Japan utility patents, seven issued European utility patents, four issued China utility patents, one Canada utility patent, one India utility patent, two Australian utility patents, and three Singapore utility patents. We have 70 pending utility patent applications, including 46 utility patent applications in the United States, three international utility patent applications, nine utility patent applications in the European Union, nine utility patent applications in China, and four utility patent applications in Japan. Assuming all maintenance fees are paid, the U.S. issued patents are expected to naturally expire between years 2025 and 2038. Patents covering intellectual property relating to design specific technologies invented by our researchers in Shanghai and Wuxi, China are filed in China and owned by our China subsidiaries, respectively. As of March 31, 2025, our Shanghai subsidiary owns 12 issued utility patents and eight issued invention patents and has two pending invention patent applications, and our Wuxi subsidiary owns 42 issued patents and has five pending invention patent applications.</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8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8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With respect to patents and patent applications, the various applicable government agencies, including the USPTO and similar agencies outside of the United States, require compliance with several procedural, documentary, fee payment and other similar provisions during the application process and the maintenance or annuity process after grant.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current and any future products.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15, 2013, under the Leahy-Smith America Invents Act, or the America Invents Act, enacted in September 2011, the United States transitioned to a first to file system in which, assuming that other requirements for patentability are met, the first applicant to file a patent application will be entitled to the patent on an invention regardless of whether a third-party was the first to invent the claimed invention. A third-party that files a patent application in the USPTO after March 15,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have been and, in the future, could become subject to intellectual property-related litigation and proceedings relating to our or third-party intellectual property and proprietary rights. See Note 18 to our consolidated financial statements included elsewhere in this Quarterly Report on Form 10-Q for further details regarding legal proceedings.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and laboratory equipment industries are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8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any future licensing partners. In addition, we have been and may in the future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is common in the life sciences industry, our employees, consultants and advisors may be currently or previously employed or engaged at universities or other life sciences companies, including our competitors and potential competitors.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a key information technology system, process, or site could have an adverse effect on our business.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compromise our ability to offer our services and subject us to possible litigation.</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be volatile, and our stockholders may not be able to resell shares of our common stock at or above the price they paid.</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p>
    <w:p>
      <w:pPr>
        <w:spacing w:after="0" w:line="68" w:lineRule="exact"/>
        <w:rPr>
          <w:sz w:val="20"/>
          <w:szCs w:val="20"/>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adoption of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investors;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 including as a result of anticipated or unanticipated demand based on seasonal factors;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issues related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 by us or our stockholders, as well as the anticipation of lock-up releases;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any of our third-party distribution partners and suppliers, including our single and sole-source suppliers;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engage additional distribution partners and establish collaborations, if needed;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and market conditions, including economic recessions or slowdowns, the ongoing war in Ukraine, conflict in the Middle East, and the general inflationary environment;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or securities convertible into our common stock will result in additional dilution of the percentage of ownership of our stockholders and could cause the market price of our common stock to decline.</w:t>
      </w:r>
    </w:p>
    <w:p>
      <w:pPr>
        <w:spacing w:after="0" w:line="5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offer and sell up to $150 million shares of common stock registered under our universal shelf registration statement on Form S-3 pursuant to the sales agreement (“Sales Agreement”) with Piper Sandler &amp; Co. (“Piper”) as sales agent in one or more “at the market” offerings. To date, we have not made any sales of common stock pursuant to the Sales Agreement. The extent to which we utilize the Sales Agreement with Piper as a source of funding will depend on a number of factors, including the prevailing market price of our common stock, general market conditions and other restrictions and the extent to which we are able to secure funds from other sources.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executive officers, directors and principal stockholders and their respective affiliates may prevent new investors from influencing significant corporate decisions.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the number of shares of common stock outstanding as of March 31, 2025, our executive officers, directors, holders of 5% or more of our common stock and their respective affiliates (based on filings with the SEC), in the aggregate, own approximately 45.4%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interests of other stockholders. For example, because many of these stockholders purchased their shares at prices substantially below the current market price of our shares and have held their shares for a longer period, they may be more interested in selling our company to an acquirer than other investors, or they may want us to pursue strategies that deviate from the interests of other stockholders.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left="98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transaction or changes in our board of directors could cause the market price of our common stock to decline.</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could fall below our publicly announced guidance or the expectations of securities analysts and investors, resulting in a decline in the market price of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have devoted and will continue to devote a substantial amount of time to compliance with these requirements. Moreover, these rules and regulations increase our legal and financial compliance costs and make some activities more time-consuming and costly. The additional costs we incur as a public company could negatively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(“NOLs”) to offset future taxable income may be subject to certain limitations.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In addition, there may be other limitations under state law on our ability to utilize NOLs, including temporary suspensions or other limitations on the use of NOLs to offset taxable income. We determined that an ownership change occurred on September 7, 2018, October 23, 2020, and in connection with our initial public offering on July 23, 2021. In addition, we may in the future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experience ownership changes, as a result of changes in our stock ownership (some of which are not in our control). If an ownership change occurs, our ability to utilize our NOL carryforwards and other tax attributes to reduce future tax liabilities may be limited. Many states have provisions similar to Code Section 382. Annual limitations may result in the expiration of the state net operating loss carryforwards before utilization.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and regulations may have a material adverse effect on our business, financial condition and results of operations.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510" w:type="dxa"/>
        <w:tblCellMar>
          <w:top w:w="0" w:type="dxa"/>
          <w:left w:w="0" w:type="dxa"/>
          <w:bottom w:w="0" w:type="dxa"/>
          <w:right w:w="0" w:type="dxa"/>
        </w:tblCellMar>
      </w:tblPr>
      <w:tr>
        <w:trPr>
          <w:trHeight w:val="176"/>
        </w:trPr>
        <w:tc>
          <w:tcPr>
            <w:tcW w:w="1640" w:type="dxa"/>
            <w:vAlign w:val="bottom"/>
            <w:tcBorders>
              <w:top w:val="single" w:sz="8" w:color="auto"/>
              <w:left w:val="single" w:sz="8" w:color="auto"/>
              <w:right w:val="single" w:sz="8" w:color="auto"/>
            </w:tcBorders>
          </w:tcPr>
          <w:p>
            <w:pPr>
              <w:spacing w:after="0"/>
              <w:rPr>
                <w:sz w:val="15"/>
                <w:szCs w:val="15"/>
                <w:color w:val="auto"/>
              </w:rPr>
            </w:pPr>
          </w:p>
        </w:tc>
        <w:tc>
          <w:tcPr>
            <w:tcW w:w="2220" w:type="dxa"/>
            <w:vAlign w:val="bottom"/>
            <w:tcBorders>
              <w:top w:val="single" w:sz="8" w:color="auto"/>
              <w:right w:val="single" w:sz="8" w:color="auto"/>
            </w:tcBorders>
            <w:vMerge w:val="restart"/>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980" w:type="dxa"/>
            <w:vAlign w:val="bottom"/>
            <w:tcBorders>
              <w:top w:val="single" w:sz="8" w:color="auto"/>
            </w:tcBorders>
          </w:tcPr>
          <w:p>
            <w:pPr>
              <w:spacing w:after="0"/>
              <w:rPr>
                <w:sz w:val="15"/>
                <w:szCs w:val="15"/>
                <w:color w:val="auto"/>
              </w:rPr>
            </w:pPr>
          </w:p>
        </w:tc>
        <w:tc>
          <w:tcPr>
            <w:tcW w:w="1280" w:type="dxa"/>
            <w:vAlign w:val="bottom"/>
            <w:tcBorders>
              <w:top w:val="single" w:sz="8" w:color="auto"/>
              <w:right w:val="single" w:sz="8" w:color="auto"/>
            </w:tcBorders>
          </w:tcPr>
          <w:p>
            <w:pPr>
              <w:spacing w:after="0"/>
              <w:rPr>
                <w:sz w:val="15"/>
                <w:szCs w:val="15"/>
                <w:color w:val="auto"/>
              </w:rPr>
            </w:pPr>
          </w:p>
        </w:tc>
        <w:tc>
          <w:tcPr>
            <w:tcW w:w="2240" w:type="dxa"/>
            <w:vAlign w:val="bottom"/>
            <w:tcBorders>
              <w:top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Borders>
              <w:top w:val="single" w:sz="8" w:color="auto"/>
            </w:tcBorders>
          </w:tcPr>
          <w:p>
            <w:pPr>
              <w:spacing w:after="0"/>
              <w:rPr>
                <w:sz w:val="15"/>
                <w:szCs w:val="15"/>
                <w:color w:val="auto"/>
              </w:rPr>
            </w:pPr>
          </w:p>
        </w:tc>
        <w:tc>
          <w:tcPr>
            <w:tcW w:w="2140" w:type="dxa"/>
            <w:vAlign w:val="bottom"/>
            <w:tcBorders>
              <w:top w:val="single" w:sz="8" w:color="auto"/>
              <w:right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Remaining dollar value that</w:t>
            </w:r>
          </w:p>
        </w:tc>
        <w:tc>
          <w:tcPr>
            <w:tcW w:w="0" w:type="dxa"/>
            <w:vAlign w:val="bottom"/>
          </w:tcPr>
          <w:p>
            <w:pPr>
              <w:spacing w:after="0"/>
              <w:rPr>
                <w:sz w:val="1"/>
                <w:szCs w:val="1"/>
                <w:color w:val="auto"/>
              </w:rPr>
            </w:pPr>
          </w:p>
        </w:tc>
      </w:tr>
      <w:tr>
        <w:trPr>
          <w:trHeight w:val="54"/>
        </w:trPr>
        <w:tc>
          <w:tcPr>
            <w:tcW w:w="1640" w:type="dxa"/>
            <w:vAlign w:val="bottom"/>
            <w:tcBorders>
              <w:left w:val="single" w:sz="8" w:color="auto"/>
              <w:righ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226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for share ($)</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2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640" w:type="dxa"/>
            <w:vAlign w:val="bottom"/>
            <w:tcBorders>
              <w:left w:val="single" w:sz="8" w:color="auto"/>
              <w:right w:val="single" w:sz="8" w:color="auto"/>
            </w:tcBorders>
          </w:tcPr>
          <w:p>
            <w:pPr>
              <w:spacing w:after="0"/>
              <w:rPr>
                <w:sz w:val="14"/>
                <w:szCs w:val="14"/>
                <w:color w:val="auto"/>
              </w:rPr>
            </w:pPr>
          </w:p>
        </w:tc>
        <w:tc>
          <w:tcPr>
            <w:tcW w:w="2220" w:type="dxa"/>
            <w:vAlign w:val="bottom"/>
            <w:tcBorders>
              <w:right w:val="single" w:sz="8" w:color="auto"/>
            </w:tcBorders>
            <w:vMerge w:val="continue"/>
          </w:tcPr>
          <w:p>
            <w:pPr>
              <w:spacing w:after="0"/>
              <w:rPr>
                <w:sz w:val="14"/>
                <w:szCs w:val="14"/>
                <w:color w:val="auto"/>
              </w:rPr>
            </w:pPr>
          </w:p>
        </w:tc>
        <w:tc>
          <w:tcPr>
            <w:tcW w:w="2260" w:type="dxa"/>
            <w:vAlign w:val="bottom"/>
            <w:tcBorders>
              <w:right w:val="single" w:sz="8" w:color="auto"/>
            </w:tcBorders>
            <w:gridSpan w:val="2"/>
            <w:vMerge w:val="continue"/>
          </w:tcPr>
          <w:p>
            <w:pPr>
              <w:spacing w:after="0"/>
              <w:rPr>
                <w:sz w:val="14"/>
                <w:szCs w:val="14"/>
                <w:color w:val="auto"/>
              </w:rPr>
            </w:pPr>
          </w:p>
        </w:tc>
        <w:tc>
          <w:tcPr>
            <w:tcW w:w="2240" w:type="dxa"/>
            <w:vAlign w:val="bottom"/>
            <w:tcBorders>
              <w:right w:val="single" w:sz="8" w:color="auto"/>
            </w:tcBorders>
            <w:vMerge w:val="continue"/>
          </w:tcPr>
          <w:p>
            <w:pPr>
              <w:spacing w:after="0"/>
              <w:rPr>
                <w:sz w:val="14"/>
                <w:szCs w:val="14"/>
                <w:color w:val="auto"/>
              </w:rPr>
            </w:pPr>
          </w:p>
        </w:tc>
        <w:tc>
          <w:tcPr>
            <w:tcW w:w="2260" w:type="dxa"/>
            <w:vAlign w:val="bottom"/>
            <w:tcBorders>
              <w:right w:val="single" w:sz="8" w:color="auto"/>
            </w:tcBorders>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may yet be purchased under the</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2220" w:type="dxa"/>
            <w:vAlign w:val="bottom"/>
            <w:tcBorders>
              <w:right w:val="single" w:sz="8" w:color="auto"/>
            </w:tcBorders>
          </w:tcPr>
          <w:p>
            <w:pPr>
              <w:jc w:val="right"/>
              <w:ind w:right="622"/>
              <w:spacing w:after="0" w:line="108" w:lineRule="exact"/>
              <w:rPr>
                <w:sz w:val="20"/>
                <w:szCs w:val="20"/>
                <w:color w:val="auto"/>
              </w:rPr>
            </w:pPr>
            <w:r>
              <w:rPr>
                <w:rFonts w:ascii="Times New Roman" w:cs="Times New Roman" w:eastAsia="Times New Roman" w:hAnsi="Times New Roman"/>
                <w:sz w:val="12"/>
                <w:szCs w:val="12"/>
                <w:b w:val="1"/>
                <w:bCs w:val="1"/>
                <w:color w:val="auto"/>
              </w:rPr>
              <w:t>repurchased</w:t>
            </w:r>
          </w:p>
        </w:tc>
        <w:tc>
          <w:tcPr>
            <w:tcW w:w="980" w:type="dxa"/>
            <w:vAlign w:val="bottom"/>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announced plans or programs</w:t>
            </w:r>
          </w:p>
        </w:tc>
        <w:tc>
          <w:tcPr>
            <w:tcW w:w="120" w:type="dxa"/>
            <w:vAlign w:val="bottom"/>
          </w:tcPr>
          <w:p>
            <w:pPr>
              <w:spacing w:after="0"/>
              <w:rPr>
                <w:sz w:val="9"/>
                <w:szCs w:val="9"/>
                <w:color w:val="auto"/>
              </w:rPr>
            </w:pPr>
          </w:p>
        </w:tc>
        <w:tc>
          <w:tcPr>
            <w:tcW w:w="2140" w:type="dxa"/>
            <w:vAlign w:val="bottom"/>
            <w:tcBorders>
              <w:right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plans or programs ($)</w:t>
            </w:r>
          </w:p>
        </w:tc>
        <w:tc>
          <w:tcPr>
            <w:tcW w:w="0" w:type="dxa"/>
            <w:vAlign w:val="bottom"/>
          </w:tcPr>
          <w:p>
            <w:pPr>
              <w:spacing w:after="0"/>
              <w:rPr>
                <w:sz w:val="1"/>
                <w:szCs w:val="1"/>
                <w:color w:val="auto"/>
              </w:rPr>
            </w:pPr>
          </w:p>
        </w:tc>
      </w:tr>
      <w:tr>
        <w:trPr>
          <w:trHeight w:val="140"/>
        </w:trPr>
        <w:tc>
          <w:tcPr>
            <w:tcW w:w="1640" w:type="dxa"/>
            <w:vAlign w:val="bottom"/>
            <w:tcBorders>
              <w:left w:val="single" w:sz="8" w:color="auto"/>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120" w:type="dxa"/>
            <w:vAlign w:val="bottom"/>
          </w:tcPr>
          <w:p>
            <w:pPr>
              <w:spacing w:after="0"/>
              <w:rPr>
                <w:sz w:val="12"/>
                <w:szCs w:val="12"/>
                <w:color w:val="auto"/>
              </w:rPr>
            </w:pPr>
          </w:p>
        </w:tc>
        <w:tc>
          <w:tcPr>
            <w:tcW w:w="2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Beginning Balance -</w:t>
            </w:r>
          </w:p>
        </w:tc>
        <w:tc>
          <w:tcPr>
            <w:tcW w:w="2220" w:type="dxa"/>
            <w:vAlign w:val="bottom"/>
            <w:tcBorders>
              <w:right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10,585,404</w:t>
            </w:r>
          </w:p>
        </w:tc>
        <w:tc>
          <w:tcPr>
            <w:tcW w:w="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w:t>
            </w:r>
          </w:p>
        </w:tc>
        <w:tc>
          <w:tcPr>
            <w:tcW w:w="2240" w:type="dxa"/>
            <w:vAlign w:val="bottom"/>
            <w:tcBorders>
              <w:right w:val="single" w:sz="8" w:color="auto"/>
            </w:tcBorders>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10,585,404</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28,500,000</w:t>
            </w:r>
          </w:p>
        </w:tc>
        <w:tc>
          <w:tcPr>
            <w:tcW w:w="0" w:type="dxa"/>
            <w:vAlign w:val="bottom"/>
          </w:tcPr>
          <w:p>
            <w:pPr>
              <w:spacing w:after="0"/>
              <w:rPr>
                <w:sz w:val="1"/>
                <w:szCs w:val="1"/>
                <w:color w:val="auto"/>
              </w:rPr>
            </w:pPr>
          </w:p>
        </w:tc>
      </w:tr>
      <w:tr>
        <w:trPr>
          <w:trHeight w:val="213"/>
        </w:trPr>
        <w:tc>
          <w:tcPr>
            <w:tcW w:w="16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22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2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21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40" w:type="dxa"/>
            <w:vAlign w:val="bottom"/>
            <w:tcBorders>
              <w:left w:val="single" w:sz="8" w:color="auto"/>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January 1 – January 31,</w:t>
            </w:r>
          </w:p>
        </w:tc>
        <w:tc>
          <w:tcPr>
            <w:tcW w:w="2220" w:type="dxa"/>
            <w:vAlign w:val="bottom"/>
            <w:tcBorders>
              <w:right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607,522</w:t>
            </w:r>
          </w:p>
        </w:tc>
        <w:tc>
          <w:tcPr>
            <w:tcW w:w="980" w:type="dxa"/>
            <w:vAlign w:val="bottom"/>
          </w:tcPr>
          <w:p>
            <w:pPr>
              <w:spacing w:after="0"/>
              <w:rPr>
                <w:sz w:val="13"/>
                <w:szCs w:val="13"/>
                <w:color w:val="auto"/>
              </w:rPr>
            </w:pPr>
          </w:p>
        </w:tc>
        <w:tc>
          <w:tcPr>
            <w:tcW w:w="128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5.76</w:t>
            </w:r>
          </w:p>
        </w:tc>
        <w:tc>
          <w:tcPr>
            <w:tcW w:w="2240" w:type="dxa"/>
            <w:vAlign w:val="bottom"/>
            <w:tcBorders>
              <w:right w:val="single" w:sz="8" w:color="auto"/>
            </w:tcBorders>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11,192,926</w:t>
            </w:r>
          </w:p>
        </w:tc>
        <w:tc>
          <w:tcPr>
            <w:tcW w:w="120" w:type="dxa"/>
            <w:vAlign w:val="bottom"/>
          </w:tcPr>
          <w:p>
            <w:pPr>
              <w:spacing w:after="0"/>
              <w:rPr>
                <w:sz w:val="13"/>
                <w:szCs w:val="13"/>
                <w:color w:val="auto"/>
              </w:rPr>
            </w:pPr>
          </w:p>
        </w:tc>
        <w:tc>
          <w:tcPr>
            <w:tcW w:w="2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46,500,007</w:t>
            </w:r>
          </w:p>
        </w:tc>
        <w:tc>
          <w:tcPr>
            <w:tcW w:w="0" w:type="dxa"/>
            <w:vAlign w:val="bottom"/>
          </w:tcPr>
          <w:p>
            <w:pPr>
              <w:spacing w:after="0"/>
              <w:rPr>
                <w:sz w:val="1"/>
                <w:szCs w:val="1"/>
                <w:color w:val="auto"/>
              </w:rPr>
            </w:pPr>
          </w:p>
        </w:tc>
      </w:tr>
      <w:tr>
        <w:trPr>
          <w:trHeight w:val="213"/>
        </w:trPr>
        <w:tc>
          <w:tcPr>
            <w:tcW w:w="1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20" w:type="dxa"/>
            <w:vAlign w:val="bottom"/>
            <w:tcBorders>
              <w:bottom w:val="single" w:sz="8" w:color="auto"/>
              <w:right w:val="single" w:sz="8" w:color="auto"/>
            </w:tcBorders>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vMerge w:val="continue"/>
          </w:tcPr>
          <w:p>
            <w:pPr>
              <w:spacing w:after="0"/>
              <w:rPr>
                <w:sz w:val="18"/>
                <w:szCs w:val="18"/>
                <w:color w:val="auto"/>
              </w:rPr>
            </w:pPr>
          </w:p>
        </w:tc>
        <w:tc>
          <w:tcPr>
            <w:tcW w:w="2240" w:type="dxa"/>
            <w:vAlign w:val="bottom"/>
            <w:tcBorders>
              <w:bottom w:val="single" w:sz="8" w:color="auto"/>
              <w:right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40" w:type="dxa"/>
            <w:vAlign w:val="bottom"/>
            <w:tcBorders>
              <w:left w:val="single" w:sz="8" w:color="auto"/>
              <w:right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February 1 – February</w:t>
            </w:r>
          </w:p>
        </w:tc>
        <w:tc>
          <w:tcPr>
            <w:tcW w:w="2220" w:type="dxa"/>
            <w:vAlign w:val="bottom"/>
            <w:tcBorders>
              <w:right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658,878</w:t>
            </w:r>
          </w:p>
        </w:tc>
        <w:tc>
          <w:tcPr>
            <w:tcW w:w="980" w:type="dxa"/>
            <w:vAlign w:val="bottom"/>
            <w:shd w:val="clear" w:color="auto" w:fill="CCEEFF"/>
          </w:tcPr>
          <w:p>
            <w:pPr>
              <w:spacing w:after="0"/>
              <w:rPr>
                <w:sz w:val="13"/>
                <w:szCs w:val="13"/>
                <w:color w:val="auto"/>
              </w:rPr>
            </w:pPr>
          </w:p>
        </w:tc>
        <w:tc>
          <w:tcPr>
            <w:tcW w:w="12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5.31</w:t>
            </w:r>
          </w:p>
        </w:tc>
        <w:tc>
          <w:tcPr>
            <w:tcW w:w="2240" w:type="dxa"/>
            <w:vAlign w:val="bottom"/>
            <w:tcBorders>
              <w:right w:val="single" w:sz="8" w:color="auto"/>
            </w:tcBorders>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11,851,804</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43,000,014</w:t>
            </w:r>
          </w:p>
        </w:tc>
        <w:tc>
          <w:tcPr>
            <w:tcW w:w="0" w:type="dxa"/>
            <w:vAlign w:val="bottom"/>
          </w:tcPr>
          <w:p>
            <w:pPr>
              <w:spacing w:after="0"/>
              <w:rPr>
                <w:sz w:val="1"/>
                <w:szCs w:val="1"/>
                <w:color w:val="auto"/>
              </w:rPr>
            </w:pPr>
          </w:p>
        </w:tc>
      </w:tr>
      <w:tr>
        <w:trPr>
          <w:trHeight w:val="213"/>
        </w:trPr>
        <w:tc>
          <w:tcPr>
            <w:tcW w:w="16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28, 2025</w:t>
            </w:r>
          </w:p>
        </w:tc>
        <w:tc>
          <w:tcPr>
            <w:tcW w:w="22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2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21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40" w:type="dxa"/>
            <w:vAlign w:val="bottom"/>
            <w:tcBorders>
              <w:left w:val="single" w:sz="8" w:color="auto"/>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March 1 – March 31,</w:t>
            </w:r>
          </w:p>
        </w:tc>
        <w:tc>
          <w:tcPr>
            <w:tcW w:w="2220" w:type="dxa"/>
            <w:vAlign w:val="bottom"/>
            <w:tcBorders>
              <w:right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812,183</w:t>
            </w:r>
          </w:p>
        </w:tc>
        <w:tc>
          <w:tcPr>
            <w:tcW w:w="980" w:type="dxa"/>
            <w:vAlign w:val="bottom"/>
          </w:tcPr>
          <w:p>
            <w:pPr>
              <w:spacing w:after="0"/>
              <w:rPr>
                <w:sz w:val="13"/>
                <w:szCs w:val="13"/>
                <w:color w:val="auto"/>
              </w:rPr>
            </w:pPr>
          </w:p>
        </w:tc>
        <w:tc>
          <w:tcPr>
            <w:tcW w:w="128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4.31</w:t>
            </w:r>
          </w:p>
        </w:tc>
        <w:tc>
          <w:tcPr>
            <w:tcW w:w="2240" w:type="dxa"/>
            <w:vAlign w:val="bottom"/>
            <w:tcBorders>
              <w:right w:val="single" w:sz="8" w:color="auto"/>
            </w:tcBorders>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12,663,987</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39,500,021</w:t>
            </w:r>
          </w:p>
        </w:tc>
        <w:tc>
          <w:tcPr>
            <w:tcW w:w="0" w:type="dxa"/>
            <w:vAlign w:val="bottom"/>
          </w:tcPr>
          <w:p>
            <w:pPr>
              <w:spacing w:after="0"/>
              <w:rPr>
                <w:sz w:val="1"/>
                <w:szCs w:val="1"/>
                <w:color w:val="auto"/>
              </w:rPr>
            </w:pPr>
          </w:p>
        </w:tc>
      </w:tr>
      <w:tr>
        <w:trPr>
          <w:trHeight w:val="213"/>
        </w:trPr>
        <w:tc>
          <w:tcPr>
            <w:tcW w:w="1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20" w:type="dxa"/>
            <w:vAlign w:val="bottom"/>
            <w:tcBorders>
              <w:bottom w:val="single" w:sz="8" w:color="auto"/>
              <w:right w:val="single" w:sz="8" w:color="auto"/>
            </w:tcBorders>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vMerge w:val="continue"/>
          </w:tcPr>
          <w:p>
            <w:pPr>
              <w:spacing w:after="0"/>
              <w:rPr>
                <w:sz w:val="18"/>
                <w:szCs w:val="18"/>
                <w:color w:val="auto"/>
              </w:rPr>
            </w:pPr>
          </w:p>
        </w:tc>
        <w:tc>
          <w:tcPr>
            <w:tcW w:w="2240" w:type="dxa"/>
            <w:vAlign w:val="bottom"/>
            <w:tcBorders>
              <w:bottom w:val="single" w:sz="8" w:color="auto"/>
              <w:right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Life to Date Total</w:t>
            </w:r>
          </w:p>
        </w:tc>
        <w:tc>
          <w:tcPr>
            <w:tcW w:w="2220" w:type="dxa"/>
            <w:vAlign w:val="bottom"/>
            <w:tcBorders>
              <w:bottom w:val="single" w:sz="8" w:color="auto"/>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12,663,987</w:t>
            </w:r>
          </w:p>
        </w:tc>
        <w:tc>
          <w:tcPr>
            <w:tcW w:w="9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5.05</w:t>
            </w:r>
          </w:p>
        </w:tc>
        <w:tc>
          <w:tcPr>
            <w:tcW w:w="2240" w:type="dxa"/>
            <w:vAlign w:val="bottom"/>
            <w:tcBorders>
              <w:bottom w:val="single" w:sz="8" w:color="auto"/>
              <w:right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12,663,987</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39,500,021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494"/>
        <w:spacing w:after="0" w:line="287" w:lineRule="auto"/>
        <w:tabs>
          <w:tab w:leader="none" w:pos="657" w:val="left"/>
        </w:tabs>
        <w:numPr>
          <w:ilvl w:val="0"/>
          <w:numId w:val="3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On December 11, 2024, the Board approved a program for the repurchase by the Company of up to an aggregate of $50 million of its outstanding common stock. The repurchase program will expire on December 31,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July 2021, we issued and sold an aggregate of 13,949,401 shares of common stock in connection with our initial public offering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20" w:type="dxa"/>
            <w:vAlign w:val="bottom"/>
          </w:tcPr>
          <w:p>
            <w:pPr>
              <w:spacing w:after="0"/>
              <w:rPr>
                <w:sz w:val="2"/>
                <w:szCs w:val="2"/>
                <w:color w:val="auto"/>
              </w:rPr>
            </w:pPr>
          </w:p>
        </w:tc>
        <w:tc>
          <w:tcPr>
            <w:tcW w:w="4200" w:type="dxa"/>
            <w:vAlign w:val="bottom"/>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7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200" w:type="dxa"/>
            <w:vAlign w:val="bottom"/>
            <w:vMerge w:val="continue"/>
          </w:tcPr>
          <w:p>
            <w:pPr>
              <w:spacing w:after="0"/>
              <w:rPr>
                <w:sz w:val="16"/>
                <w:szCs w:val="16"/>
                <w:color w:val="auto"/>
              </w:rPr>
            </w:pPr>
          </w:p>
        </w:tc>
        <w:tc>
          <w:tcPr>
            <w:tcW w:w="92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File No.</w:t>
            </w:r>
          </w:p>
        </w:tc>
        <w:tc>
          <w:tcPr>
            <w:tcW w:w="130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3.1</w:t>
            </w:r>
          </w:p>
        </w:tc>
        <w:tc>
          <w:tcPr>
            <w:tcW w:w="3720" w:type="dxa"/>
            <w:vAlign w:val="bottom"/>
            <w:gridSpan w:val="5"/>
          </w:tcPr>
          <w:p>
            <w:pPr>
              <w:spacing w:after="0"/>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Amended and Restated Certificate of Incorporation</w:t>
              </w:r>
            </w:hyperlink>
          </w:p>
        </w:tc>
        <w:tc>
          <w:tcPr>
            <w:tcW w:w="720" w:type="dxa"/>
            <w:vAlign w:val="bottom"/>
            <w:gridSpan w:val="8"/>
          </w:tcPr>
          <w:p>
            <w:pPr>
              <w:spacing w:after="0"/>
              <w:rPr>
                <w:sz w:val="17"/>
                <w:szCs w:val="17"/>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gridSpan w:val="3"/>
          </w:tcPr>
          <w:p>
            <w:pPr>
              <w:jc w:val="right"/>
              <w:ind w:right="300"/>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001-40632</w:t>
              </w:r>
            </w:hyperlink>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07/27/2021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3.2</w:t>
            </w:r>
          </w:p>
        </w:tc>
        <w:tc>
          <w:tcPr>
            <w:tcW w:w="2260" w:type="dxa"/>
            <w:vAlign w:val="bottom"/>
          </w:tcPr>
          <w:p>
            <w:pPr>
              <w:spacing w:after="0"/>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Amended and Restated Bylaws</w:t>
              </w:r>
            </w:hyperlink>
          </w:p>
        </w:tc>
        <w:tc>
          <w:tcPr>
            <w:tcW w:w="1460" w:type="dxa"/>
            <w:vAlign w:val="bottom"/>
            <w:gridSpan w:val="4"/>
          </w:tcPr>
          <w:p>
            <w:pPr>
              <w:spacing w:after="0"/>
              <w:rPr>
                <w:sz w:val="20"/>
                <w:szCs w:val="20"/>
                <w:color w:val="auto"/>
              </w:rPr>
            </w:pPr>
          </w:p>
        </w:tc>
        <w:tc>
          <w:tcPr>
            <w:tcW w:w="720" w:type="dxa"/>
            <w:vAlign w:val="bottom"/>
            <w:gridSpan w:val="8"/>
          </w:tcPr>
          <w:p>
            <w:pPr>
              <w:spacing w:after="0"/>
              <w:rPr>
                <w:sz w:val="20"/>
                <w:szCs w:val="20"/>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gridSpan w:val="3"/>
          </w:tcPr>
          <w:p>
            <w:pPr>
              <w:jc w:val="right"/>
              <w:ind w:right="300"/>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001-40632</w:t>
              </w:r>
            </w:hyperlink>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07/27/2021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5"/>
              </w:rPr>
              <w:t>10.1</w:t>
            </w: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Offer letter, by and between Cytek Biosciences, Inc. and</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3720" w:type="dxa"/>
            <w:vAlign w:val="bottom"/>
            <w:tcBorders>
              <w:top w:val="single" w:sz="8" w:color="0000FF"/>
            </w:tcBorders>
            <w:gridSpan w:val="5"/>
            <w:vMerge w:val="restart"/>
          </w:tcPr>
          <w:p>
            <w:pPr>
              <w:spacing w:after="0" w:line="182" w:lineRule="exact"/>
              <w:rPr>
                <w:sz w:val="20"/>
                <w:szCs w:val="20"/>
                <w:color w:val="auto"/>
              </w:rPr>
            </w:pPr>
            <w:r>
              <w:rPr>
                <w:rFonts w:ascii="Times New Roman" w:cs="Times New Roman" w:eastAsia="Times New Roman" w:hAnsi="Times New Roman"/>
                <w:sz w:val="18"/>
                <w:szCs w:val="18"/>
                <w:color w:val="0000FF"/>
                <w:w w:val="99"/>
              </w:rPr>
              <w:t>Philippe Busque, Ph.D., dated November 29, 2022.</w:t>
            </w:r>
          </w:p>
        </w:tc>
        <w:tc>
          <w:tcPr>
            <w:tcW w:w="340" w:type="dxa"/>
            <w:vAlign w:val="bottom"/>
            <w:tcBorders>
              <w:top w:val="single" w:sz="8" w:color="0000FF"/>
            </w:tcBorders>
            <w:gridSpan w:val="5"/>
            <w:vMerge w:val="restart"/>
          </w:tcPr>
          <w:p>
            <w:pPr>
              <w:spacing w:after="0"/>
              <w:rPr>
                <w:sz w:val="11"/>
                <w:szCs w:val="11"/>
                <w:color w:val="auto"/>
              </w:rPr>
            </w:pPr>
          </w:p>
        </w:tc>
        <w:tc>
          <w:tcPr>
            <w:tcW w:w="380" w:type="dxa"/>
            <w:vAlign w:val="bottom"/>
            <w:gridSpan w:val="3"/>
            <w:vMerge w:val="restart"/>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920" w:type="dxa"/>
            <w:vAlign w:val="bottom"/>
          </w:tcPr>
          <w:p>
            <w:pPr>
              <w:spacing w:after="0"/>
              <w:rPr>
                <w:sz w:val="4"/>
                <w:szCs w:val="4"/>
                <w:color w:val="auto"/>
              </w:rPr>
            </w:pPr>
          </w:p>
        </w:tc>
        <w:tc>
          <w:tcPr>
            <w:tcW w:w="3720" w:type="dxa"/>
            <w:vAlign w:val="bottom"/>
            <w:tcBorders>
              <w:bottom w:val="single" w:sz="8" w:color="0000FF"/>
            </w:tcBorders>
            <w:gridSpan w:val="5"/>
            <w:vMerge w:val="continue"/>
          </w:tcPr>
          <w:p>
            <w:pPr>
              <w:spacing w:after="0"/>
              <w:rPr>
                <w:sz w:val="4"/>
                <w:szCs w:val="4"/>
                <w:color w:val="auto"/>
              </w:rPr>
            </w:pPr>
          </w:p>
        </w:tc>
        <w:tc>
          <w:tcPr>
            <w:tcW w:w="340" w:type="dxa"/>
            <w:vAlign w:val="bottom"/>
            <w:gridSpan w:val="5"/>
            <w:vMerge w:val="continue"/>
          </w:tcPr>
          <w:p>
            <w:pPr>
              <w:spacing w:after="0"/>
              <w:rPr>
                <w:sz w:val="4"/>
                <w:szCs w:val="4"/>
                <w:color w:val="auto"/>
              </w:rPr>
            </w:pPr>
          </w:p>
        </w:tc>
        <w:tc>
          <w:tcPr>
            <w:tcW w:w="38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31.1</w:t>
            </w: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by</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00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60" w:type="dxa"/>
            <w:vAlign w:val="bottom"/>
            <w:tcBorders>
              <w:top w:val="single" w:sz="8" w:color="0000FF"/>
            </w:tcBorders>
            <w:gridSpan w:val="10"/>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31.2</w:t>
            </w: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by</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68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Rule 13a-14(a) or Rule 15d-14(a) of the Securities</w:t>
            </w:r>
          </w:p>
        </w:tc>
        <w:tc>
          <w:tcPr>
            <w:tcW w:w="2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3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60" w:type="dxa"/>
            <w:vAlign w:val="bottom"/>
            <w:tcBorders>
              <w:top w:val="single" w:sz="8" w:color="0000FF"/>
            </w:tcBorders>
            <w:gridSpan w:val="10"/>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32.1*</w:t>
            </w:r>
          </w:p>
        </w:tc>
        <w:tc>
          <w:tcPr>
            <w:tcW w:w="39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w:t>
            </w:r>
          </w:p>
        </w:tc>
        <w:tc>
          <w:tcPr>
            <w:tcW w:w="480" w:type="dxa"/>
            <w:vAlign w:val="bottom"/>
            <w:gridSpan w:val="5"/>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080" w:type="dxa"/>
            <w:vAlign w:val="bottom"/>
            <w:tcBorders>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3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32.2*</w:t>
            </w:r>
          </w:p>
        </w:tc>
        <w:tc>
          <w:tcPr>
            <w:tcW w:w="3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w:t>
            </w:r>
          </w:p>
        </w:tc>
        <w:tc>
          <w:tcPr>
            <w:tcW w:w="540" w:type="dxa"/>
            <w:vAlign w:val="bottom"/>
            <w:gridSpan w:val="7"/>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080" w:type="dxa"/>
            <w:vAlign w:val="bottom"/>
            <w:tcBorders>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3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444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6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6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X</w:t>
      </w:r>
    </w:p>
    <w:p>
      <w:pPr>
        <w:spacing w:after="0" w:line="630" w:lineRule="exact"/>
        <w:rPr>
          <w:sz w:val="20"/>
          <w:szCs w:val="20"/>
          <w:color w:val="auto"/>
        </w:rPr>
      </w:pPr>
    </w:p>
    <w:p>
      <w:pPr>
        <w:sectPr>
          <w:pgSz w:w="11900" w:h="16838" w:orient="portrait"/>
          <w:cols w:equalWidth="0" w:num="2">
            <w:col w:w="10000" w:space="560"/>
            <w:col w:w="680"/>
          </w:cols>
          <w:pgMar w:left="320" w:top="108" w:right="339" w:bottom="1440" w:gutter="0" w:footer="0" w:header="0"/>
          <w:type w:val="continuous"/>
        </w:sectPr>
      </w:pPr>
    </w:p>
    <w:tbl>
      <w:tblPr>
        <w:tblLayout w:type="fixed"/>
        <w:tblInd w:w="180" w:type="dxa"/>
        <w:tblCellMar>
          <w:top w:w="0" w:type="dxa"/>
          <w:left w:w="0" w:type="dxa"/>
          <w:bottom w:w="0" w:type="dxa"/>
          <w:right w:w="0" w:type="dxa"/>
        </w:tblCellMar>
      </w:tblPr>
      <w:tr>
        <w:trPr>
          <w:trHeight w:val="234"/>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101.SCH</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7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1"/>
              </w:rPr>
              <w:t>X</w:t>
            </w:r>
          </w:p>
        </w:tc>
      </w:tr>
      <w:tr>
        <w:trPr>
          <w:trHeight w:val="387"/>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101.CAL</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7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Document.</w:t>
            </w:r>
          </w:p>
        </w:tc>
        <w:tc>
          <w:tcPr>
            <w:tcW w:w="2780" w:type="dxa"/>
            <w:vAlign w:val="bottom"/>
          </w:tcPr>
          <w:p>
            <w:pPr>
              <w:spacing w:after="0"/>
              <w:rPr>
                <w:sz w:val="20"/>
                <w:szCs w:val="20"/>
                <w:color w:val="auto"/>
              </w:rPr>
            </w:pPr>
          </w:p>
        </w:tc>
      </w:tr>
      <w:tr>
        <w:trPr>
          <w:trHeight w:val="387"/>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101.DEF</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7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Document.</w:t>
            </w:r>
          </w:p>
        </w:tc>
        <w:tc>
          <w:tcPr>
            <w:tcW w:w="2780" w:type="dxa"/>
            <w:vAlign w:val="bottom"/>
          </w:tcPr>
          <w:p>
            <w:pPr>
              <w:spacing w:after="0"/>
              <w:rPr>
                <w:sz w:val="20"/>
                <w:szCs w:val="20"/>
                <w:color w:val="auto"/>
              </w:rPr>
            </w:pPr>
          </w:p>
        </w:tc>
      </w:tr>
      <w:tr>
        <w:trPr>
          <w:trHeight w:val="387"/>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101.LAB</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7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Document.</w:t>
            </w:r>
          </w:p>
        </w:tc>
        <w:tc>
          <w:tcPr>
            <w:tcW w:w="2780" w:type="dxa"/>
            <w:vAlign w:val="bottom"/>
          </w:tcPr>
          <w:p>
            <w:pPr>
              <w:spacing w:after="0"/>
              <w:rPr>
                <w:sz w:val="20"/>
                <w:szCs w:val="20"/>
                <w:color w:val="auto"/>
              </w:rPr>
            </w:pPr>
          </w:p>
        </w:tc>
      </w:tr>
      <w:tr>
        <w:trPr>
          <w:trHeight w:val="387"/>
        </w:trPr>
        <w:tc>
          <w:tcPr>
            <w:tcW w:w="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101.PRE</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7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Document.</w:t>
            </w:r>
          </w:p>
        </w:tc>
        <w:tc>
          <w:tcPr>
            <w:tcW w:w="2780" w:type="dxa"/>
            <w:vAlign w:val="bottom"/>
          </w:tcPr>
          <w:p>
            <w:pPr>
              <w:spacing w:after="0"/>
              <w:rPr>
                <w:sz w:val="20"/>
                <w:szCs w:val="20"/>
                <w:color w:val="auto"/>
              </w:rPr>
            </w:pPr>
          </w:p>
        </w:tc>
      </w:tr>
      <w:tr>
        <w:trPr>
          <w:trHeight w:val="387"/>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104</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27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and contained in Exhibits 101).</w:t>
            </w:r>
          </w:p>
        </w:tc>
        <w:tc>
          <w:tcPr>
            <w:tcW w:w="278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17" w:lineRule="exact"/>
        <w:rPr>
          <w:sz w:val="20"/>
          <w:szCs w:val="20"/>
          <w:color w:val="auto"/>
        </w:rPr>
      </w:pPr>
    </w:p>
    <w:p>
      <w:pPr>
        <w:jc w:val="both"/>
        <w:ind w:left="180" w:hanging="172"/>
        <w:spacing w:after="0" w:line="261" w:lineRule="auto"/>
        <w:tabs>
          <w:tab w:leader="none" w:pos="1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contemplated by SEC Release No. 33-8212, these exhibits are furnished with this Quarterly Report on Form 10-Q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24" w:lineRule="exact"/>
        <w:rPr>
          <w:sz w:val="20"/>
          <w:szCs w:val="20"/>
          <w:color w:val="auto"/>
        </w:rPr>
      </w:pPr>
    </w:p>
    <w:p>
      <w:pPr>
        <w:ind w:left="20"/>
        <w:spacing w:after="0"/>
        <w:tabs>
          <w:tab w:leader="none" w:pos="5080" w:val="left"/>
          <w:tab w:leader="none" w:pos="782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49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5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5080" w:val="left"/>
          <w:tab w:leader="none" w:pos="762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McCombe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49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William McCombe</w:t>
      </w:r>
    </w:p>
    <w:p>
      <w:pPr>
        <w:spacing w:after="0" w:line="5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21" w:right="339" w:bottom="1440" w:gutter="0" w:footer="0" w:header="0"/>
        </w:sectPr>
      </w:pPr>
    </w:p>
    <w:bookmarkStart w:id="90" w:name="page91"/>
    <w:bookmarkEnd w:id="90"/>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51305" cy="5740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551305" cy="5740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2A313A"/>
        </w:rPr>
        <w:t xml:space="preserve">November 29, </w:t>
      </w:r>
      <w:r>
        <w:rPr>
          <w:rFonts w:ascii="Arial" w:cs="Arial" w:eastAsia="Arial" w:hAnsi="Arial"/>
          <w:sz w:val="18"/>
          <w:szCs w:val="18"/>
          <w:color w:val="3B444B"/>
        </w:rPr>
        <w:t>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3B444B"/>
        </w:rPr>
        <w:t xml:space="preserve">Dear </w:t>
      </w:r>
      <w:r>
        <w:rPr>
          <w:rFonts w:ascii="Arial" w:cs="Arial" w:eastAsia="Arial" w:hAnsi="Arial"/>
          <w:sz w:val="18"/>
          <w:szCs w:val="18"/>
          <w:color w:val="2A313A"/>
        </w:rPr>
        <w:t>Philippe: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A313A"/>
        </w:rPr>
        <w:t>CYTEK BIOSCIENCES</w:t>
      </w:r>
      <w:r>
        <w:rPr>
          <w:rFonts w:ascii="Arial" w:cs="Arial" w:eastAsia="Arial" w:hAnsi="Arial"/>
          <w:sz w:val="18"/>
          <w:szCs w:val="18"/>
          <w:color w:val="4F565D"/>
        </w:rPr>
        <w:t>,</w:t>
      </w:r>
      <w:r>
        <w:rPr>
          <w:rFonts w:ascii="Arial" w:cs="Arial" w:eastAsia="Arial" w:hAnsi="Arial"/>
          <w:sz w:val="18"/>
          <w:szCs w:val="18"/>
          <w:color w:val="2A313A"/>
        </w:rPr>
        <w:t xml:space="preserve"> INC. (“Cytek” or the </w:t>
      </w:r>
      <w:r>
        <w:rPr>
          <w:rFonts w:ascii="Arial" w:cs="Arial" w:eastAsia="Arial" w:hAnsi="Arial"/>
          <w:sz w:val="18"/>
          <w:szCs w:val="18"/>
          <w:color w:val="3B444B"/>
        </w:rPr>
        <w:t>“Company”) is</w:t>
      </w:r>
      <w:r>
        <w:rPr>
          <w:rFonts w:ascii="Arial" w:cs="Arial" w:eastAsia="Arial" w:hAnsi="Arial"/>
          <w:sz w:val="18"/>
          <w:szCs w:val="18"/>
          <w:color w:val="2A313A"/>
        </w:rPr>
        <w:t xml:space="preserve"> pleased to offer you the position of General </w:t>
      </w:r>
      <w:r>
        <w:rPr>
          <w:rFonts w:ascii="Arial" w:cs="Arial" w:eastAsia="Arial" w:hAnsi="Arial"/>
          <w:sz w:val="18"/>
          <w:szCs w:val="18"/>
          <w:color w:val="3B444B"/>
        </w:rPr>
        <w:t>Manager, EMEA.</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3B444B"/>
        </w:rPr>
        <w:t xml:space="preserve">You </w:t>
      </w:r>
      <w:r>
        <w:rPr>
          <w:rFonts w:ascii="Arial" w:cs="Arial" w:eastAsia="Arial" w:hAnsi="Arial"/>
          <w:sz w:val="18"/>
          <w:szCs w:val="18"/>
          <w:color w:val="2A313A"/>
        </w:rPr>
        <w:t>will</w:t>
      </w:r>
      <w:r>
        <w:rPr>
          <w:rFonts w:ascii="Arial" w:cs="Arial" w:eastAsia="Arial" w:hAnsi="Arial"/>
          <w:sz w:val="18"/>
          <w:szCs w:val="18"/>
          <w:color w:val="3B444B"/>
        </w:rPr>
        <w:t xml:space="preserve"> report to </w:t>
      </w:r>
      <w:r>
        <w:rPr>
          <w:rFonts w:ascii="Arial" w:cs="Arial" w:eastAsia="Arial" w:hAnsi="Arial"/>
          <w:sz w:val="18"/>
          <w:szCs w:val="18"/>
          <w:color w:val="2A313A"/>
        </w:rPr>
        <w:t>Todd Garland, Chief Commercial Officer</w:t>
      </w:r>
      <w:r>
        <w:rPr>
          <w:rFonts w:ascii="Arial" w:cs="Arial" w:eastAsia="Arial" w:hAnsi="Arial"/>
          <w:sz w:val="18"/>
          <w:szCs w:val="18"/>
          <w:color w:val="4F565D"/>
        </w:rPr>
        <w:t>,</w:t>
      </w:r>
      <w:r>
        <w:rPr>
          <w:rFonts w:ascii="Arial" w:cs="Arial" w:eastAsia="Arial" w:hAnsi="Arial"/>
          <w:sz w:val="18"/>
          <w:szCs w:val="18"/>
          <w:color w:val="3B444B"/>
        </w:rPr>
        <w:t xml:space="preserve"> </w:t>
      </w:r>
      <w:r>
        <w:rPr>
          <w:rFonts w:ascii="Arial" w:cs="Arial" w:eastAsia="Arial" w:hAnsi="Arial"/>
          <w:sz w:val="18"/>
          <w:szCs w:val="18"/>
          <w:color w:val="2A313A"/>
        </w:rPr>
        <w:t>on your duties at Cytek</w:t>
      </w:r>
      <w:r>
        <w:rPr>
          <w:rFonts w:ascii="Arial" w:cs="Arial" w:eastAsia="Arial" w:hAnsi="Arial"/>
          <w:sz w:val="18"/>
          <w:szCs w:val="18"/>
          <w:color w:val="4F565D"/>
        </w:rPr>
        <w:t>.</w:t>
      </w:r>
      <w:r>
        <w:rPr>
          <w:rFonts w:ascii="Arial" w:cs="Arial" w:eastAsia="Arial" w:hAnsi="Arial"/>
          <w:sz w:val="18"/>
          <w:szCs w:val="18"/>
          <w:color w:val="3B444B"/>
        </w:rPr>
        <w:t xml:space="preserve"> Your </w:t>
      </w:r>
      <w:r>
        <w:rPr>
          <w:rFonts w:ascii="Arial" w:cs="Arial" w:eastAsia="Arial" w:hAnsi="Arial"/>
          <w:sz w:val="18"/>
          <w:szCs w:val="18"/>
          <w:color w:val="2A313A"/>
        </w:rPr>
        <w:t>home</w:t>
      </w:r>
      <w:r>
        <w:rPr>
          <w:rFonts w:ascii="Arial" w:cs="Arial" w:eastAsia="Arial" w:hAnsi="Arial"/>
          <w:sz w:val="18"/>
          <w:szCs w:val="18"/>
          <w:color w:val="3B444B"/>
        </w:rPr>
        <w:t xml:space="preserve"> base </w:t>
      </w:r>
      <w:r>
        <w:rPr>
          <w:rFonts w:ascii="Arial" w:cs="Arial" w:eastAsia="Arial" w:hAnsi="Arial"/>
          <w:sz w:val="18"/>
          <w:szCs w:val="18"/>
          <w:color w:val="2A313A"/>
        </w:rPr>
        <w:t>office will be 42715 Lakeview Blvd.,</w:t>
      </w:r>
      <w:r>
        <w:rPr>
          <w:rFonts w:ascii="Arial" w:cs="Arial" w:eastAsia="Arial" w:hAnsi="Arial"/>
          <w:sz w:val="18"/>
          <w:szCs w:val="18"/>
          <w:color w:val="3B444B"/>
        </w:rPr>
        <w:t xml:space="preserve"> </w:t>
      </w:r>
      <w:r>
        <w:rPr>
          <w:rFonts w:ascii="Arial" w:cs="Arial" w:eastAsia="Arial" w:hAnsi="Arial"/>
          <w:sz w:val="18"/>
          <w:szCs w:val="18"/>
          <w:color w:val="2A313A"/>
        </w:rPr>
        <w:t>Fremont, CA 94358</w:t>
      </w:r>
      <w:r>
        <w:rPr>
          <w:rFonts w:ascii="Arial" w:cs="Arial" w:eastAsia="Arial" w:hAnsi="Arial"/>
          <w:sz w:val="18"/>
          <w:szCs w:val="18"/>
          <w:color w:val="4F565D"/>
        </w:rPr>
        <w:t>.</w:t>
      </w:r>
      <w:r>
        <w:rPr>
          <w:rFonts w:ascii="Arial" w:cs="Arial" w:eastAsia="Arial" w:hAnsi="Arial"/>
          <w:sz w:val="18"/>
          <w:szCs w:val="18"/>
          <w:color w:val="2A313A"/>
        </w:rPr>
        <w:t xml:space="preserve"> The Company may change </w:t>
      </w:r>
      <w:r>
        <w:rPr>
          <w:rFonts w:ascii="Arial" w:cs="Arial" w:eastAsia="Arial" w:hAnsi="Arial"/>
          <w:sz w:val="18"/>
          <w:szCs w:val="18"/>
          <w:color w:val="3B444B"/>
        </w:rPr>
        <w:t>your</w:t>
      </w:r>
      <w:r>
        <w:rPr>
          <w:rFonts w:ascii="Arial" w:cs="Arial" w:eastAsia="Arial" w:hAnsi="Arial"/>
          <w:sz w:val="18"/>
          <w:szCs w:val="18"/>
          <w:color w:val="2A313A"/>
        </w:rPr>
        <w:t xml:space="preserve"> position</w:t>
      </w:r>
      <w:r>
        <w:rPr>
          <w:rFonts w:ascii="Arial" w:cs="Arial" w:eastAsia="Arial" w:hAnsi="Arial"/>
          <w:sz w:val="18"/>
          <w:szCs w:val="18"/>
          <w:color w:val="4F565D"/>
        </w:rPr>
        <w:t>,</w:t>
      </w:r>
      <w:r>
        <w:rPr>
          <w:rFonts w:ascii="Arial" w:cs="Arial" w:eastAsia="Arial" w:hAnsi="Arial"/>
          <w:sz w:val="18"/>
          <w:szCs w:val="18"/>
          <w:color w:val="2A313A"/>
        </w:rPr>
        <w:t xml:space="preserve"> duties</w:t>
      </w:r>
      <w:r>
        <w:rPr>
          <w:rFonts w:ascii="Arial" w:cs="Arial" w:eastAsia="Arial" w:hAnsi="Arial"/>
          <w:sz w:val="18"/>
          <w:szCs w:val="18"/>
          <w:color w:val="4F565D"/>
        </w:rPr>
        <w:t>,</w:t>
      </w:r>
      <w:r>
        <w:rPr>
          <w:rFonts w:ascii="Arial" w:cs="Arial" w:eastAsia="Arial" w:hAnsi="Arial"/>
          <w:sz w:val="18"/>
          <w:szCs w:val="18"/>
          <w:color w:val="2A313A"/>
        </w:rPr>
        <w:t xml:space="preserve"> and work </w:t>
      </w:r>
      <w:r>
        <w:rPr>
          <w:rFonts w:ascii="Arial" w:cs="Arial" w:eastAsia="Arial" w:hAnsi="Arial"/>
          <w:sz w:val="18"/>
          <w:szCs w:val="18"/>
          <w:color w:val="3B444B"/>
        </w:rPr>
        <w:t>location</w:t>
      </w:r>
      <w:r>
        <w:rPr>
          <w:rFonts w:ascii="Arial" w:cs="Arial" w:eastAsia="Arial" w:hAnsi="Arial"/>
          <w:sz w:val="18"/>
          <w:szCs w:val="18"/>
          <w:color w:val="2A313A"/>
        </w:rPr>
        <w:t xml:space="preserve"> from time to time as it deems necessary.</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B444B"/>
        </w:rPr>
        <w:t xml:space="preserve">Subject </w:t>
      </w:r>
      <w:r>
        <w:rPr>
          <w:rFonts w:ascii="Arial" w:cs="Arial" w:eastAsia="Arial" w:hAnsi="Arial"/>
          <w:sz w:val="18"/>
          <w:szCs w:val="18"/>
          <w:color w:val="2A313A"/>
        </w:rPr>
        <w:t>to approval</w:t>
      </w:r>
      <w:r>
        <w:rPr>
          <w:rFonts w:ascii="Arial" w:cs="Arial" w:eastAsia="Arial" w:hAnsi="Arial"/>
          <w:sz w:val="18"/>
          <w:szCs w:val="18"/>
          <w:color w:val="3B444B"/>
        </w:rPr>
        <w:t xml:space="preserve"> by the </w:t>
      </w:r>
      <w:r>
        <w:rPr>
          <w:rFonts w:ascii="Arial" w:cs="Arial" w:eastAsia="Arial" w:hAnsi="Arial"/>
          <w:sz w:val="18"/>
          <w:szCs w:val="18"/>
          <w:color w:val="2A313A"/>
        </w:rPr>
        <w:t>Company’s Board of Directors</w:t>
      </w:r>
      <w:r>
        <w:rPr>
          <w:rFonts w:ascii="Arial" w:cs="Arial" w:eastAsia="Arial" w:hAnsi="Arial"/>
          <w:sz w:val="18"/>
          <w:szCs w:val="18"/>
          <w:color w:val="3B444B"/>
        </w:rPr>
        <w:t xml:space="preserve"> (the </w:t>
      </w:r>
      <w:r>
        <w:rPr>
          <w:rFonts w:ascii="Arial" w:cs="Arial" w:eastAsia="Arial" w:hAnsi="Arial"/>
          <w:sz w:val="18"/>
          <w:szCs w:val="18"/>
          <w:color w:val="4F565D"/>
        </w:rPr>
        <w:t>“</w:t>
      </w:r>
      <w:r>
        <w:rPr>
          <w:rFonts w:ascii="Arial" w:cs="Arial" w:eastAsia="Arial" w:hAnsi="Arial"/>
          <w:sz w:val="18"/>
          <w:szCs w:val="18"/>
          <w:color w:val="2A313A"/>
        </w:rPr>
        <w:t>Board</w:t>
      </w:r>
      <w:r>
        <w:rPr>
          <w:rFonts w:ascii="Arial" w:cs="Arial" w:eastAsia="Arial" w:hAnsi="Arial"/>
          <w:sz w:val="18"/>
          <w:szCs w:val="18"/>
          <w:color w:val="4F565D"/>
        </w:rPr>
        <w:t>”</w:t>
      </w:r>
      <w:r>
        <w:rPr>
          <w:rFonts w:ascii="Arial" w:cs="Arial" w:eastAsia="Arial" w:hAnsi="Arial"/>
          <w:sz w:val="18"/>
          <w:szCs w:val="18"/>
          <w:color w:val="2A313A"/>
        </w:rPr>
        <w:t>)</w:t>
      </w:r>
      <w:r>
        <w:rPr>
          <w:rFonts w:ascii="Arial" w:cs="Arial" w:eastAsia="Arial" w:hAnsi="Arial"/>
          <w:sz w:val="18"/>
          <w:szCs w:val="18"/>
          <w:color w:val="4F565D"/>
        </w:rPr>
        <w:t>,</w:t>
      </w:r>
      <w:r>
        <w:rPr>
          <w:rFonts w:ascii="Arial" w:cs="Arial" w:eastAsia="Arial" w:hAnsi="Arial"/>
          <w:sz w:val="18"/>
          <w:szCs w:val="18"/>
          <w:color w:val="3B444B"/>
        </w:rPr>
        <w:t xml:space="preserve"> </w:t>
      </w:r>
      <w:r>
        <w:rPr>
          <w:rFonts w:ascii="Arial" w:cs="Arial" w:eastAsia="Arial" w:hAnsi="Arial"/>
          <w:sz w:val="18"/>
          <w:szCs w:val="18"/>
          <w:color w:val="2A313A"/>
        </w:rPr>
        <w:t>your annual</w:t>
      </w:r>
      <w:r>
        <w:rPr>
          <w:rFonts w:ascii="Arial" w:cs="Arial" w:eastAsia="Arial" w:hAnsi="Arial"/>
          <w:sz w:val="18"/>
          <w:szCs w:val="18"/>
          <w:color w:val="3B444B"/>
        </w:rPr>
        <w:t xml:space="preserve"> base </w:t>
      </w:r>
      <w:r>
        <w:rPr>
          <w:rFonts w:ascii="Arial" w:cs="Arial" w:eastAsia="Arial" w:hAnsi="Arial"/>
          <w:sz w:val="18"/>
          <w:szCs w:val="18"/>
          <w:color w:val="2A313A"/>
        </w:rPr>
        <w:t>salary</w:t>
      </w:r>
      <w:r>
        <w:rPr>
          <w:rFonts w:ascii="Arial" w:cs="Arial" w:eastAsia="Arial" w:hAnsi="Arial"/>
          <w:sz w:val="18"/>
          <w:szCs w:val="18"/>
          <w:color w:val="3B444B"/>
        </w:rPr>
        <w:t xml:space="preserve"> will be $ 350,000 </w:t>
      </w:r>
      <w:r>
        <w:rPr>
          <w:rFonts w:ascii="Arial" w:cs="Arial" w:eastAsia="Arial" w:hAnsi="Arial"/>
          <w:sz w:val="18"/>
          <w:szCs w:val="18"/>
          <w:color w:val="2A313A"/>
        </w:rPr>
        <w:t>less payroll deductions and</w:t>
      </w:r>
      <w:r>
        <w:rPr>
          <w:rFonts w:ascii="Arial" w:cs="Arial" w:eastAsia="Arial" w:hAnsi="Arial"/>
          <w:sz w:val="18"/>
          <w:szCs w:val="18"/>
          <w:color w:val="3B444B"/>
        </w:rPr>
        <w:t xml:space="preserve"> </w:t>
      </w:r>
      <w:r>
        <w:rPr>
          <w:rFonts w:ascii="Arial" w:cs="Arial" w:eastAsia="Arial" w:hAnsi="Arial"/>
          <w:sz w:val="18"/>
          <w:szCs w:val="18"/>
          <w:color w:val="2A313A"/>
        </w:rPr>
        <w:t xml:space="preserve">all required withholdings. You are eligible </w:t>
      </w:r>
      <w:r>
        <w:rPr>
          <w:rFonts w:ascii="Arial" w:cs="Arial" w:eastAsia="Arial" w:hAnsi="Arial"/>
          <w:sz w:val="18"/>
          <w:szCs w:val="18"/>
          <w:color w:val="3B444B"/>
        </w:rPr>
        <w:t>to</w:t>
      </w:r>
      <w:r>
        <w:rPr>
          <w:rFonts w:ascii="Arial" w:cs="Arial" w:eastAsia="Arial" w:hAnsi="Arial"/>
          <w:sz w:val="18"/>
          <w:szCs w:val="18"/>
          <w:color w:val="2A313A"/>
        </w:rPr>
        <w:t xml:space="preserve"> participate </w:t>
      </w:r>
      <w:r>
        <w:rPr>
          <w:rFonts w:ascii="Arial" w:cs="Arial" w:eastAsia="Arial" w:hAnsi="Arial"/>
          <w:sz w:val="18"/>
          <w:szCs w:val="18"/>
          <w:color w:val="3B444B"/>
        </w:rPr>
        <w:t>in Cytek’s</w:t>
      </w:r>
      <w:r>
        <w:rPr>
          <w:rFonts w:ascii="Arial" w:cs="Arial" w:eastAsia="Arial" w:hAnsi="Arial"/>
          <w:sz w:val="18"/>
          <w:szCs w:val="18"/>
          <w:color w:val="2A313A"/>
        </w:rPr>
        <w:t xml:space="preserve"> Annual Bonus Program. Your target bonus </w:t>
      </w:r>
      <w:r>
        <w:rPr>
          <w:rFonts w:ascii="Arial" w:cs="Arial" w:eastAsia="Arial" w:hAnsi="Arial"/>
          <w:sz w:val="18"/>
          <w:szCs w:val="18"/>
          <w:color w:val="3B444B"/>
        </w:rPr>
        <w:t>is</w:t>
      </w:r>
      <w:r>
        <w:rPr>
          <w:rFonts w:ascii="Arial" w:cs="Arial" w:eastAsia="Arial" w:hAnsi="Arial"/>
          <w:sz w:val="18"/>
          <w:szCs w:val="18"/>
          <w:color w:val="2A313A"/>
        </w:rPr>
        <w:t xml:space="preserve"> 40% of your annual base salary</w:t>
      </w:r>
      <w:r>
        <w:rPr>
          <w:rFonts w:ascii="Arial" w:cs="Arial" w:eastAsia="Arial" w:hAnsi="Arial"/>
          <w:sz w:val="18"/>
          <w:szCs w:val="18"/>
          <w:color w:val="4F565D"/>
        </w:rPr>
        <w:t>.</w:t>
      </w:r>
      <w:r>
        <w:rPr>
          <w:rFonts w:ascii="Arial" w:cs="Arial" w:eastAsia="Arial" w:hAnsi="Arial"/>
          <w:sz w:val="18"/>
          <w:szCs w:val="18"/>
          <w:color w:val="2A313A"/>
        </w:rPr>
        <w:t xml:space="preserve"> Actual </w:t>
      </w:r>
      <w:r>
        <w:rPr>
          <w:rFonts w:ascii="Arial" w:cs="Arial" w:eastAsia="Arial" w:hAnsi="Arial"/>
          <w:sz w:val="18"/>
          <w:szCs w:val="18"/>
          <w:color w:val="3B444B"/>
        </w:rPr>
        <w:t>payout is dependent</w:t>
      </w:r>
      <w:r>
        <w:rPr>
          <w:rFonts w:ascii="Arial" w:cs="Arial" w:eastAsia="Arial" w:hAnsi="Arial"/>
          <w:sz w:val="18"/>
          <w:szCs w:val="18"/>
          <w:color w:val="2A313A"/>
        </w:rPr>
        <w:t xml:space="preserve"> on your performance and Company’s overall performance.</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A313A"/>
        </w:rPr>
        <w:t xml:space="preserve">Subject to </w:t>
      </w:r>
      <w:r>
        <w:rPr>
          <w:rFonts w:ascii="Arial" w:cs="Arial" w:eastAsia="Arial" w:hAnsi="Arial"/>
          <w:sz w:val="18"/>
          <w:szCs w:val="18"/>
          <w:color w:val="3B444B"/>
        </w:rPr>
        <w:t>your continuous</w:t>
      </w:r>
      <w:r>
        <w:rPr>
          <w:rFonts w:ascii="Arial" w:cs="Arial" w:eastAsia="Arial" w:hAnsi="Arial"/>
          <w:sz w:val="18"/>
          <w:szCs w:val="18"/>
          <w:color w:val="2A313A"/>
        </w:rPr>
        <w:t xml:space="preserve"> full-time employment with the Company for a period of 90 days, you </w:t>
      </w:r>
      <w:r>
        <w:rPr>
          <w:rFonts w:ascii="Arial" w:cs="Arial" w:eastAsia="Arial" w:hAnsi="Arial"/>
          <w:sz w:val="18"/>
          <w:szCs w:val="18"/>
          <w:color w:val="3B444B"/>
        </w:rPr>
        <w:t>will</w:t>
      </w:r>
      <w:r>
        <w:rPr>
          <w:rFonts w:ascii="Arial" w:cs="Arial" w:eastAsia="Arial" w:hAnsi="Arial"/>
          <w:sz w:val="18"/>
          <w:szCs w:val="18"/>
          <w:color w:val="2A313A"/>
        </w:rPr>
        <w:t xml:space="preserve"> also </w:t>
      </w:r>
      <w:r>
        <w:rPr>
          <w:rFonts w:ascii="Arial" w:cs="Arial" w:eastAsia="Arial" w:hAnsi="Arial"/>
          <w:sz w:val="18"/>
          <w:szCs w:val="18"/>
          <w:color w:val="3B444B"/>
        </w:rPr>
        <w:t>receive</w:t>
      </w:r>
      <w:r>
        <w:rPr>
          <w:rFonts w:ascii="Arial" w:cs="Arial" w:eastAsia="Arial" w:hAnsi="Arial"/>
          <w:sz w:val="18"/>
          <w:szCs w:val="18"/>
          <w:color w:val="2A313A"/>
        </w:rPr>
        <w:t xml:space="preserve"> a one-time </w:t>
      </w:r>
      <w:r>
        <w:rPr>
          <w:rFonts w:ascii="Arial" w:cs="Arial" w:eastAsia="Arial" w:hAnsi="Arial"/>
          <w:sz w:val="18"/>
          <w:szCs w:val="18"/>
          <w:color w:val="3B444B"/>
        </w:rPr>
        <w:t>sign-on</w:t>
      </w:r>
      <w:r>
        <w:rPr>
          <w:rFonts w:ascii="Arial" w:cs="Arial" w:eastAsia="Arial" w:hAnsi="Arial"/>
          <w:sz w:val="18"/>
          <w:szCs w:val="18"/>
          <w:color w:val="2A313A"/>
        </w:rPr>
        <w:t xml:space="preserve"> bonus of $50,000 less payroll deductions and all required withholdings</w:t>
      </w:r>
      <w:r>
        <w:rPr>
          <w:rFonts w:ascii="Arial" w:cs="Arial" w:eastAsia="Arial" w:hAnsi="Arial"/>
          <w:sz w:val="18"/>
          <w:szCs w:val="18"/>
          <w:color w:val="4F565D"/>
        </w:rPr>
        <w:t>.</w:t>
      </w:r>
      <w:r>
        <w:rPr>
          <w:rFonts w:ascii="Arial" w:cs="Arial" w:eastAsia="Arial" w:hAnsi="Arial"/>
          <w:sz w:val="18"/>
          <w:szCs w:val="18"/>
          <w:color w:val="2A313A"/>
        </w:rPr>
        <w:t xml:space="preserve"> The sign-on benefit is refundable if you voluntarily terminate your service with </w:t>
      </w:r>
      <w:r>
        <w:rPr>
          <w:rFonts w:ascii="Arial" w:cs="Arial" w:eastAsia="Arial" w:hAnsi="Arial"/>
          <w:sz w:val="18"/>
          <w:szCs w:val="18"/>
          <w:color w:val="3B444B"/>
        </w:rPr>
        <w:t xml:space="preserve">the company </w:t>
      </w:r>
      <w:r>
        <w:rPr>
          <w:rFonts w:ascii="Arial" w:cs="Arial" w:eastAsia="Arial" w:hAnsi="Arial"/>
          <w:sz w:val="18"/>
          <w:szCs w:val="18"/>
          <w:color w:val="2A313A"/>
        </w:rPr>
        <w:t>within</w:t>
      </w:r>
      <w:r>
        <w:rPr>
          <w:rFonts w:ascii="Arial" w:cs="Arial" w:eastAsia="Arial" w:hAnsi="Arial"/>
          <w:sz w:val="18"/>
          <w:szCs w:val="18"/>
          <w:color w:val="3B444B"/>
        </w:rPr>
        <w:t xml:space="preserve"> 12 </w:t>
      </w:r>
      <w:r>
        <w:rPr>
          <w:rFonts w:ascii="Arial" w:cs="Arial" w:eastAsia="Arial" w:hAnsi="Arial"/>
          <w:sz w:val="18"/>
          <w:szCs w:val="18"/>
          <w:color w:val="2A313A"/>
        </w:rPr>
        <w:t>months following your start of work at Cytek.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3B444B"/>
        </w:rPr>
        <w:t xml:space="preserve">You </w:t>
      </w:r>
      <w:r>
        <w:rPr>
          <w:rFonts w:ascii="Arial" w:cs="Arial" w:eastAsia="Arial" w:hAnsi="Arial"/>
          <w:sz w:val="18"/>
          <w:szCs w:val="18"/>
          <w:color w:val="2A313A"/>
        </w:rPr>
        <w:t>will be paid semi</w:t>
      </w:r>
      <w:r>
        <w:rPr>
          <w:rFonts w:ascii="Arial" w:cs="Arial" w:eastAsia="Arial" w:hAnsi="Arial"/>
          <w:sz w:val="18"/>
          <w:szCs w:val="18"/>
          <w:color w:val="4F565D"/>
        </w:rPr>
        <w:t>-</w:t>
      </w:r>
      <w:r>
        <w:rPr>
          <w:rFonts w:ascii="Arial" w:cs="Arial" w:eastAsia="Arial" w:hAnsi="Arial"/>
          <w:sz w:val="18"/>
          <w:szCs w:val="18"/>
          <w:color w:val="2A313A"/>
        </w:rPr>
        <w:t>monthly, and you will be eligible for the following standard company</w:t>
      </w:r>
      <w:r>
        <w:rPr>
          <w:rFonts w:ascii="Arial" w:cs="Arial" w:eastAsia="Arial" w:hAnsi="Arial"/>
          <w:sz w:val="18"/>
          <w:szCs w:val="18"/>
          <w:color w:val="3B444B"/>
        </w:rPr>
        <w:t xml:space="preserve"> benefits:[1]</w:t>
      </w:r>
    </w:p>
    <w:p>
      <w:pPr>
        <w:spacing w:after="0" w:line="200" w:lineRule="exact"/>
        <w:rPr>
          <w:sz w:val="20"/>
          <w:szCs w:val="20"/>
          <w:color w:val="auto"/>
        </w:rPr>
      </w:pPr>
    </w:p>
    <w:p>
      <w:pPr>
        <w:spacing w:after="0" w:line="282" w:lineRule="exact"/>
        <w:rPr>
          <w:sz w:val="20"/>
          <w:szCs w:val="20"/>
          <w:color w:val="auto"/>
        </w:rPr>
      </w:pPr>
    </w:p>
    <w:p>
      <w:pPr>
        <w:ind w:left="800"/>
        <w:spacing w:after="0"/>
        <w:rPr>
          <w:sz w:val="20"/>
          <w:szCs w:val="20"/>
          <w:color w:val="auto"/>
        </w:rPr>
      </w:pPr>
      <w:r>
        <w:rPr>
          <w:rFonts w:ascii="Arial" w:cs="Arial" w:eastAsia="Arial" w:hAnsi="Arial"/>
          <w:sz w:val="18"/>
          <w:szCs w:val="18"/>
          <w:color w:val="2A313A"/>
        </w:rPr>
        <w:t>Medical Dental</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8"/>
          <w:szCs w:val="18"/>
          <w:color w:val="2A313A"/>
        </w:rPr>
        <w:t xml:space="preserve">Life </w:t>
      </w:r>
      <w:r>
        <w:rPr>
          <w:rFonts w:ascii="Arial" w:cs="Arial" w:eastAsia="Arial" w:hAnsi="Arial"/>
          <w:sz w:val="18"/>
          <w:szCs w:val="18"/>
          <w:color w:val="3B444B"/>
        </w:rPr>
        <w:t>insurance</w:t>
      </w:r>
      <w:r>
        <w:rPr>
          <w:rFonts w:ascii="Arial" w:cs="Arial" w:eastAsia="Arial" w:hAnsi="Arial"/>
          <w:sz w:val="18"/>
          <w:szCs w:val="18"/>
          <w:color w:val="2A313A"/>
        </w:rPr>
        <w:t xml:space="preserve"> 401K plan</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8"/>
          <w:szCs w:val="18"/>
          <w:color w:val="2A313A"/>
        </w:rPr>
        <w:t xml:space="preserve">Flexible account </w:t>
      </w:r>
      <w:r>
        <w:rPr>
          <w:rFonts w:ascii="Arial" w:cs="Arial" w:eastAsia="Arial" w:hAnsi="Arial"/>
          <w:sz w:val="18"/>
          <w:szCs w:val="18"/>
          <w:color w:val="3B444B"/>
        </w:rPr>
        <w:t>(HSA,</w:t>
      </w:r>
      <w:r>
        <w:rPr>
          <w:rFonts w:ascii="Arial" w:cs="Arial" w:eastAsia="Arial" w:hAnsi="Arial"/>
          <w:sz w:val="18"/>
          <w:szCs w:val="18"/>
          <w:color w:val="2A313A"/>
        </w:rPr>
        <w:t xml:space="preserve"> FSA) Vision</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8"/>
          <w:szCs w:val="18"/>
          <w:color w:val="2A313A"/>
        </w:rPr>
        <w:t>10 US Holidays Unlimited PTO</w:t>
      </w:r>
    </w:p>
    <w:p>
      <w:pPr>
        <w:spacing w:after="0" w:line="200" w:lineRule="exact"/>
        <w:rPr>
          <w:sz w:val="20"/>
          <w:szCs w:val="20"/>
          <w:color w:val="auto"/>
        </w:rPr>
      </w:pPr>
    </w:p>
    <w:p>
      <w:pPr>
        <w:spacing w:after="0" w:line="27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3B444B"/>
        </w:rPr>
        <w:t xml:space="preserve">Subject </w:t>
      </w:r>
      <w:r>
        <w:rPr>
          <w:rFonts w:ascii="Arial" w:cs="Arial" w:eastAsia="Arial" w:hAnsi="Arial"/>
          <w:sz w:val="18"/>
          <w:szCs w:val="18"/>
          <w:color w:val="2A313A"/>
        </w:rPr>
        <w:t>to approval by the Board or a committee of the Board and your execution of</w:t>
      </w:r>
      <w:r>
        <w:rPr>
          <w:rFonts w:ascii="Arial" w:cs="Arial" w:eastAsia="Arial" w:hAnsi="Arial"/>
          <w:sz w:val="18"/>
          <w:szCs w:val="18"/>
          <w:color w:val="3B444B"/>
        </w:rPr>
        <w:t xml:space="preserve"> related documents, </w:t>
      </w:r>
      <w:r>
        <w:rPr>
          <w:rFonts w:ascii="Arial" w:cs="Arial" w:eastAsia="Arial" w:hAnsi="Arial"/>
          <w:sz w:val="18"/>
          <w:szCs w:val="18"/>
          <w:color w:val="2A313A"/>
        </w:rPr>
        <w:t>you will</w:t>
      </w:r>
      <w:r>
        <w:rPr>
          <w:rFonts w:ascii="Arial" w:cs="Arial" w:eastAsia="Arial" w:hAnsi="Arial"/>
          <w:sz w:val="18"/>
          <w:szCs w:val="18"/>
          <w:color w:val="3B444B"/>
        </w:rPr>
        <w:t xml:space="preserve"> receive </w:t>
      </w:r>
      <w:r>
        <w:rPr>
          <w:rFonts w:ascii="Arial" w:cs="Arial" w:eastAsia="Arial" w:hAnsi="Arial"/>
          <w:sz w:val="18"/>
          <w:szCs w:val="18"/>
          <w:color w:val="2A313A"/>
        </w:rPr>
        <w:t>equity grants in the</w:t>
      </w:r>
      <w:r>
        <w:rPr>
          <w:rFonts w:ascii="Arial" w:cs="Arial" w:eastAsia="Arial" w:hAnsi="Arial"/>
          <w:sz w:val="18"/>
          <w:szCs w:val="18"/>
          <w:color w:val="3B444B"/>
        </w:rPr>
        <w:t xml:space="preserve"> </w:t>
      </w:r>
      <w:r>
        <w:rPr>
          <w:rFonts w:ascii="Arial" w:cs="Arial" w:eastAsia="Arial" w:hAnsi="Arial"/>
          <w:sz w:val="18"/>
          <w:szCs w:val="18"/>
          <w:color w:val="2A313A"/>
        </w:rPr>
        <w:t xml:space="preserve">value amount of $450,000, comprised of 50% </w:t>
      </w:r>
      <w:r>
        <w:rPr>
          <w:rFonts w:ascii="Arial" w:cs="Arial" w:eastAsia="Arial" w:hAnsi="Arial"/>
          <w:sz w:val="18"/>
          <w:szCs w:val="18"/>
          <w:color w:val="3B444B"/>
        </w:rPr>
        <w:t>value</w:t>
      </w:r>
      <w:r>
        <w:rPr>
          <w:rFonts w:ascii="Arial" w:cs="Arial" w:eastAsia="Arial" w:hAnsi="Arial"/>
          <w:sz w:val="18"/>
          <w:szCs w:val="18"/>
          <w:color w:val="2A313A"/>
        </w:rPr>
        <w:t xml:space="preserve"> </w:t>
      </w:r>
      <w:r>
        <w:rPr>
          <w:rFonts w:ascii="Arial" w:cs="Arial" w:eastAsia="Arial" w:hAnsi="Arial"/>
          <w:sz w:val="18"/>
          <w:szCs w:val="18"/>
          <w:color w:val="4F565D"/>
        </w:rPr>
        <w:t>in</w:t>
      </w:r>
      <w:r>
        <w:rPr>
          <w:rFonts w:ascii="Arial" w:cs="Arial" w:eastAsia="Arial" w:hAnsi="Arial"/>
          <w:sz w:val="18"/>
          <w:szCs w:val="18"/>
          <w:color w:val="2A313A"/>
        </w:rPr>
        <w:t xml:space="preserve"> stock options and </w:t>
      </w:r>
      <w:r>
        <w:rPr>
          <w:rFonts w:ascii="Arial" w:cs="Arial" w:eastAsia="Arial" w:hAnsi="Arial"/>
          <w:sz w:val="18"/>
          <w:szCs w:val="18"/>
          <w:color w:val="3B444B"/>
        </w:rPr>
        <w:t>50%</w:t>
      </w:r>
      <w:r>
        <w:rPr>
          <w:rFonts w:ascii="Arial" w:cs="Arial" w:eastAsia="Arial" w:hAnsi="Arial"/>
          <w:sz w:val="18"/>
          <w:szCs w:val="18"/>
          <w:color w:val="2A313A"/>
        </w:rPr>
        <w:t xml:space="preserve"> value </w:t>
      </w:r>
      <w:r>
        <w:rPr>
          <w:rFonts w:ascii="Arial" w:cs="Arial" w:eastAsia="Arial" w:hAnsi="Arial"/>
          <w:sz w:val="18"/>
          <w:szCs w:val="18"/>
          <w:color w:val="3B444B"/>
        </w:rPr>
        <w:t>in</w:t>
      </w:r>
      <w:r>
        <w:rPr>
          <w:rFonts w:ascii="Arial" w:cs="Arial" w:eastAsia="Arial" w:hAnsi="Arial"/>
          <w:sz w:val="18"/>
          <w:szCs w:val="18"/>
          <w:color w:val="2A313A"/>
        </w:rPr>
        <w:t xml:space="preserve"> restricted stock units </w:t>
      </w:r>
      <w:r>
        <w:rPr>
          <w:rFonts w:ascii="Arial" w:cs="Arial" w:eastAsia="Arial" w:hAnsi="Arial"/>
          <w:sz w:val="18"/>
          <w:szCs w:val="18"/>
          <w:color w:val="3B444B"/>
        </w:rPr>
        <w:t>(RSUs)</w:t>
      </w:r>
      <w:r>
        <w:rPr>
          <w:rFonts w:ascii="Arial" w:cs="Arial" w:eastAsia="Arial" w:hAnsi="Arial"/>
          <w:sz w:val="18"/>
          <w:szCs w:val="18"/>
          <w:color w:val="606767"/>
        </w:rPr>
        <w:t>.</w:t>
      </w:r>
    </w:p>
    <w:p>
      <w:pPr>
        <w:jc w:val="both"/>
        <w:ind w:left="660" w:hanging="328"/>
        <w:spacing w:after="0" w:line="24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2A313A"/>
        </w:rPr>
        <w:t xml:space="preserve">The </w:t>
      </w:r>
      <w:r>
        <w:rPr>
          <w:rFonts w:ascii="Arial" w:cs="Arial" w:eastAsia="Arial" w:hAnsi="Arial"/>
          <w:sz w:val="18"/>
          <w:szCs w:val="18"/>
          <w:color w:val="3B444B"/>
        </w:rPr>
        <w:t>number</w:t>
      </w:r>
      <w:r>
        <w:rPr>
          <w:rFonts w:ascii="Arial" w:cs="Arial" w:eastAsia="Arial" w:hAnsi="Arial"/>
          <w:sz w:val="18"/>
          <w:szCs w:val="18"/>
          <w:color w:val="2A313A"/>
        </w:rPr>
        <w:t xml:space="preserve"> of stock options will be determined based upon the fair value </w:t>
      </w:r>
      <w:r>
        <w:rPr>
          <w:rFonts w:ascii="Arial" w:cs="Arial" w:eastAsia="Arial" w:hAnsi="Arial"/>
          <w:sz w:val="18"/>
          <w:szCs w:val="18"/>
          <w:color w:val="3B444B"/>
        </w:rPr>
        <w:t>(Black-Scholes</w:t>
      </w:r>
      <w:r>
        <w:rPr>
          <w:rFonts w:ascii="Arial" w:cs="Arial" w:eastAsia="Arial" w:hAnsi="Arial"/>
          <w:sz w:val="18"/>
          <w:szCs w:val="18"/>
          <w:color w:val="2A313A"/>
        </w:rPr>
        <w:t xml:space="preserve"> methodology) of Cytek common stock on the date of grant. The stock options will vest over four years with 25% vesting on the first anniversary of your date of employment and </w:t>
      </w:r>
      <w:r>
        <w:rPr>
          <w:rFonts w:ascii="Arial" w:cs="Arial" w:eastAsia="Arial" w:hAnsi="Arial"/>
          <w:sz w:val="18"/>
          <w:szCs w:val="18"/>
          <w:color w:val="3B444B"/>
        </w:rPr>
        <w:t>1/48</w:t>
      </w:r>
      <w:r>
        <w:rPr>
          <w:rFonts w:ascii="Arial" w:cs="Arial" w:eastAsia="Arial" w:hAnsi="Arial"/>
          <w:sz w:val="18"/>
          <w:szCs w:val="18"/>
          <w:color w:val="2A313A"/>
        </w:rPr>
        <w:t xml:space="preserve"> of </w:t>
      </w:r>
      <w:r>
        <w:rPr>
          <w:rFonts w:ascii="Arial" w:cs="Arial" w:eastAsia="Arial" w:hAnsi="Arial"/>
          <w:sz w:val="18"/>
          <w:szCs w:val="18"/>
          <w:color w:val="3B444B"/>
        </w:rPr>
        <w:t>the</w:t>
      </w:r>
      <w:r>
        <w:rPr>
          <w:rFonts w:ascii="Arial" w:cs="Arial" w:eastAsia="Arial" w:hAnsi="Arial"/>
          <w:sz w:val="18"/>
          <w:szCs w:val="18"/>
          <w:color w:val="2A313A"/>
        </w:rPr>
        <w:t xml:space="preserve"> total grant </w:t>
      </w:r>
      <w:r>
        <w:rPr>
          <w:rFonts w:ascii="Arial" w:cs="Arial" w:eastAsia="Arial" w:hAnsi="Arial"/>
          <w:sz w:val="18"/>
          <w:szCs w:val="18"/>
          <w:color w:val="3B444B"/>
        </w:rPr>
        <w:t>vesting</w:t>
      </w:r>
      <w:r>
        <w:rPr>
          <w:rFonts w:ascii="Arial" w:cs="Arial" w:eastAsia="Arial" w:hAnsi="Arial"/>
          <w:sz w:val="18"/>
          <w:szCs w:val="18"/>
          <w:color w:val="2A313A"/>
        </w:rPr>
        <w:t xml:space="preserve"> each month thereafter, subject to the conditions of the grant </w:t>
      </w:r>
      <w:r>
        <w:rPr>
          <w:rFonts w:ascii="Arial" w:cs="Arial" w:eastAsia="Arial" w:hAnsi="Arial"/>
          <w:sz w:val="18"/>
          <w:szCs w:val="18"/>
          <w:color w:val="3B444B"/>
        </w:rPr>
        <w:t>and your continuous</w:t>
      </w:r>
      <w:r>
        <w:rPr>
          <w:rFonts w:ascii="Arial" w:cs="Arial" w:eastAsia="Arial" w:hAnsi="Arial"/>
          <w:sz w:val="18"/>
          <w:szCs w:val="18"/>
          <w:color w:val="2A313A"/>
        </w:rPr>
        <w:t xml:space="preserve"> service with the Company</w:t>
      </w:r>
      <w:r>
        <w:rPr>
          <w:rFonts w:ascii="Arial" w:cs="Arial" w:eastAsia="Arial" w:hAnsi="Arial"/>
          <w:sz w:val="18"/>
          <w:szCs w:val="18"/>
          <w:color w:val="606767"/>
        </w:rPr>
        <w:t>.</w:t>
      </w:r>
    </w:p>
    <w:p>
      <w:pPr>
        <w:spacing w:after="0" w:line="1" w:lineRule="exact"/>
        <w:rPr>
          <w:rFonts w:ascii="Arial" w:cs="Arial" w:eastAsia="Arial" w:hAnsi="Arial"/>
          <w:sz w:val="18"/>
          <w:szCs w:val="18"/>
          <w:color w:val="auto"/>
        </w:rPr>
      </w:pPr>
    </w:p>
    <w:p>
      <w:pPr>
        <w:ind w:left="660" w:hanging="328"/>
        <w:spacing w:after="0" w:line="24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2A313A"/>
        </w:rPr>
        <w:t>The number of RSUs will be determined based upon the closing sale price of Cytek common stock on the date of grant. The RSUs will vest at a rate of 25% on the first anniversary of your</w:t>
      </w:r>
    </w:p>
    <w:p>
      <w:pPr>
        <w:spacing w:after="0" w:line="1" w:lineRule="exact"/>
        <w:rPr>
          <w:rFonts w:ascii="Arial" w:cs="Arial" w:eastAsia="Arial" w:hAnsi="Arial"/>
          <w:sz w:val="18"/>
          <w:szCs w:val="18"/>
          <w:color w:val="auto"/>
        </w:rPr>
      </w:pPr>
    </w:p>
    <w:p>
      <w:pPr>
        <w:jc w:val="both"/>
        <w:ind w:left="660"/>
        <w:spacing w:after="0" w:line="250" w:lineRule="auto"/>
        <w:rPr>
          <w:rFonts w:ascii="Arial" w:cs="Arial" w:eastAsia="Arial" w:hAnsi="Arial"/>
          <w:sz w:val="18"/>
          <w:szCs w:val="18"/>
          <w:color w:val="auto"/>
        </w:rPr>
      </w:pPr>
      <w:r>
        <w:rPr>
          <w:rFonts w:ascii="Arial" w:cs="Arial" w:eastAsia="Arial" w:hAnsi="Arial"/>
          <w:sz w:val="18"/>
          <w:szCs w:val="18"/>
          <w:color w:val="2A313A"/>
        </w:rPr>
        <w:t>date of employment with the Company and in equal installments each quarter thereafter for the remaining three years; provided that RSUs will vest only on the Company’s preset RSU vesting dates, in each case, subject to your continued employment with the Company.</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A313A"/>
        </w:rPr>
        <w:t>Accord</w:t>
      </w:r>
      <w:r>
        <w:rPr>
          <w:rFonts w:ascii="Arial" w:cs="Arial" w:eastAsia="Arial" w:hAnsi="Arial"/>
          <w:sz w:val="18"/>
          <w:szCs w:val="18"/>
          <w:color w:val="242D36"/>
        </w:rPr>
        <w:t>ingly</w:t>
      </w:r>
      <w:r>
        <w:rPr>
          <w:rFonts w:ascii="Arial" w:cs="Arial" w:eastAsia="Arial" w:hAnsi="Arial"/>
          <w:sz w:val="18"/>
          <w:szCs w:val="18"/>
          <w:color w:val="495059"/>
        </w:rPr>
        <w:t>,</w:t>
      </w:r>
      <w:r>
        <w:rPr>
          <w:rFonts w:ascii="Arial" w:cs="Arial" w:eastAsia="Arial" w:hAnsi="Arial"/>
          <w:sz w:val="18"/>
          <w:szCs w:val="18"/>
          <w:color w:val="2A313A"/>
        </w:rPr>
        <w:t xml:space="preserve"> </w:t>
      </w:r>
      <w:r>
        <w:rPr>
          <w:rFonts w:ascii="Arial" w:cs="Arial" w:eastAsia="Arial" w:hAnsi="Arial"/>
          <w:sz w:val="18"/>
          <w:szCs w:val="18"/>
          <w:color w:val="343D46"/>
        </w:rPr>
        <w:t>the</w:t>
      </w:r>
      <w:r>
        <w:rPr>
          <w:rFonts w:ascii="Arial" w:cs="Arial" w:eastAsia="Arial" w:hAnsi="Arial"/>
          <w:sz w:val="18"/>
          <w:szCs w:val="18"/>
          <w:color w:val="2A313A"/>
        </w:rPr>
        <w:t xml:space="preserve"> </w:t>
      </w:r>
      <w:r>
        <w:rPr>
          <w:rFonts w:ascii="Arial" w:cs="Arial" w:eastAsia="Arial" w:hAnsi="Arial"/>
          <w:sz w:val="18"/>
          <w:szCs w:val="18"/>
          <w:color w:val="242D36"/>
        </w:rPr>
        <w:t>first tranche of your RSUs will</w:t>
      </w:r>
      <w:r>
        <w:rPr>
          <w:rFonts w:ascii="Arial" w:cs="Arial" w:eastAsia="Arial" w:hAnsi="Arial"/>
          <w:sz w:val="18"/>
          <w:szCs w:val="18"/>
          <w:color w:val="2A313A"/>
        </w:rPr>
        <w:t xml:space="preserve"> </w:t>
      </w:r>
      <w:r>
        <w:rPr>
          <w:rFonts w:ascii="Arial" w:cs="Arial" w:eastAsia="Arial" w:hAnsi="Arial"/>
          <w:sz w:val="18"/>
          <w:szCs w:val="18"/>
          <w:color w:val="343D46"/>
        </w:rPr>
        <w:t>not</w:t>
      </w:r>
      <w:r>
        <w:rPr>
          <w:rFonts w:ascii="Arial" w:cs="Arial" w:eastAsia="Arial" w:hAnsi="Arial"/>
          <w:sz w:val="18"/>
          <w:szCs w:val="18"/>
          <w:color w:val="2A313A"/>
        </w:rPr>
        <w:t xml:space="preserve"> </w:t>
      </w:r>
      <w:r>
        <w:rPr>
          <w:rFonts w:ascii="Arial" w:cs="Arial" w:eastAsia="Arial" w:hAnsi="Arial"/>
          <w:sz w:val="18"/>
          <w:szCs w:val="18"/>
          <w:color w:val="242D36"/>
        </w:rPr>
        <w:t>vest until the Company’s</w:t>
      </w:r>
      <w:r>
        <w:rPr>
          <w:rFonts w:ascii="Arial" w:cs="Arial" w:eastAsia="Arial" w:hAnsi="Arial"/>
          <w:sz w:val="18"/>
          <w:szCs w:val="18"/>
          <w:color w:val="2A313A"/>
        </w:rPr>
        <w:t xml:space="preserve"> </w:t>
      </w:r>
      <w:r>
        <w:rPr>
          <w:rFonts w:ascii="Arial" w:cs="Arial" w:eastAsia="Arial" w:hAnsi="Arial"/>
          <w:sz w:val="18"/>
          <w:szCs w:val="18"/>
          <w:color w:val="343D46"/>
        </w:rPr>
        <w:t>first preset RSU</w:t>
      </w:r>
      <w:r>
        <w:rPr>
          <w:rFonts w:ascii="Arial" w:cs="Arial" w:eastAsia="Arial" w:hAnsi="Arial"/>
          <w:sz w:val="18"/>
          <w:szCs w:val="18"/>
          <w:color w:val="2A313A"/>
        </w:rPr>
        <w:t xml:space="preserve"> </w:t>
      </w:r>
      <w:r>
        <w:rPr>
          <w:rFonts w:ascii="Arial" w:cs="Arial" w:eastAsia="Arial" w:hAnsi="Arial"/>
          <w:sz w:val="18"/>
          <w:szCs w:val="18"/>
          <w:color w:val="242D36"/>
        </w:rPr>
        <w:t>vesting date following the first anniversary of</w:t>
      </w:r>
      <w:r>
        <w:rPr>
          <w:rFonts w:ascii="Arial" w:cs="Arial" w:eastAsia="Arial" w:hAnsi="Arial"/>
          <w:sz w:val="18"/>
          <w:szCs w:val="18"/>
          <w:color w:val="2A313A"/>
        </w:rPr>
        <w:t xml:space="preserve"> </w:t>
      </w:r>
      <w:r>
        <w:rPr>
          <w:rFonts w:ascii="Arial" w:cs="Arial" w:eastAsia="Arial" w:hAnsi="Arial"/>
          <w:sz w:val="18"/>
          <w:szCs w:val="18"/>
          <w:color w:val="242D36"/>
        </w:rPr>
        <w:t xml:space="preserve">your date of employment with </w:t>
      </w:r>
      <w:r>
        <w:rPr>
          <w:rFonts w:ascii="Arial" w:cs="Arial" w:eastAsia="Arial" w:hAnsi="Arial"/>
          <w:sz w:val="18"/>
          <w:szCs w:val="18"/>
          <w:color w:val="343D46"/>
        </w:rPr>
        <w:t>the Company</w:t>
      </w:r>
      <w:r>
        <w:rPr>
          <w:rFonts w:ascii="Arial" w:cs="Arial" w:eastAsia="Arial" w:hAnsi="Arial"/>
          <w:sz w:val="18"/>
          <w:szCs w:val="18"/>
          <w:color w:val="242D36"/>
        </w:rPr>
        <w:t xml:space="preserve"> and </w:t>
      </w:r>
      <w:r>
        <w:rPr>
          <w:rFonts w:ascii="Arial" w:cs="Arial" w:eastAsia="Arial" w:hAnsi="Arial"/>
          <w:sz w:val="18"/>
          <w:szCs w:val="18"/>
          <w:color w:val="343D46"/>
        </w:rPr>
        <w:t>the</w:t>
      </w:r>
      <w:r>
        <w:rPr>
          <w:rFonts w:ascii="Arial" w:cs="Arial" w:eastAsia="Arial" w:hAnsi="Arial"/>
          <w:sz w:val="18"/>
          <w:szCs w:val="18"/>
          <w:color w:val="242D36"/>
        </w:rPr>
        <w:t xml:space="preserve"> number of RSUs vesting on such date will be adjusted accordingly</w:t>
      </w:r>
      <w:r>
        <w:rPr>
          <w:rFonts w:ascii="Arial" w:cs="Arial" w:eastAsia="Arial" w:hAnsi="Arial"/>
          <w:sz w:val="18"/>
          <w:szCs w:val="18"/>
          <w:color w:val="5B666B"/>
        </w:rPr>
        <w:t>.</w:t>
      </w:r>
      <w:r>
        <w:rPr>
          <w:rFonts w:ascii="Arial" w:cs="Arial" w:eastAsia="Arial" w:hAnsi="Arial"/>
          <w:sz w:val="18"/>
          <w:szCs w:val="18"/>
          <w:color w:val="242D36"/>
        </w:rPr>
        <w:t xml:space="preserve"> </w:t>
      </w:r>
      <w:r>
        <w:rPr>
          <w:rFonts w:ascii="Arial" w:cs="Arial" w:eastAsia="Arial" w:hAnsi="Arial"/>
          <w:sz w:val="18"/>
          <w:szCs w:val="18"/>
          <w:color w:val="495059"/>
        </w:rPr>
        <w:t>For</w:t>
      </w:r>
      <w:r>
        <w:rPr>
          <w:rFonts w:ascii="Arial" w:cs="Arial" w:eastAsia="Arial" w:hAnsi="Arial"/>
          <w:sz w:val="18"/>
          <w:szCs w:val="18"/>
          <w:color w:val="242D36"/>
        </w:rPr>
        <w:t xml:space="preserve"> </w:t>
      </w:r>
      <w:r>
        <w:rPr>
          <w:rFonts w:ascii="Arial" w:cs="Arial" w:eastAsia="Arial" w:hAnsi="Arial"/>
          <w:sz w:val="18"/>
          <w:szCs w:val="18"/>
          <w:color w:val="343D46"/>
        </w:rPr>
        <w:t>your reference,</w:t>
      </w:r>
      <w:r>
        <w:rPr>
          <w:rFonts w:ascii="Arial" w:cs="Arial" w:eastAsia="Arial" w:hAnsi="Arial"/>
          <w:sz w:val="18"/>
          <w:szCs w:val="18"/>
          <w:color w:val="242D36"/>
        </w:rPr>
        <w:t xml:space="preserve"> the Company</w:t>
      </w:r>
      <w:r>
        <w:rPr>
          <w:rFonts w:ascii="Arial" w:cs="Arial" w:eastAsia="Arial" w:hAnsi="Arial"/>
          <w:sz w:val="18"/>
          <w:szCs w:val="18"/>
          <w:color w:val="495059"/>
        </w:rPr>
        <w:t>’</w:t>
      </w:r>
      <w:r>
        <w:rPr>
          <w:rFonts w:ascii="Arial" w:cs="Arial" w:eastAsia="Arial" w:hAnsi="Arial"/>
          <w:sz w:val="18"/>
          <w:szCs w:val="18"/>
          <w:color w:val="242D36"/>
        </w:rPr>
        <w:t>s preset RSU vesting dates are February 18</w:t>
      </w:r>
      <w:r>
        <w:rPr>
          <w:rFonts w:ascii="Arial" w:cs="Arial" w:eastAsia="Arial" w:hAnsi="Arial"/>
          <w:sz w:val="18"/>
          <w:szCs w:val="18"/>
          <w:color w:val="495059"/>
        </w:rPr>
        <w:t>,</w:t>
      </w:r>
      <w:r>
        <w:rPr>
          <w:rFonts w:ascii="Arial" w:cs="Arial" w:eastAsia="Arial" w:hAnsi="Arial"/>
          <w:sz w:val="18"/>
          <w:szCs w:val="18"/>
          <w:color w:val="242D36"/>
        </w:rPr>
        <w:t xml:space="preserve"> May </w:t>
      </w:r>
      <w:r>
        <w:rPr>
          <w:rFonts w:ascii="Arial" w:cs="Arial" w:eastAsia="Arial" w:hAnsi="Arial"/>
          <w:sz w:val="18"/>
          <w:szCs w:val="18"/>
          <w:color w:val="343D46"/>
        </w:rPr>
        <w:t>18,</w:t>
      </w:r>
      <w:r>
        <w:rPr>
          <w:rFonts w:ascii="Arial" w:cs="Arial" w:eastAsia="Arial" w:hAnsi="Arial"/>
          <w:sz w:val="18"/>
          <w:szCs w:val="18"/>
          <w:color w:val="242D36"/>
        </w:rPr>
        <w:t xml:space="preserve"> August </w:t>
      </w:r>
      <w:r>
        <w:rPr>
          <w:rFonts w:ascii="Arial" w:cs="Arial" w:eastAsia="Arial" w:hAnsi="Arial"/>
          <w:sz w:val="18"/>
          <w:szCs w:val="18"/>
          <w:color w:val="343D46"/>
        </w:rPr>
        <w:t>18 and</w:t>
      </w:r>
      <w:r>
        <w:rPr>
          <w:rFonts w:ascii="Arial" w:cs="Arial" w:eastAsia="Arial" w:hAnsi="Arial"/>
          <w:sz w:val="18"/>
          <w:szCs w:val="18"/>
          <w:color w:val="242D36"/>
        </w:rPr>
        <w:t xml:space="preserve"> November </w:t>
      </w:r>
      <w:r>
        <w:rPr>
          <w:rFonts w:ascii="Arial" w:cs="Arial" w:eastAsia="Arial" w:hAnsi="Arial"/>
          <w:sz w:val="18"/>
          <w:szCs w:val="18"/>
          <w:color w:val="343D46"/>
        </w:rPr>
        <w:t>18</w:t>
      </w:r>
      <w:r>
        <w:rPr>
          <w:rFonts w:ascii="Arial" w:cs="Arial" w:eastAsia="Arial" w:hAnsi="Arial"/>
          <w:sz w:val="18"/>
          <w:szCs w:val="18"/>
          <w:color w:val="242D36"/>
        </w:rPr>
        <w:t xml:space="preserve"> of each year</w:t>
      </w:r>
      <w:r>
        <w:rPr>
          <w:rFonts w:ascii="Arial" w:cs="Arial" w:eastAsia="Arial" w:hAnsi="Arial"/>
          <w:sz w:val="18"/>
          <w:szCs w:val="18"/>
          <w:color w:val="495059"/>
        </w:rPr>
        <w:t>.</w:t>
      </w:r>
      <w:r>
        <w:rPr>
          <w:rFonts w:ascii="Arial" w:cs="Arial" w:eastAsia="Arial" w:hAnsi="Arial"/>
          <w:sz w:val="18"/>
          <w:szCs w:val="18"/>
          <w:color w:val="242D36"/>
        </w:rPr>
        <w:t xml:space="preserve"> In the event that the Company</w:t>
      </w:r>
      <w:r>
        <w:rPr>
          <w:rFonts w:ascii="Arial" w:cs="Arial" w:eastAsia="Arial" w:hAnsi="Arial"/>
          <w:sz w:val="18"/>
          <w:szCs w:val="18"/>
          <w:color w:val="495059"/>
        </w:rPr>
        <w:t>’s</w:t>
      </w:r>
      <w:r>
        <w:rPr>
          <w:rFonts w:ascii="Arial" w:cs="Arial" w:eastAsia="Arial" w:hAnsi="Arial"/>
          <w:sz w:val="18"/>
          <w:szCs w:val="18"/>
          <w:color w:val="242D36"/>
        </w:rPr>
        <w:t xml:space="preserve"> </w:t>
      </w:r>
      <w:r>
        <w:rPr>
          <w:rFonts w:ascii="Arial" w:cs="Arial" w:eastAsia="Arial" w:hAnsi="Arial"/>
          <w:sz w:val="18"/>
          <w:szCs w:val="18"/>
          <w:color w:val="343D46"/>
        </w:rPr>
        <w:t>trading</w:t>
      </w:r>
      <w:r>
        <w:rPr>
          <w:rFonts w:ascii="Arial" w:cs="Arial" w:eastAsia="Arial" w:hAnsi="Arial"/>
          <w:sz w:val="18"/>
          <w:szCs w:val="18"/>
          <w:color w:val="242D36"/>
        </w:rPr>
        <w:t xml:space="preserve"> window </w:t>
      </w:r>
      <w:r>
        <w:rPr>
          <w:rFonts w:ascii="Arial" w:cs="Arial" w:eastAsia="Arial" w:hAnsi="Arial"/>
          <w:sz w:val="18"/>
          <w:szCs w:val="18"/>
          <w:color w:val="343D46"/>
        </w:rPr>
        <w:t>under its Insider Trading</w:t>
      </w:r>
      <w:r>
        <w:rPr>
          <w:rFonts w:ascii="Arial" w:cs="Arial" w:eastAsia="Arial" w:hAnsi="Arial"/>
          <w:sz w:val="18"/>
          <w:szCs w:val="18"/>
          <w:color w:val="242D36"/>
        </w:rPr>
        <w:t xml:space="preserve"> Policy is closed on a vesting date</w:t>
      </w:r>
      <w:r>
        <w:rPr>
          <w:rFonts w:ascii="Arial" w:cs="Arial" w:eastAsia="Arial" w:hAnsi="Arial"/>
          <w:sz w:val="18"/>
          <w:szCs w:val="18"/>
          <w:color w:val="495059"/>
        </w:rPr>
        <w:t>,</w:t>
      </w:r>
      <w:r>
        <w:rPr>
          <w:rFonts w:ascii="Arial" w:cs="Arial" w:eastAsia="Arial" w:hAnsi="Arial"/>
          <w:sz w:val="18"/>
          <w:szCs w:val="18"/>
          <w:color w:val="242D36"/>
        </w:rPr>
        <w:t xml:space="preserve"> such shares shall not be delivered </w:t>
      </w:r>
      <w:r>
        <w:rPr>
          <w:rFonts w:ascii="Arial" w:cs="Arial" w:eastAsia="Arial" w:hAnsi="Arial"/>
          <w:sz w:val="18"/>
          <w:szCs w:val="18"/>
          <w:color w:val="343D46"/>
        </w:rPr>
        <w:t>on such</w:t>
      </w:r>
      <w:r>
        <w:rPr>
          <w:rFonts w:ascii="Arial" w:cs="Arial" w:eastAsia="Arial" w:hAnsi="Arial"/>
          <w:sz w:val="18"/>
          <w:szCs w:val="18"/>
          <w:color w:val="242D36"/>
        </w:rPr>
        <w:t xml:space="preserve"> date and </w:t>
      </w:r>
      <w:r>
        <w:rPr>
          <w:rFonts w:ascii="Arial" w:cs="Arial" w:eastAsia="Arial" w:hAnsi="Arial"/>
          <w:sz w:val="18"/>
          <w:szCs w:val="18"/>
          <w:color w:val="343D46"/>
        </w:rPr>
        <w:t xml:space="preserve">shall instead </w:t>
      </w:r>
      <w:r>
        <w:rPr>
          <w:rFonts w:ascii="Arial" w:cs="Arial" w:eastAsia="Arial" w:hAnsi="Arial"/>
          <w:sz w:val="18"/>
          <w:szCs w:val="18"/>
          <w:color w:val="242D36"/>
        </w:rPr>
        <w:t>be delivered as soon a reasonably practicable</w:t>
      </w:r>
      <w:r>
        <w:rPr>
          <w:rFonts w:ascii="Arial" w:cs="Arial" w:eastAsia="Arial" w:hAnsi="Arial"/>
          <w:sz w:val="18"/>
          <w:szCs w:val="18"/>
          <w:color w:val="343D46"/>
        </w:rPr>
        <w:t xml:space="preserve"> thereafter.</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42D36"/>
        </w:rPr>
        <w:t xml:space="preserve">Subject to approval </w:t>
      </w:r>
      <w:r>
        <w:rPr>
          <w:rFonts w:ascii="Arial" w:cs="Arial" w:eastAsia="Arial" w:hAnsi="Arial"/>
          <w:sz w:val="18"/>
          <w:szCs w:val="18"/>
          <w:color w:val="343D46"/>
        </w:rPr>
        <w:t>by</w:t>
      </w:r>
      <w:r>
        <w:rPr>
          <w:rFonts w:ascii="Arial" w:cs="Arial" w:eastAsia="Arial" w:hAnsi="Arial"/>
          <w:sz w:val="18"/>
          <w:szCs w:val="18"/>
          <w:color w:val="242D36"/>
        </w:rPr>
        <w:t xml:space="preserve"> the Board or a committee of the Board and </w:t>
      </w:r>
      <w:r>
        <w:rPr>
          <w:rFonts w:ascii="Arial" w:cs="Arial" w:eastAsia="Arial" w:hAnsi="Arial"/>
          <w:sz w:val="18"/>
          <w:szCs w:val="18"/>
          <w:color w:val="343D46"/>
        </w:rPr>
        <w:t>your</w:t>
      </w:r>
      <w:r>
        <w:rPr>
          <w:rFonts w:ascii="Arial" w:cs="Arial" w:eastAsia="Arial" w:hAnsi="Arial"/>
          <w:sz w:val="18"/>
          <w:szCs w:val="18"/>
          <w:color w:val="242D36"/>
        </w:rPr>
        <w:t xml:space="preserve"> execution of </w:t>
      </w:r>
      <w:r>
        <w:rPr>
          <w:rFonts w:ascii="Arial" w:cs="Arial" w:eastAsia="Arial" w:hAnsi="Arial"/>
          <w:sz w:val="18"/>
          <w:szCs w:val="18"/>
          <w:color w:val="495059"/>
        </w:rPr>
        <w:t>relat</w:t>
      </w:r>
      <w:r>
        <w:rPr>
          <w:rFonts w:ascii="Arial" w:cs="Arial" w:eastAsia="Arial" w:hAnsi="Arial"/>
          <w:sz w:val="18"/>
          <w:szCs w:val="18"/>
          <w:color w:val="242D36"/>
        </w:rPr>
        <w:t xml:space="preserve">ed </w:t>
      </w:r>
      <w:r>
        <w:rPr>
          <w:rFonts w:ascii="Arial" w:cs="Arial" w:eastAsia="Arial" w:hAnsi="Arial"/>
          <w:sz w:val="18"/>
          <w:szCs w:val="18"/>
          <w:color w:val="343D46"/>
        </w:rPr>
        <w:t>documents</w:t>
      </w:r>
      <w:r>
        <w:rPr>
          <w:rFonts w:ascii="Arial" w:cs="Arial" w:eastAsia="Arial" w:hAnsi="Arial"/>
          <w:sz w:val="18"/>
          <w:szCs w:val="18"/>
          <w:color w:val="5B666B"/>
        </w:rPr>
        <w:t>,</w:t>
      </w:r>
      <w:r>
        <w:rPr>
          <w:rFonts w:ascii="Arial" w:cs="Arial" w:eastAsia="Arial" w:hAnsi="Arial"/>
          <w:sz w:val="18"/>
          <w:szCs w:val="18"/>
          <w:color w:val="242D36"/>
        </w:rPr>
        <w:t xml:space="preserve"> </w:t>
      </w:r>
      <w:r>
        <w:rPr>
          <w:rFonts w:ascii="Arial" w:cs="Arial" w:eastAsia="Arial" w:hAnsi="Arial"/>
          <w:sz w:val="18"/>
          <w:szCs w:val="18"/>
          <w:color w:val="343D46"/>
        </w:rPr>
        <w:t>you</w:t>
      </w:r>
      <w:r>
        <w:rPr>
          <w:rFonts w:ascii="Arial" w:cs="Arial" w:eastAsia="Arial" w:hAnsi="Arial"/>
          <w:sz w:val="18"/>
          <w:szCs w:val="18"/>
          <w:color w:val="242D36"/>
        </w:rPr>
        <w:t xml:space="preserve"> will </w:t>
      </w:r>
      <w:r>
        <w:rPr>
          <w:rFonts w:ascii="Arial" w:cs="Arial" w:eastAsia="Arial" w:hAnsi="Arial"/>
          <w:sz w:val="18"/>
          <w:szCs w:val="18"/>
          <w:color w:val="343D46"/>
        </w:rPr>
        <w:t>receive</w:t>
      </w:r>
      <w:r>
        <w:rPr>
          <w:rFonts w:ascii="Arial" w:cs="Arial" w:eastAsia="Arial" w:hAnsi="Arial"/>
          <w:sz w:val="18"/>
          <w:szCs w:val="18"/>
          <w:color w:val="242D36"/>
        </w:rPr>
        <w:t xml:space="preserve"> addit</w:t>
      </w:r>
      <w:r>
        <w:rPr>
          <w:rFonts w:ascii="Arial" w:cs="Arial" w:eastAsia="Arial" w:hAnsi="Arial"/>
          <w:sz w:val="18"/>
          <w:szCs w:val="18"/>
          <w:color w:val="495059"/>
        </w:rPr>
        <w:t>i</w:t>
      </w:r>
      <w:r>
        <w:rPr>
          <w:rFonts w:ascii="Arial" w:cs="Arial" w:eastAsia="Arial" w:hAnsi="Arial"/>
          <w:sz w:val="18"/>
          <w:szCs w:val="18"/>
          <w:color w:val="242D36"/>
        </w:rPr>
        <w:t xml:space="preserve">onal RSU grants in </w:t>
      </w:r>
      <w:r>
        <w:rPr>
          <w:rFonts w:ascii="Arial" w:cs="Arial" w:eastAsia="Arial" w:hAnsi="Arial"/>
          <w:sz w:val="18"/>
          <w:szCs w:val="18"/>
          <w:color w:val="343D46"/>
        </w:rPr>
        <w:t>the</w:t>
      </w:r>
      <w:r>
        <w:rPr>
          <w:rFonts w:ascii="Arial" w:cs="Arial" w:eastAsia="Arial" w:hAnsi="Arial"/>
          <w:sz w:val="18"/>
          <w:szCs w:val="18"/>
          <w:color w:val="242D36"/>
        </w:rPr>
        <w:t xml:space="preserve"> value amount of $50,000</w:t>
      </w:r>
      <w:r>
        <w:rPr>
          <w:rFonts w:ascii="Arial" w:cs="Arial" w:eastAsia="Arial" w:hAnsi="Arial"/>
          <w:sz w:val="18"/>
          <w:szCs w:val="18"/>
          <w:color w:val="495059"/>
        </w:rPr>
        <w:t>,</w:t>
      </w:r>
      <w:r>
        <w:rPr>
          <w:rFonts w:ascii="Arial" w:cs="Arial" w:eastAsia="Arial" w:hAnsi="Arial"/>
          <w:sz w:val="18"/>
          <w:szCs w:val="18"/>
          <w:color w:val="242D36"/>
        </w:rPr>
        <w:t xml:space="preserve"> </w:t>
      </w:r>
      <w:r>
        <w:rPr>
          <w:rFonts w:ascii="Arial" w:cs="Arial" w:eastAsia="Arial" w:hAnsi="Arial"/>
          <w:sz w:val="18"/>
          <w:szCs w:val="18"/>
          <w:color w:val="343D46"/>
        </w:rPr>
        <w:t>which</w:t>
      </w:r>
      <w:r>
        <w:rPr>
          <w:rFonts w:ascii="Arial" w:cs="Arial" w:eastAsia="Arial" w:hAnsi="Arial"/>
          <w:sz w:val="18"/>
          <w:szCs w:val="18"/>
          <w:color w:val="242D36"/>
        </w:rPr>
        <w:t xml:space="preserve"> will </w:t>
      </w:r>
      <w:r>
        <w:rPr>
          <w:rFonts w:ascii="Arial" w:cs="Arial" w:eastAsia="Arial" w:hAnsi="Arial"/>
          <w:sz w:val="18"/>
          <w:szCs w:val="18"/>
          <w:color w:val="343D46"/>
        </w:rPr>
        <w:t>vest at rate</w:t>
      </w:r>
      <w:r>
        <w:rPr>
          <w:rFonts w:ascii="Arial" w:cs="Arial" w:eastAsia="Arial" w:hAnsi="Arial"/>
          <w:sz w:val="18"/>
          <w:szCs w:val="18"/>
          <w:color w:val="242D36"/>
        </w:rPr>
        <w:t xml:space="preserve"> of </w:t>
      </w:r>
      <w:r>
        <w:rPr>
          <w:rFonts w:ascii="Arial" w:cs="Arial" w:eastAsia="Arial" w:hAnsi="Arial"/>
          <w:sz w:val="18"/>
          <w:szCs w:val="18"/>
          <w:color w:val="343D46"/>
        </w:rPr>
        <w:t>100% on the</w:t>
      </w:r>
    </w:p>
    <w:p>
      <w:pPr>
        <w:sectPr>
          <w:pgSz w:w="11900" w:h="16838" w:orient="portrait"/>
          <w:cols w:equalWidth="0" w:num="1">
            <w:col w:w="11240"/>
          </w:cols>
          <w:pgMar w:left="320" w:top="1440" w:right="339" w:bottom="1440" w:gutter="0" w:footer="0" w:header="0"/>
        </w:sectPr>
      </w:pPr>
    </w:p>
    <w:bookmarkStart w:id="91" w:name="page92"/>
    <w:bookmarkEnd w:id="91"/>
    <w:p>
      <w:pPr>
        <w:jc w:val="both"/>
        <w:spacing w:after="0" w:line="271" w:lineRule="auto"/>
        <w:rPr>
          <w:sz w:val="20"/>
          <w:szCs w:val="20"/>
          <w:color w:val="auto"/>
        </w:rPr>
      </w:pPr>
      <w:r>
        <w:rPr>
          <w:rFonts w:ascii="Arial" w:cs="Arial" w:eastAsia="Arial" w:hAnsi="Arial"/>
          <w:sz w:val="18"/>
          <w:szCs w:val="18"/>
          <w:color w:val="343D46"/>
        </w:rPr>
        <w:drawing>
          <wp:anchor simplePos="0" relativeHeight="251657728" behindDoc="1" locked="0" layoutInCell="0" allowOverlap="1">
            <wp:simplePos x="0" y="0"/>
            <wp:positionH relativeFrom="page">
              <wp:posOffset>208280</wp:posOffset>
            </wp:positionH>
            <wp:positionV relativeFrom="page">
              <wp:posOffset>88900</wp:posOffset>
            </wp:positionV>
            <wp:extent cx="1551305" cy="5740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551305" cy="574040"/>
                    </a:xfrm>
                    <a:prstGeom prst="rect">
                      <a:avLst/>
                    </a:prstGeom>
                    <a:noFill/>
                  </pic:spPr>
                </pic:pic>
              </a:graphicData>
            </a:graphic>
          </wp:anchor>
        </w:drawing>
        <w:t xml:space="preserve">first </w:t>
      </w:r>
      <w:r>
        <w:rPr>
          <w:rFonts w:ascii="Arial" w:cs="Arial" w:eastAsia="Arial" w:hAnsi="Arial"/>
          <w:sz w:val="18"/>
          <w:szCs w:val="18"/>
          <w:color w:val="242D36"/>
        </w:rPr>
        <w:t>Company preset RSU vesting date following the</w:t>
      </w:r>
      <w:r>
        <w:rPr>
          <w:rFonts w:ascii="Arial" w:cs="Arial" w:eastAsia="Arial" w:hAnsi="Arial"/>
          <w:sz w:val="18"/>
          <w:szCs w:val="18"/>
          <w:color w:val="343D46"/>
        </w:rPr>
        <w:t xml:space="preserve"> first </w:t>
      </w:r>
      <w:r>
        <w:rPr>
          <w:rFonts w:ascii="Arial" w:cs="Arial" w:eastAsia="Arial" w:hAnsi="Arial"/>
          <w:sz w:val="18"/>
          <w:szCs w:val="18"/>
          <w:color w:val="242D36"/>
        </w:rPr>
        <w:t>anniversary of</w:t>
      </w:r>
      <w:r>
        <w:rPr>
          <w:rFonts w:ascii="Arial" w:cs="Arial" w:eastAsia="Arial" w:hAnsi="Arial"/>
          <w:sz w:val="18"/>
          <w:szCs w:val="18"/>
          <w:color w:val="343D46"/>
        </w:rPr>
        <w:t xml:space="preserve"> your employment </w:t>
      </w:r>
      <w:r>
        <w:rPr>
          <w:rFonts w:ascii="Arial" w:cs="Arial" w:eastAsia="Arial" w:hAnsi="Arial"/>
          <w:sz w:val="18"/>
          <w:szCs w:val="18"/>
          <w:color w:val="242D36"/>
        </w:rPr>
        <w:t>with the</w:t>
      </w:r>
      <w:r>
        <w:rPr>
          <w:rFonts w:ascii="Arial" w:cs="Arial" w:eastAsia="Arial" w:hAnsi="Arial"/>
          <w:sz w:val="18"/>
          <w:szCs w:val="18"/>
          <w:color w:val="343D46"/>
        </w:rPr>
        <w:t xml:space="preserve"> Company. </w:t>
      </w:r>
      <w:r>
        <w:rPr>
          <w:rFonts w:ascii="Arial" w:cs="Arial" w:eastAsia="Arial" w:hAnsi="Arial"/>
          <w:sz w:val="18"/>
          <w:szCs w:val="18"/>
          <w:color w:val="242D36"/>
        </w:rPr>
        <w:t>The number of RSUs</w:t>
      </w:r>
      <w:r>
        <w:rPr>
          <w:rFonts w:ascii="Arial" w:cs="Arial" w:eastAsia="Arial" w:hAnsi="Arial"/>
          <w:sz w:val="18"/>
          <w:szCs w:val="18"/>
          <w:color w:val="343D46"/>
        </w:rPr>
        <w:t xml:space="preserve"> will </w:t>
      </w:r>
      <w:r>
        <w:rPr>
          <w:rFonts w:ascii="Arial" w:cs="Arial" w:eastAsia="Arial" w:hAnsi="Arial"/>
          <w:sz w:val="18"/>
          <w:szCs w:val="18"/>
          <w:color w:val="242D36"/>
        </w:rPr>
        <w:t>be</w:t>
      </w:r>
      <w:r>
        <w:rPr>
          <w:rFonts w:ascii="Arial" w:cs="Arial" w:eastAsia="Arial" w:hAnsi="Arial"/>
          <w:sz w:val="18"/>
          <w:szCs w:val="18"/>
          <w:color w:val="343D46"/>
        </w:rPr>
        <w:t xml:space="preserve"> </w:t>
      </w:r>
      <w:r>
        <w:rPr>
          <w:rFonts w:ascii="Arial" w:cs="Arial" w:eastAsia="Arial" w:hAnsi="Arial"/>
          <w:sz w:val="18"/>
          <w:szCs w:val="18"/>
          <w:color w:val="242D36"/>
        </w:rPr>
        <w:t xml:space="preserve">determined based upon the </w:t>
      </w:r>
      <w:r>
        <w:rPr>
          <w:rFonts w:ascii="Arial" w:cs="Arial" w:eastAsia="Arial" w:hAnsi="Arial"/>
          <w:sz w:val="18"/>
          <w:szCs w:val="18"/>
          <w:color w:val="343D46"/>
        </w:rPr>
        <w:t>closing sale price</w:t>
      </w:r>
      <w:r>
        <w:rPr>
          <w:rFonts w:ascii="Arial" w:cs="Arial" w:eastAsia="Arial" w:hAnsi="Arial"/>
          <w:sz w:val="18"/>
          <w:szCs w:val="18"/>
          <w:color w:val="242D36"/>
        </w:rPr>
        <w:t xml:space="preserve"> of Cytek common stock on the date of grant.</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43D46"/>
        </w:rPr>
        <w:t xml:space="preserve">Additionally, </w:t>
      </w:r>
      <w:r>
        <w:rPr>
          <w:rFonts w:ascii="Arial" w:cs="Arial" w:eastAsia="Arial" w:hAnsi="Arial"/>
          <w:sz w:val="18"/>
          <w:szCs w:val="18"/>
          <w:color w:val="242D36"/>
        </w:rPr>
        <w:t>you will be eligible</w:t>
      </w:r>
      <w:r>
        <w:rPr>
          <w:rFonts w:ascii="Arial" w:cs="Arial" w:eastAsia="Arial" w:hAnsi="Arial"/>
          <w:sz w:val="18"/>
          <w:szCs w:val="18"/>
          <w:color w:val="343D46"/>
        </w:rPr>
        <w:t xml:space="preserve"> to </w:t>
      </w:r>
      <w:r>
        <w:rPr>
          <w:rFonts w:ascii="Arial" w:cs="Arial" w:eastAsia="Arial" w:hAnsi="Arial"/>
          <w:sz w:val="18"/>
          <w:szCs w:val="18"/>
          <w:color w:val="242D36"/>
        </w:rPr>
        <w:t>participate in the</w:t>
      </w:r>
      <w:r>
        <w:rPr>
          <w:rFonts w:ascii="Arial" w:cs="Arial" w:eastAsia="Arial" w:hAnsi="Arial"/>
          <w:sz w:val="18"/>
          <w:szCs w:val="18"/>
          <w:color w:val="343D46"/>
        </w:rPr>
        <w:t xml:space="preserve"> Company’s 2021 Employee Stock </w:t>
      </w:r>
      <w:r>
        <w:rPr>
          <w:rFonts w:ascii="Arial" w:cs="Arial" w:eastAsia="Arial" w:hAnsi="Arial"/>
          <w:sz w:val="18"/>
          <w:szCs w:val="18"/>
          <w:color w:val="242D36"/>
        </w:rPr>
        <w:t>Purchase</w:t>
      </w:r>
      <w:r>
        <w:rPr>
          <w:rFonts w:ascii="Arial" w:cs="Arial" w:eastAsia="Arial" w:hAnsi="Arial"/>
          <w:sz w:val="18"/>
          <w:szCs w:val="18"/>
          <w:color w:val="343D46"/>
        </w:rPr>
        <w:t xml:space="preserve"> Program (the “ESPP </w:t>
      </w:r>
      <w:r>
        <w:rPr>
          <w:rFonts w:ascii="Arial" w:cs="Arial" w:eastAsia="Arial" w:hAnsi="Arial"/>
          <w:sz w:val="18"/>
          <w:szCs w:val="18"/>
          <w:color w:val="242D36"/>
        </w:rPr>
        <w:t>Program”)[2] and</w:t>
      </w:r>
      <w:r>
        <w:rPr>
          <w:rFonts w:ascii="Arial" w:cs="Arial" w:eastAsia="Arial" w:hAnsi="Arial"/>
          <w:sz w:val="18"/>
          <w:szCs w:val="18"/>
          <w:color w:val="343D46"/>
        </w:rPr>
        <w:t xml:space="preserve"> the </w:t>
      </w:r>
      <w:r>
        <w:rPr>
          <w:rFonts w:ascii="Arial" w:cs="Arial" w:eastAsia="Arial" w:hAnsi="Arial"/>
          <w:sz w:val="18"/>
          <w:szCs w:val="18"/>
          <w:color w:val="242D36"/>
        </w:rPr>
        <w:t xml:space="preserve">Company’s Severance Benefit Plan. You </w:t>
      </w:r>
      <w:r>
        <w:rPr>
          <w:rFonts w:ascii="Arial" w:cs="Arial" w:eastAsia="Arial" w:hAnsi="Arial"/>
          <w:sz w:val="18"/>
          <w:szCs w:val="18"/>
          <w:color w:val="343D46"/>
        </w:rPr>
        <w:t>may elect to participate in</w:t>
      </w:r>
      <w:r>
        <w:rPr>
          <w:rFonts w:ascii="Arial" w:cs="Arial" w:eastAsia="Arial" w:hAnsi="Arial"/>
          <w:sz w:val="18"/>
          <w:szCs w:val="18"/>
          <w:color w:val="242D36"/>
        </w:rPr>
        <w:t xml:space="preserve"> the </w:t>
      </w:r>
      <w:r>
        <w:rPr>
          <w:rFonts w:ascii="Arial" w:cs="Arial" w:eastAsia="Arial" w:hAnsi="Arial"/>
          <w:sz w:val="18"/>
          <w:szCs w:val="18"/>
          <w:color w:val="343D46"/>
        </w:rPr>
        <w:t>ESPP</w:t>
      </w:r>
      <w:r>
        <w:rPr>
          <w:rFonts w:ascii="Arial" w:cs="Arial" w:eastAsia="Arial" w:hAnsi="Arial"/>
          <w:sz w:val="18"/>
          <w:szCs w:val="18"/>
          <w:color w:val="242D36"/>
        </w:rPr>
        <w:t xml:space="preserve"> Program during any enrollment period following commencement </w:t>
      </w:r>
      <w:r>
        <w:rPr>
          <w:rFonts w:ascii="Arial" w:cs="Arial" w:eastAsia="Arial" w:hAnsi="Arial"/>
          <w:sz w:val="18"/>
          <w:szCs w:val="18"/>
          <w:color w:val="343D46"/>
        </w:rPr>
        <w:t>of your employment</w:t>
      </w:r>
      <w:r>
        <w:rPr>
          <w:rFonts w:ascii="Arial" w:cs="Arial" w:eastAsia="Arial" w:hAnsi="Arial"/>
          <w:sz w:val="18"/>
          <w:szCs w:val="18"/>
          <w:color w:val="242D36"/>
        </w:rPr>
        <w:t xml:space="preserve"> with </w:t>
      </w:r>
      <w:r>
        <w:rPr>
          <w:rFonts w:ascii="Arial" w:cs="Arial" w:eastAsia="Arial" w:hAnsi="Arial"/>
          <w:sz w:val="18"/>
          <w:szCs w:val="18"/>
          <w:color w:val="343D46"/>
        </w:rPr>
        <w:t>the</w:t>
      </w:r>
      <w:r>
        <w:rPr>
          <w:rFonts w:ascii="Arial" w:cs="Arial" w:eastAsia="Arial" w:hAnsi="Arial"/>
          <w:sz w:val="18"/>
          <w:szCs w:val="18"/>
          <w:color w:val="242D36"/>
        </w:rPr>
        <w:t xml:space="preserve"> Company. Your participation </w:t>
      </w:r>
      <w:r>
        <w:rPr>
          <w:rFonts w:ascii="Arial" w:cs="Arial" w:eastAsia="Arial" w:hAnsi="Arial"/>
          <w:sz w:val="18"/>
          <w:szCs w:val="18"/>
          <w:color w:val="343D46"/>
        </w:rPr>
        <w:t>in the</w:t>
      </w:r>
      <w:r>
        <w:rPr>
          <w:rFonts w:ascii="Arial" w:cs="Arial" w:eastAsia="Arial" w:hAnsi="Arial"/>
          <w:sz w:val="18"/>
          <w:szCs w:val="18"/>
          <w:color w:val="242D36"/>
        </w:rPr>
        <w:t xml:space="preserve"> Company’s Severance </w:t>
      </w:r>
      <w:r>
        <w:rPr>
          <w:rFonts w:ascii="Arial" w:cs="Arial" w:eastAsia="Arial" w:hAnsi="Arial"/>
          <w:sz w:val="18"/>
          <w:szCs w:val="18"/>
          <w:color w:val="343D46"/>
        </w:rPr>
        <w:t>Benefit</w:t>
      </w:r>
      <w:r>
        <w:rPr>
          <w:rFonts w:ascii="Arial" w:cs="Arial" w:eastAsia="Arial" w:hAnsi="Arial"/>
          <w:sz w:val="18"/>
          <w:szCs w:val="18"/>
          <w:color w:val="242D36"/>
        </w:rPr>
        <w:t xml:space="preserve"> Plan </w:t>
      </w:r>
      <w:r>
        <w:rPr>
          <w:rFonts w:ascii="Arial" w:cs="Arial" w:eastAsia="Arial" w:hAnsi="Arial"/>
          <w:sz w:val="18"/>
          <w:szCs w:val="18"/>
          <w:color w:val="343D46"/>
        </w:rPr>
        <w:t>will be conditioned</w:t>
      </w:r>
      <w:r>
        <w:rPr>
          <w:rFonts w:ascii="Arial" w:cs="Arial" w:eastAsia="Arial" w:hAnsi="Arial"/>
          <w:sz w:val="18"/>
          <w:szCs w:val="18"/>
          <w:color w:val="242D36"/>
        </w:rPr>
        <w:t xml:space="preserve"> upon </w:t>
      </w:r>
      <w:r>
        <w:rPr>
          <w:rFonts w:ascii="Arial" w:cs="Arial" w:eastAsia="Arial" w:hAnsi="Arial"/>
          <w:sz w:val="18"/>
          <w:szCs w:val="18"/>
          <w:color w:val="343D46"/>
        </w:rPr>
        <w:t xml:space="preserve">your </w:t>
      </w:r>
      <w:r>
        <w:rPr>
          <w:rFonts w:ascii="Arial" w:cs="Arial" w:eastAsia="Arial" w:hAnsi="Arial"/>
          <w:sz w:val="18"/>
          <w:szCs w:val="18"/>
          <w:color w:val="242D36"/>
        </w:rPr>
        <w:t>execution of a Participation Agreement following commencement</w:t>
      </w:r>
      <w:r>
        <w:rPr>
          <w:rFonts w:ascii="Arial" w:cs="Arial" w:eastAsia="Arial" w:hAnsi="Arial"/>
          <w:sz w:val="18"/>
          <w:szCs w:val="18"/>
          <w:color w:val="343D46"/>
        </w:rPr>
        <w:t xml:space="preserve"> of your employment </w:t>
      </w:r>
      <w:r>
        <w:rPr>
          <w:rFonts w:ascii="Arial" w:cs="Arial" w:eastAsia="Arial" w:hAnsi="Arial"/>
          <w:sz w:val="18"/>
          <w:szCs w:val="18"/>
          <w:color w:val="242D36"/>
        </w:rPr>
        <w:t>with the Company.</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343D46"/>
        </w:rPr>
        <w:t xml:space="preserve">The Company may modify </w:t>
      </w:r>
      <w:r>
        <w:rPr>
          <w:rFonts w:ascii="Arial" w:cs="Arial" w:eastAsia="Arial" w:hAnsi="Arial"/>
          <w:sz w:val="18"/>
          <w:szCs w:val="18"/>
          <w:color w:val="242D36"/>
        </w:rPr>
        <w:t>your compensation and benefits from</w:t>
      </w:r>
      <w:r>
        <w:rPr>
          <w:rFonts w:ascii="Arial" w:cs="Arial" w:eastAsia="Arial" w:hAnsi="Arial"/>
          <w:sz w:val="18"/>
          <w:szCs w:val="18"/>
          <w:color w:val="343D46"/>
        </w:rPr>
        <w:t xml:space="preserve"> time to time as </w:t>
      </w:r>
      <w:r>
        <w:rPr>
          <w:rFonts w:ascii="Arial" w:cs="Arial" w:eastAsia="Arial" w:hAnsi="Arial"/>
          <w:sz w:val="18"/>
          <w:szCs w:val="18"/>
          <w:color w:val="495059"/>
        </w:rPr>
        <w:t>it</w:t>
      </w:r>
      <w:r>
        <w:rPr>
          <w:rFonts w:ascii="Arial" w:cs="Arial" w:eastAsia="Arial" w:hAnsi="Arial"/>
          <w:sz w:val="18"/>
          <w:szCs w:val="18"/>
          <w:color w:val="343D46"/>
        </w:rPr>
        <w:t xml:space="preserve"> deems necessary</w:t>
      </w:r>
      <w:r>
        <w:rPr>
          <w:rFonts w:ascii="Arial" w:cs="Arial" w:eastAsia="Arial" w:hAnsi="Arial"/>
          <w:sz w:val="18"/>
          <w:szCs w:val="18"/>
          <w:color w:val="5B666B"/>
        </w:rPr>
        <w:t>.</w:t>
      </w:r>
      <w:r>
        <w:rPr>
          <w:rFonts w:ascii="Arial" w:cs="Arial" w:eastAsia="Arial" w:hAnsi="Arial"/>
          <w:sz w:val="18"/>
          <w:szCs w:val="18"/>
          <w:color w:val="343D46"/>
        </w:rPr>
        <w:t xml:space="preserve"> </w:t>
      </w:r>
      <w:r>
        <w:rPr>
          <w:rFonts w:ascii="Arial" w:cs="Arial" w:eastAsia="Arial" w:hAnsi="Arial"/>
          <w:sz w:val="18"/>
          <w:szCs w:val="18"/>
          <w:color w:val="242D36"/>
        </w:rPr>
        <w:t>Additional</w:t>
      </w:r>
      <w:r>
        <w:rPr>
          <w:rFonts w:ascii="Arial" w:cs="Arial" w:eastAsia="Arial" w:hAnsi="Arial"/>
          <w:sz w:val="18"/>
          <w:szCs w:val="18"/>
          <w:color w:val="343D46"/>
        </w:rPr>
        <w:t xml:space="preserve"> </w:t>
      </w:r>
      <w:r>
        <w:rPr>
          <w:rFonts w:ascii="Arial" w:cs="Arial" w:eastAsia="Arial" w:hAnsi="Arial"/>
          <w:sz w:val="18"/>
          <w:szCs w:val="18"/>
          <w:color w:val="495059"/>
        </w:rPr>
        <w:t>i</w:t>
      </w:r>
      <w:r>
        <w:rPr>
          <w:rFonts w:ascii="Arial" w:cs="Arial" w:eastAsia="Arial" w:hAnsi="Arial"/>
          <w:sz w:val="18"/>
          <w:szCs w:val="18"/>
          <w:color w:val="242D36"/>
        </w:rPr>
        <w:t>nformation about Company</w:t>
      </w:r>
      <w:r>
        <w:rPr>
          <w:rFonts w:ascii="Arial" w:cs="Arial" w:eastAsia="Arial" w:hAnsi="Arial"/>
          <w:sz w:val="18"/>
          <w:szCs w:val="18"/>
          <w:color w:val="343D46"/>
        </w:rPr>
        <w:t xml:space="preserve"> </w:t>
      </w:r>
      <w:r>
        <w:rPr>
          <w:rFonts w:ascii="Arial" w:cs="Arial" w:eastAsia="Arial" w:hAnsi="Arial"/>
          <w:sz w:val="18"/>
          <w:szCs w:val="18"/>
          <w:color w:val="242D36"/>
        </w:rPr>
        <w:t xml:space="preserve">benefits can </w:t>
      </w:r>
      <w:r>
        <w:rPr>
          <w:rFonts w:ascii="Arial" w:cs="Arial" w:eastAsia="Arial" w:hAnsi="Arial"/>
          <w:sz w:val="18"/>
          <w:szCs w:val="18"/>
          <w:color w:val="343D46"/>
        </w:rPr>
        <w:t>be</w:t>
      </w:r>
      <w:r>
        <w:rPr>
          <w:rFonts w:ascii="Arial" w:cs="Arial" w:eastAsia="Arial" w:hAnsi="Arial"/>
          <w:sz w:val="18"/>
          <w:szCs w:val="18"/>
          <w:color w:val="242D36"/>
        </w:rPr>
        <w:t xml:space="preserve"> provided upon </w:t>
      </w:r>
      <w:r>
        <w:rPr>
          <w:rFonts w:ascii="Arial" w:cs="Arial" w:eastAsia="Arial" w:hAnsi="Arial"/>
          <w:sz w:val="18"/>
          <w:szCs w:val="18"/>
          <w:color w:val="343D46"/>
        </w:rPr>
        <w:t>request.</w:t>
      </w:r>
    </w:p>
    <w:p>
      <w:pPr>
        <w:spacing w:after="0" w:line="200" w:lineRule="exact"/>
        <w:rPr>
          <w:sz w:val="20"/>
          <w:szCs w:val="20"/>
          <w:color w:val="auto"/>
        </w:rPr>
      </w:pPr>
    </w:p>
    <w:p>
      <w:pPr>
        <w:spacing w:after="0" w:line="22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343D46"/>
        </w:rPr>
        <w:t xml:space="preserve">In addition, all </w:t>
      </w:r>
      <w:r>
        <w:rPr>
          <w:rFonts w:ascii="Arial" w:cs="Arial" w:eastAsia="Arial" w:hAnsi="Arial"/>
          <w:sz w:val="18"/>
          <w:szCs w:val="18"/>
          <w:color w:val="242D36"/>
        </w:rPr>
        <w:t>employees will be required to provide proof to Human Resources</w:t>
      </w:r>
      <w:r>
        <w:rPr>
          <w:rFonts w:ascii="Arial" w:cs="Arial" w:eastAsia="Arial" w:hAnsi="Arial"/>
          <w:sz w:val="18"/>
          <w:szCs w:val="18"/>
          <w:color w:val="343D46"/>
        </w:rPr>
        <w:t xml:space="preserve"> that they have fully vaccinated under the </w:t>
      </w:r>
      <w:r>
        <w:rPr>
          <w:rFonts w:ascii="Arial" w:cs="Arial" w:eastAsia="Arial" w:hAnsi="Arial"/>
          <w:sz w:val="18"/>
          <w:szCs w:val="18"/>
          <w:color w:val="242D36"/>
        </w:rPr>
        <w:t>FDA-approved</w:t>
      </w:r>
      <w:r>
        <w:rPr>
          <w:rFonts w:ascii="Arial" w:cs="Arial" w:eastAsia="Arial" w:hAnsi="Arial"/>
          <w:sz w:val="18"/>
          <w:szCs w:val="18"/>
          <w:color w:val="343D46"/>
        </w:rPr>
        <w:t xml:space="preserve"> </w:t>
      </w:r>
      <w:r>
        <w:rPr>
          <w:rFonts w:ascii="Arial" w:cs="Arial" w:eastAsia="Arial" w:hAnsi="Arial"/>
          <w:sz w:val="18"/>
          <w:szCs w:val="18"/>
          <w:color w:val="242D36"/>
        </w:rPr>
        <w:t xml:space="preserve">COVID-19 vaccination guidelines </w:t>
      </w:r>
      <w:r>
        <w:rPr>
          <w:rFonts w:ascii="Arial" w:cs="Arial" w:eastAsia="Arial" w:hAnsi="Arial"/>
          <w:sz w:val="18"/>
          <w:szCs w:val="18"/>
          <w:color w:val="343D46"/>
        </w:rPr>
        <w:t>to</w:t>
      </w:r>
      <w:r>
        <w:rPr>
          <w:rFonts w:ascii="Arial" w:cs="Arial" w:eastAsia="Arial" w:hAnsi="Arial"/>
          <w:sz w:val="18"/>
          <w:szCs w:val="18"/>
          <w:color w:val="242D36"/>
        </w:rPr>
        <w:t xml:space="preserve"> enter </w:t>
      </w:r>
      <w:r>
        <w:rPr>
          <w:rFonts w:ascii="Arial" w:cs="Arial" w:eastAsia="Arial" w:hAnsi="Arial"/>
          <w:sz w:val="18"/>
          <w:szCs w:val="18"/>
          <w:color w:val="343D46"/>
        </w:rPr>
        <w:t>the Fremont workplace</w:t>
      </w:r>
      <w:r>
        <w:rPr>
          <w:rFonts w:ascii="Arial" w:cs="Arial" w:eastAsia="Arial" w:hAnsi="Arial"/>
          <w:sz w:val="18"/>
          <w:szCs w:val="18"/>
          <w:color w:val="242D36"/>
        </w:rPr>
        <w:t xml:space="preserve"> or obtain an approved accommodation pursuant to the Company’s </w:t>
      </w:r>
      <w:r>
        <w:rPr>
          <w:rFonts w:ascii="Arial" w:cs="Arial" w:eastAsia="Arial" w:hAnsi="Arial"/>
          <w:sz w:val="18"/>
          <w:szCs w:val="18"/>
          <w:color w:val="343D46"/>
        </w:rPr>
        <w:t>vaccination policy.</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343D46"/>
        </w:rPr>
        <w:t xml:space="preserve">As a Cytek </w:t>
      </w:r>
      <w:r>
        <w:rPr>
          <w:rFonts w:ascii="Arial" w:cs="Arial" w:eastAsia="Arial" w:hAnsi="Arial"/>
          <w:sz w:val="18"/>
          <w:szCs w:val="18"/>
          <w:color w:val="242D36"/>
        </w:rPr>
        <w:t>employee</w:t>
      </w:r>
      <w:r>
        <w:rPr>
          <w:rFonts w:ascii="Arial" w:cs="Arial" w:eastAsia="Arial" w:hAnsi="Arial"/>
          <w:sz w:val="18"/>
          <w:szCs w:val="18"/>
          <w:color w:val="495059"/>
        </w:rPr>
        <w:t>,</w:t>
      </w:r>
      <w:r>
        <w:rPr>
          <w:rFonts w:ascii="Arial" w:cs="Arial" w:eastAsia="Arial" w:hAnsi="Arial"/>
          <w:sz w:val="18"/>
          <w:szCs w:val="18"/>
          <w:color w:val="343D46"/>
        </w:rPr>
        <w:t xml:space="preserve"> you </w:t>
      </w:r>
      <w:r>
        <w:rPr>
          <w:rFonts w:ascii="Arial" w:cs="Arial" w:eastAsia="Arial" w:hAnsi="Arial"/>
          <w:sz w:val="18"/>
          <w:szCs w:val="18"/>
          <w:color w:val="242D36"/>
        </w:rPr>
        <w:t>will be expected</w:t>
      </w:r>
      <w:r>
        <w:rPr>
          <w:rFonts w:ascii="Arial" w:cs="Arial" w:eastAsia="Arial" w:hAnsi="Arial"/>
          <w:sz w:val="18"/>
          <w:szCs w:val="18"/>
          <w:color w:val="343D46"/>
        </w:rPr>
        <w:t xml:space="preserve"> to </w:t>
      </w:r>
      <w:r>
        <w:rPr>
          <w:rFonts w:ascii="Arial" w:cs="Arial" w:eastAsia="Arial" w:hAnsi="Arial"/>
          <w:sz w:val="18"/>
          <w:szCs w:val="18"/>
          <w:color w:val="242D36"/>
        </w:rPr>
        <w:t>abide by</w:t>
      </w:r>
      <w:r>
        <w:rPr>
          <w:rFonts w:ascii="Arial" w:cs="Arial" w:eastAsia="Arial" w:hAnsi="Arial"/>
          <w:sz w:val="18"/>
          <w:szCs w:val="18"/>
          <w:color w:val="343D46"/>
        </w:rPr>
        <w:t xml:space="preserve"> Company rules </w:t>
      </w:r>
      <w:r>
        <w:rPr>
          <w:rFonts w:ascii="Arial" w:cs="Arial" w:eastAsia="Arial" w:hAnsi="Arial"/>
          <w:sz w:val="18"/>
          <w:szCs w:val="18"/>
          <w:color w:val="242D36"/>
        </w:rPr>
        <w:t>and regulations</w:t>
      </w:r>
      <w:r>
        <w:rPr>
          <w:rFonts w:ascii="Arial" w:cs="Arial" w:eastAsia="Arial" w:hAnsi="Arial"/>
          <w:sz w:val="18"/>
          <w:szCs w:val="18"/>
          <w:color w:val="343D46"/>
        </w:rPr>
        <w:t xml:space="preserve"> and corporate </w:t>
      </w:r>
      <w:r>
        <w:rPr>
          <w:rFonts w:ascii="Arial" w:cs="Arial" w:eastAsia="Arial" w:hAnsi="Arial"/>
          <w:sz w:val="18"/>
          <w:szCs w:val="18"/>
          <w:color w:val="242D36"/>
        </w:rPr>
        <w:t>governance policies, copies of which</w:t>
      </w:r>
      <w:r>
        <w:rPr>
          <w:rFonts w:ascii="Arial" w:cs="Arial" w:eastAsia="Arial" w:hAnsi="Arial"/>
          <w:sz w:val="18"/>
          <w:szCs w:val="18"/>
          <w:color w:val="343D46"/>
        </w:rPr>
        <w:t xml:space="preserve"> </w:t>
      </w:r>
      <w:r>
        <w:rPr>
          <w:rFonts w:ascii="Arial" w:cs="Arial" w:eastAsia="Arial" w:hAnsi="Arial"/>
          <w:sz w:val="18"/>
          <w:szCs w:val="18"/>
          <w:color w:val="242D36"/>
        </w:rPr>
        <w:t xml:space="preserve">will be provided </w:t>
      </w:r>
      <w:r>
        <w:rPr>
          <w:rFonts w:ascii="Arial" w:cs="Arial" w:eastAsia="Arial" w:hAnsi="Arial"/>
          <w:sz w:val="18"/>
          <w:szCs w:val="18"/>
          <w:color w:val="343D46"/>
        </w:rPr>
        <w:t>to</w:t>
      </w:r>
      <w:r>
        <w:rPr>
          <w:rFonts w:ascii="Arial" w:cs="Arial" w:eastAsia="Arial" w:hAnsi="Arial"/>
          <w:sz w:val="18"/>
          <w:szCs w:val="18"/>
          <w:color w:val="242D36"/>
        </w:rPr>
        <w:t xml:space="preserve"> you upon employment </w:t>
      </w:r>
      <w:r>
        <w:rPr>
          <w:rFonts w:ascii="Arial" w:cs="Arial" w:eastAsia="Arial" w:hAnsi="Arial"/>
          <w:sz w:val="18"/>
          <w:szCs w:val="18"/>
          <w:color w:val="343D46"/>
        </w:rPr>
        <w:t>for review</w:t>
      </w:r>
      <w:r>
        <w:rPr>
          <w:rFonts w:ascii="Arial" w:cs="Arial" w:eastAsia="Arial" w:hAnsi="Arial"/>
          <w:sz w:val="18"/>
          <w:szCs w:val="18"/>
          <w:color w:val="242D36"/>
        </w:rPr>
        <w:t xml:space="preserve"> and acknowledgement. You will also be required to </w:t>
      </w:r>
      <w:r>
        <w:rPr>
          <w:rFonts w:ascii="Arial" w:cs="Arial" w:eastAsia="Arial" w:hAnsi="Arial"/>
          <w:sz w:val="18"/>
          <w:szCs w:val="18"/>
          <w:color w:val="343D46"/>
        </w:rPr>
        <w:t>sign</w:t>
      </w:r>
      <w:r>
        <w:rPr>
          <w:rFonts w:ascii="Arial" w:cs="Arial" w:eastAsia="Arial" w:hAnsi="Arial"/>
          <w:sz w:val="18"/>
          <w:szCs w:val="18"/>
          <w:color w:val="242D36"/>
        </w:rPr>
        <w:t xml:space="preserve"> and </w:t>
      </w:r>
      <w:r>
        <w:rPr>
          <w:rFonts w:ascii="Arial" w:cs="Arial" w:eastAsia="Arial" w:hAnsi="Arial"/>
          <w:sz w:val="18"/>
          <w:szCs w:val="18"/>
          <w:color w:val="343D46"/>
        </w:rPr>
        <w:t>comply</w:t>
      </w:r>
      <w:r>
        <w:rPr>
          <w:rFonts w:ascii="Arial" w:cs="Arial" w:eastAsia="Arial" w:hAnsi="Arial"/>
          <w:sz w:val="18"/>
          <w:szCs w:val="18"/>
          <w:color w:val="242D36"/>
        </w:rPr>
        <w:t xml:space="preserve"> with </w:t>
      </w:r>
      <w:r>
        <w:rPr>
          <w:rFonts w:ascii="Arial" w:cs="Arial" w:eastAsia="Arial" w:hAnsi="Arial"/>
          <w:sz w:val="18"/>
          <w:szCs w:val="18"/>
          <w:color w:val="343D46"/>
        </w:rPr>
        <w:t>a</w:t>
      </w:r>
      <w:r>
        <w:rPr>
          <w:rFonts w:ascii="Arial" w:cs="Arial" w:eastAsia="Arial" w:hAnsi="Arial"/>
          <w:sz w:val="18"/>
          <w:szCs w:val="18"/>
          <w:color w:val="242D36"/>
        </w:rPr>
        <w:t xml:space="preserve"> Proprietary </w:t>
      </w:r>
      <w:r>
        <w:rPr>
          <w:rFonts w:ascii="Arial" w:cs="Arial" w:eastAsia="Arial" w:hAnsi="Arial"/>
          <w:sz w:val="18"/>
          <w:szCs w:val="18"/>
          <w:color w:val="343D46"/>
        </w:rPr>
        <w:t xml:space="preserve">Information </w:t>
      </w:r>
      <w:r>
        <w:rPr>
          <w:rFonts w:ascii="Arial" w:cs="Arial" w:eastAsia="Arial" w:hAnsi="Arial"/>
          <w:sz w:val="18"/>
          <w:szCs w:val="18"/>
          <w:color w:val="242D36"/>
        </w:rPr>
        <w:t>and</w:t>
      </w:r>
      <w:r>
        <w:rPr>
          <w:rFonts w:ascii="Arial" w:cs="Arial" w:eastAsia="Arial" w:hAnsi="Arial"/>
          <w:sz w:val="18"/>
          <w:szCs w:val="18"/>
          <w:color w:val="343D46"/>
        </w:rPr>
        <w:t xml:space="preserve"> Inventions </w:t>
      </w:r>
      <w:r>
        <w:rPr>
          <w:rFonts w:ascii="Arial" w:cs="Arial" w:eastAsia="Arial" w:hAnsi="Arial"/>
          <w:sz w:val="18"/>
          <w:szCs w:val="18"/>
          <w:color w:val="242D36"/>
        </w:rPr>
        <w:t>Agreement</w:t>
      </w:r>
      <w:r>
        <w:rPr>
          <w:rFonts w:ascii="Arial" w:cs="Arial" w:eastAsia="Arial" w:hAnsi="Arial"/>
          <w:sz w:val="18"/>
          <w:szCs w:val="18"/>
          <w:color w:val="495059"/>
        </w:rPr>
        <w:t>,</w:t>
      </w:r>
      <w:r>
        <w:rPr>
          <w:rFonts w:ascii="Arial" w:cs="Arial" w:eastAsia="Arial" w:hAnsi="Arial"/>
          <w:sz w:val="18"/>
          <w:szCs w:val="18"/>
          <w:color w:val="343D46"/>
        </w:rPr>
        <w:t xml:space="preserve"> </w:t>
      </w:r>
      <w:r>
        <w:rPr>
          <w:rFonts w:ascii="Arial" w:cs="Arial" w:eastAsia="Arial" w:hAnsi="Arial"/>
          <w:sz w:val="18"/>
          <w:szCs w:val="18"/>
          <w:color w:val="242D36"/>
        </w:rPr>
        <w:t>which prohibits</w:t>
      </w:r>
      <w:r>
        <w:rPr>
          <w:rFonts w:ascii="Arial" w:cs="Arial" w:eastAsia="Arial" w:hAnsi="Arial"/>
          <w:sz w:val="18"/>
          <w:szCs w:val="18"/>
          <w:color w:val="343D46"/>
        </w:rPr>
        <w:t xml:space="preserve"> unauthorized use </w:t>
      </w:r>
      <w:r>
        <w:rPr>
          <w:rFonts w:ascii="Arial" w:cs="Arial" w:eastAsia="Arial" w:hAnsi="Arial"/>
          <w:sz w:val="18"/>
          <w:szCs w:val="18"/>
          <w:color w:val="242D36"/>
        </w:rPr>
        <w:t>or</w:t>
      </w:r>
      <w:r>
        <w:rPr>
          <w:rFonts w:ascii="Arial" w:cs="Arial" w:eastAsia="Arial" w:hAnsi="Arial"/>
          <w:sz w:val="18"/>
          <w:szCs w:val="18"/>
          <w:color w:val="343D46"/>
        </w:rPr>
        <w:t xml:space="preserve"> disclosure of Company </w:t>
      </w:r>
      <w:r>
        <w:rPr>
          <w:rFonts w:ascii="Arial" w:cs="Arial" w:eastAsia="Arial" w:hAnsi="Arial"/>
          <w:sz w:val="18"/>
          <w:szCs w:val="18"/>
          <w:color w:val="242D36"/>
        </w:rPr>
        <w:t>proprietary</w:t>
      </w:r>
      <w:r>
        <w:rPr>
          <w:rFonts w:ascii="Arial" w:cs="Arial" w:eastAsia="Arial" w:hAnsi="Arial"/>
          <w:sz w:val="18"/>
          <w:szCs w:val="18"/>
          <w:color w:val="343D46"/>
        </w:rPr>
        <w:t xml:space="preserve"> </w:t>
      </w:r>
      <w:r>
        <w:rPr>
          <w:rFonts w:ascii="Arial" w:cs="Arial" w:eastAsia="Arial" w:hAnsi="Arial"/>
          <w:sz w:val="18"/>
          <w:szCs w:val="18"/>
          <w:color w:val="495059"/>
        </w:rPr>
        <w:t>in</w:t>
      </w:r>
      <w:r>
        <w:rPr>
          <w:rFonts w:ascii="Arial" w:cs="Arial" w:eastAsia="Arial" w:hAnsi="Arial"/>
          <w:sz w:val="18"/>
          <w:szCs w:val="18"/>
          <w:color w:val="242D36"/>
        </w:rPr>
        <w:t>formation</w:t>
      </w:r>
      <w:r>
        <w:rPr>
          <w:rFonts w:ascii="Arial" w:cs="Arial" w:eastAsia="Arial" w:hAnsi="Arial"/>
          <w:sz w:val="18"/>
          <w:szCs w:val="18"/>
          <w:color w:val="495059"/>
        </w:rPr>
        <w:t>.</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343D46"/>
        </w:rPr>
        <w:t xml:space="preserve">You agree that </w:t>
      </w:r>
      <w:r>
        <w:rPr>
          <w:rFonts w:ascii="Arial" w:cs="Arial" w:eastAsia="Arial" w:hAnsi="Arial"/>
          <w:sz w:val="18"/>
          <w:szCs w:val="18"/>
          <w:color w:val="242D36"/>
        </w:rPr>
        <w:t>you will</w:t>
      </w:r>
      <w:r>
        <w:rPr>
          <w:rFonts w:ascii="Arial" w:cs="Arial" w:eastAsia="Arial" w:hAnsi="Arial"/>
          <w:sz w:val="18"/>
          <w:szCs w:val="18"/>
          <w:color w:val="343D46"/>
        </w:rPr>
        <w:t xml:space="preserve"> relocate </w:t>
      </w:r>
      <w:r>
        <w:rPr>
          <w:rFonts w:ascii="Arial" w:cs="Arial" w:eastAsia="Arial" w:hAnsi="Arial"/>
          <w:sz w:val="18"/>
          <w:szCs w:val="18"/>
          <w:color w:val="242D36"/>
        </w:rPr>
        <w:t>to work</w:t>
      </w:r>
      <w:r>
        <w:rPr>
          <w:rFonts w:ascii="Arial" w:cs="Arial" w:eastAsia="Arial" w:hAnsi="Arial"/>
          <w:sz w:val="18"/>
          <w:szCs w:val="18"/>
          <w:color w:val="343D46"/>
        </w:rPr>
        <w:t xml:space="preserve"> in </w:t>
      </w:r>
      <w:r>
        <w:rPr>
          <w:rFonts w:ascii="Arial" w:cs="Arial" w:eastAsia="Arial" w:hAnsi="Arial"/>
          <w:sz w:val="18"/>
          <w:szCs w:val="18"/>
          <w:color w:val="242D36"/>
        </w:rPr>
        <w:t>either the Netherlands</w:t>
      </w:r>
      <w:r>
        <w:rPr>
          <w:rFonts w:ascii="Arial" w:cs="Arial" w:eastAsia="Arial" w:hAnsi="Arial"/>
          <w:sz w:val="18"/>
          <w:szCs w:val="18"/>
          <w:color w:val="343D46"/>
        </w:rPr>
        <w:t xml:space="preserve"> or the </w:t>
      </w:r>
      <w:r>
        <w:rPr>
          <w:rFonts w:ascii="Arial" w:cs="Arial" w:eastAsia="Arial" w:hAnsi="Arial"/>
          <w:sz w:val="18"/>
          <w:szCs w:val="18"/>
          <w:color w:val="242D36"/>
        </w:rPr>
        <w:t>San Francisco</w:t>
      </w:r>
      <w:r>
        <w:rPr>
          <w:rFonts w:ascii="Arial" w:cs="Arial" w:eastAsia="Arial" w:hAnsi="Arial"/>
          <w:sz w:val="18"/>
          <w:szCs w:val="18"/>
          <w:color w:val="343D46"/>
        </w:rPr>
        <w:t xml:space="preserve"> Bay area as designated </w:t>
      </w:r>
      <w:r>
        <w:rPr>
          <w:rFonts w:ascii="Arial" w:cs="Arial" w:eastAsia="Arial" w:hAnsi="Arial"/>
          <w:sz w:val="18"/>
          <w:szCs w:val="18"/>
          <w:color w:val="242D36"/>
        </w:rPr>
        <w:t>by</w:t>
      </w:r>
      <w:r>
        <w:rPr>
          <w:rFonts w:ascii="Arial" w:cs="Arial" w:eastAsia="Arial" w:hAnsi="Arial"/>
          <w:sz w:val="18"/>
          <w:szCs w:val="18"/>
          <w:color w:val="343D46"/>
        </w:rPr>
        <w:t xml:space="preserve"> the Company (or </w:t>
      </w:r>
      <w:r>
        <w:rPr>
          <w:rFonts w:ascii="Arial" w:cs="Arial" w:eastAsia="Arial" w:hAnsi="Arial"/>
          <w:sz w:val="18"/>
          <w:szCs w:val="18"/>
          <w:color w:val="242D36"/>
        </w:rPr>
        <w:t>another</w:t>
      </w:r>
      <w:r>
        <w:rPr>
          <w:rFonts w:ascii="Arial" w:cs="Arial" w:eastAsia="Arial" w:hAnsi="Arial"/>
          <w:sz w:val="18"/>
          <w:szCs w:val="18"/>
          <w:color w:val="343D46"/>
        </w:rPr>
        <w:t xml:space="preserve"> </w:t>
      </w:r>
      <w:r>
        <w:rPr>
          <w:rFonts w:ascii="Arial" w:cs="Arial" w:eastAsia="Arial" w:hAnsi="Arial"/>
          <w:sz w:val="18"/>
          <w:szCs w:val="18"/>
          <w:color w:val="242D36"/>
        </w:rPr>
        <w:t xml:space="preserve">mutually </w:t>
      </w:r>
      <w:r>
        <w:rPr>
          <w:rFonts w:ascii="Arial" w:cs="Arial" w:eastAsia="Arial" w:hAnsi="Arial"/>
          <w:sz w:val="18"/>
          <w:szCs w:val="18"/>
          <w:color w:val="343D46"/>
        </w:rPr>
        <w:t>agreed upon location, if</w:t>
      </w:r>
      <w:r>
        <w:rPr>
          <w:rFonts w:ascii="Arial" w:cs="Arial" w:eastAsia="Arial" w:hAnsi="Arial"/>
          <w:sz w:val="18"/>
          <w:szCs w:val="18"/>
          <w:color w:val="242D36"/>
        </w:rPr>
        <w:t xml:space="preserve"> any) by </w:t>
      </w:r>
      <w:r>
        <w:rPr>
          <w:rFonts w:ascii="Arial" w:cs="Arial" w:eastAsia="Arial" w:hAnsi="Arial"/>
          <w:sz w:val="18"/>
          <w:szCs w:val="18"/>
          <w:color w:val="343D46"/>
        </w:rPr>
        <w:t>August 31, 2023.</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8313B"/>
        </w:rPr>
        <w:t xml:space="preserve">If you relocate, </w:t>
      </w:r>
      <w:r>
        <w:rPr>
          <w:rFonts w:ascii="Arial" w:cs="Arial" w:eastAsia="Arial" w:hAnsi="Arial"/>
          <w:sz w:val="18"/>
          <w:szCs w:val="18"/>
          <w:color w:val="38424B"/>
        </w:rPr>
        <w:t>the Company</w:t>
      </w:r>
      <w:r>
        <w:rPr>
          <w:rFonts w:ascii="Arial" w:cs="Arial" w:eastAsia="Arial" w:hAnsi="Arial"/>
          <w:sz w:val="18"/>
          <w:szCs w:val="18"/>
          <w:color w:val="28313B"/>
        </w:rPr>
        <w:t xml:space="preserve"> will reimburse you for </w:t>
      </w:r>
      <w:r>
        <w:rPr>
          <w:rFonts w:ascii="Arial" w:cs="Arial" w:eastAsia="Arial" w:hAnsi="Arial"/>
          <w:sz w:val="18"/>
          <w:szCs w:val="18"/>
          <w:color w:val="38424B"/>
        </w:rPr>
        <w:t>transportation</w:t>
      </w:r>
      <w:r>
        <w:rPr>
          <w:rFonts w:ascii="Arial" w:cs="Arial" w:eastAsia="Arial" w:hAnsi="Arial"/>
          <w:sz w:val="18"/>
          <w:szCs w:val="18"/>
          <w:color w:val="28313B"/>
        </w:rPr>
        <w:t xml:space="preserve"> of household goods, </w:t>
      </w:r>
      <w:r>
        <w:rPr>
          <w:rFonts w:ascii="Arial" w:cs="Arial" w:eastAsia="Arial" w:hAnsi="Arial"/>
          <w:sz w:val="18"/>
          <w:szCs w:val="18"/>
          <w:color w:val="38424B"/>
        </w:rPr>
        <w:t>realtor fees in</w:t>
      </w:r>
      <w:r>
        <w:rPr>
          <w:rFonts w:ascii="Arial" w:cs="Arial" w:eastAsia="Arial" w:hAnsi="Arial"/>
          <w:sz w:val="18"/>
          <w:szCs w:val="18"/>
          <w:color w:val="28313B"/>
        </w:rPr>
        <w:t xml:space="preserve"> connection with the sale of your residence, as needed, and the cost of a private secondary </w:t>
      </w:r>
      <w:r>
        <w:rPr>
          <w:rFonts w:ascii="Arial" w:cs="Arial" w:eastAsia="Arial" w:hAnsi="Arial"/>
          <w:sz w:val="18"/>
          <w:szCs w:val="18"/>
          <w:color w:val="38424B"/>
        </w:rPr>
        <w:t>education</w:t>
      </w:r>
      <w:r>
        <w:rPr>
          <w:rFonts w:ascii="Arial" w:cs="Arial" w:eastAsia="Arial" w:hAnsi="Arial"/>
          <w:sz w:val="18"/>
          <w:szCs w:val="18"/>
          <w:color w:val="28313B"/>
        </w:rPr>
        <w:t xml:space="preserve"> for one child. The total reimbursement for the foregoing will be capped at </w:t>
      </w:r>
      <w:r>
        <w:rPr>
          <w:rFonts w:ascii="Arial" w:cs="Arial" w:eastAsia="Arial" w:hAnsi="Arial"/>
          <w:sz w:val="18"/>
          <w:szCs w:val="18"/>
          <w:color w:val="38424B"/>
        </w:rPr>
        <w:t>$ 80,000,</w:t>
      </w:r>
      <w:r>
        <w:rPr>
          <w:rFonts w:ascii="Arial" w:cs="Arial" w:eastAsia="Arial" w:hAnsi="Arial"/>
          <w:sz w:val="18"/>
          <w:szCs w:val="18"/>
          <w:color w:val="28313B"/>
        </w:rPr>
        <w:t xml:space="preserve"> grossed-up for tax purposes if you relocate to the Netherlands and $60,000 grossed</w:t>
      </w:r>
      <w:r>
        <w:rPr>
          <w:rFonts w:ascii="Arial" w:cs="Arial" w:eastAsia="Arial" w:hAnsi="Arial"/>
          <w:sz w:val="18"/>
          <w:szCs w:val="18"/>
          <w:color w:val="4D5660"/>
        </w:rPr>
        <w:t>-u</w:t>
      </w:r>
      <w:r>
        <w:rPr>
          <w:rFonts w:ascii="Arial" w:cs="Arial" w:eastAsia="Arial" w:hAnsi="Arial"/>
          <w:sz w:val="18"/>
          <w:szCs w:val="18"/>
          <w:color w:val="28313B"/>
        </w:rPr>
        <w:t xml:space="preserve">p for tax purposes if you </w:t>
      </w:r>
      <w:r>
        <w:rPr>
          <w:rFonts w:ascii="Arial" w:cs="Arial" w:eastAsia="Arial" w:hAnsi="Arial"/>
          <w:sz w:val="18"/>
          <w:szCs w:val="18"/>
          <w:color w:val="38424B"/>
        </w:rPr>
        <w:t>relocate</w:t>
      </w:r>
      <w:r>
        <w:rPr>
          <w:rFonts w:ascii="Arial" w:cs="Arial" w:eastAsia="Arial" w:hAnsi="Arial"/>
          <w:sz w:val="18"/>
          <w:szCs w:val="18"/>
          <w:color w:val="28313B"/>
        </w:rPr>
        <w:t xml:space="preserve"> to the US. The Company will also cover 100% of associated work visa </w:t>
      </w:r>
      <w:r>
        <w:rPr>
          <w:rFonts w:ascii="Arial" w:cs="Arial" w:eastAsia="Arial" w:hAnsi="Arial"/>
          <w:sz w:val="18"/>
          <w:szCs w:val="18"/>
          <w:color w:val="38424B"/>
        </w:rPr>
        <w:t>costs</w:t>
      </w:r>
      <w:r>
        <w:rPr>
          <w:rFonts w:ascii="Arial" w:cs="Arial" w:eastAsia="Arial" w:hAnsi="Arial"/>
          <w:sz w:val="18"/>
          <w:szCs w:val="18"/>
          <w:color w:val="28313B"/>
        </w:rPr>
        <w:t xml:space="preserve"> for you to work </w:t>
      </w:r>
      <w:r>
        <w:rPr>
          <w:rFonts w:ascii="Arial" w:cs="Arial" w:eastAsia="Arial" w:hAnsi="Arial"/>
          <w:sz w:val="18"/>
          <w:szCs w:val="18"/>
          <w:color w:val="38424B"/>
        </w:rPr>
        <w:t>in</w:t>
      </w:r>
      <w:r>
        <w:rPr>
          <w:rFonts w:ascii="Arial" w:cs="Arial" w:eastAsia="Arial" w:hAnsi="Arial"/>
          <w:sz w:val="18"/>
          <w:szCs w:val="18"/>
          <w:color w:val="28313B"/>
        </w:rPr>
        <w:t xml:space="preserve"> the Netherlands</w:t>
      </w:r>
      <w:r>
        <w:rPr>
          <w:rFonts w:ascii="Arial" w:cs="Arial" w:eastAsia="Arial" w:hAnsi="Arial"/>
          <w:sz w:val="18"/>
          <w:szCs w:val="18"/>
          <w:color w:val="4D5660"/>
        </w:rPr>
        <w:t>.</w:t>
      </w:r>
    </w:p>
    <w:p>
      <w:pPr>
        <w:spacing w:after="0" w:line="19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38424B"/>
        </w:rPr>
        <w:t xml:space="preserve">If </w:t>
      </w:r>
      <w:r>
        <w:rPr>
          <w:rFonts w:ascii="Arial" w:cs="Arial" w:eastAsia="Arial" w:hAnsi="Arial"/>
          <w:sz w:val="18"/>
          <w:szCs w:val="18"/>
          <w:color w:val="28313B"/>
        </w:rPr>
        <w:t>you voluntarily</w:t>
      </w:r>
      <w:r>
        <w:rPr>
          <w:rFonts w:ascii="Arial" w:cs="Arial" w:eastAsia="Arial" w:hAnsi="Arial"/>
          <w:sz w:val="18"/>
          <w:szCs w:val="18"/>
          <w:color w:val="38424B"/>
        </w:rPr>
        <w:t xml:space="preserve"> terminate </w:t>
      </w:r>
      <w:r>
        <w:rPr>
          <w:rFonts w:ascii="Arial" w:cs="Arial" w:eastAsia="Arial" w:hAnsi="Arial"/>
          <w:sz w:val="18"/>
          <w:szCs w:val="18"/>
          <w:color w:val="28313B"/>
        </w:rPr>
        <w:t>your employment with the Company within one year of your</w:t>
      </w:r>
      <w:r>
        <w:rPr>
          <w:rFonts w:ascii="Arial" w:cs="Arial" w:eastAsia="Arial" w:hAnsi="Arial"/>
          <w:sz w:val="18"/>
          <w:szCs w:val="18"/>
          <w:color w:val="38424B"/>
        </w:rPr>
        <w:t xml:space="preserve"> relocation </w:t>
      </w:r>
      <w:r>
        <w:rPr>
          <w:rFonts w:ascii="Arial" w:cs="Arial" w:eastAsia="Arial" w:hAnsi="Arial"/>
          <w:sz w:val="18"/>
          <w:szCs w:val="18"/>
          <w:color w:val="28313B"/>
        </w:rPr>
        <w:t>move, you will be required and agree to</w:t>
      </w:r>
      <w:r>
        <w:rPr>
          <w:rFonts w:ascii="Arial" w:cs="Arial" w:eastAsia="Arial" w:hAnsi="Arial"/>
          <w:sz w:val="18"/>
          <w:szCs w:val="18"/>
          <w:color w:val="38424B"/>
        </w:rPr>
        <w:t xml:space="preserve"> reimburse </w:t>
      </w:r>
      <w:r>
        <w:rPr>
          <w:rFonts w:ascii="Arial" w:cs="Arial" w:eastAsia="Arial" w:hAnsi="Arial"/>
          <w:sz w:val="18"/>
          <w:szCs w:val="18"/>
          <w:color w:val="28313B"/>
        </w:rPr>
        <w:t>the Company for all amounts</w:t>
      </w:r>
      <w:r>
        <w:rPr>
          <w:rFonts w:ascii="Arial" w:cs="Arial" w:eastAsia="Arial" w:hAnsi="Arial"/>
          <w:sz w:val="18"/>
          <w:szCs w:val="18"/>
          <w:color w:val="38424B"/>
        </w:rPr>
        <w:t xml:space="preserve"> paid </w:t>
      </w:r>
      <w:r>
        <w:rPr>
          <w:rFonts w:ascii="Arial" w:cs="Arial" w:eastAsia="Arial" w:hAnsi="Arial"/>
          <w:sz w:val="18"/>
          <w:szCs w:val="18"/>
          <w:color w:val="28313B"/>
        </w:rPr>
        <w:t>to you</w:t>
      </w:r>
      <w:r>
        <w:rPr>
          <w:rFonts w:ascii="Arial" w:cs="Arial" w:eastAsia="Arial" w:hAnsi="Arial"/>
          <w:sz w:val="18"/>
          <w:szCs w:val="18"/>
          <w:color w:val="38424B"/>
        </w:rPr>
        <w:t xml:space="preserve"> in </w:t>
      </w:r>
      <w:r>
        <w:rPr>
          <w:rFonts w:ascii="Arial" w:cs="Arial" w:eastAsia="Arial" w:hAnsi="Arial"/>
          <w:sz w:val="18"/>
          <w:szCs w:val="18"/>
          <w:color w:val="28313B"/>
        </w:rPr>
        <w:t>connection with your relocation, as specified above.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38424B"/>
        </w:rPr>
        <w:t xml:space="preserve">Normal </w:t>
      </w:r>
      <w:r>
        <w:rPr>
          <w:rFonts w:ascii="Arial" w:cs="Arial" w:eastAsia="Arial" w:hAnsi="Arial"/>
          <w:sz w:val="18"/>
          <w:szCs w:val="18"/>
          <w:color w:val="28313B"/>
        </w:rPr>
        <w:t>working hours are from 8:30 a.m. to 5:30 p</w:t>
      </w:r>
      <w:r>
        <w:rPr>
          <w:rFonts w:ascii="Arial" w:cs="Arial" w:eastAsia="Arial" w:hAnsi="Arial"/>
          <w:sz w:val="18"/>
          <w:szCs w:val="18"/>
          <w:color w:val="4D5660"/>
        </w:rPr>
        <w:t>.</w:t>
      </w:r>
      <w:r>
        <w:rPr>
          <w:rFonts w:ascii="Arial" w:cs="Arial" w:eastAsia="Arial" w:hAnsi="Arial"/>
          <w:sz w:val="18"/>
          <w:szCs w:val="18"/>
          <w:color w:val="28313B"/>
        </w:rPr>
        <w:t>m.</w:t>
      </w:r>
      <w:r>
        <w:rPr>
          <w:rFonts w:ascii="Arial" w:cs="Arial" w:eastAsia="Arial" w:hAnsi="Arial"/>
          <w:sz w:val="18"/>
          <w:szCs w:val="18"/>
          <w:color w:val="4D5660"/>
        </w:rPr>
        <w:t>,</w:t>
      </w:r>
      <w:r>
        <w:rPr>
          <w:rFonts w:ascii="Arial" w:cs="Arial" w:eastAsia="Arial" w:hAnsi="Arial"/>
          <w:sz w:val="18"/>
          <w:szCs w:val="18"/>
          <w:color w:val="38424B"/>
        </w:rPr>
        <w:t xml:space="preserve"> </w:t>
      </w:r>
      <w:r>
        <w:rPr>
          <w:rFonts w:ascii="Arial" w:cs="Arial" w:eastAsia="Arial" w:hAnsi="Arial"/>
          <w:sz w:val="18"/>
          <w:szCs w:val="18"/>
          <w:color w:val="28313B"/>
        </w:rPr>
        <w:t>Monday through Friday. As</w:t>
      </w:r>
      <w:r>
        <w:rPr>
          <w:rFonts w:ascii="Arial" w:cs="Arial" w:eastAsia="Arial" w:hAnsi="Arial"/>
          <w:sz w:val="18"/>
          <w:szCs w:val="18"/>
          <w:color w:val="38424B"/>
        </w:rPr>
        <w:t xml:space="preserve"> an </w:t>
      </w:r>
      <w:r>
        <w:rPr>
          <w:rFonts w:ascii="Arial" w:cs="Arial" w:eastAsia="Arial" w:hAnsi="Arial"/>
          <w:sz w:val="18"/>
          <w:szCs w:val="18"/>
          <w:color w:val="28313B"/>
        </w:rPr>
        <w:t>exempt</w:t>
      </w:r>
      <w:r>
        <w:rPr>
          <w:rFonts w:ascii="Arial" w:cs="Arial" w:eastAsia="Arial" w:hAnsi="Arial"/>
          <w:sz w:val="18"/>
          <w:szCs w:val="18"/>
          <w:color w:val="38424B"/>
        </w:rPr>
        <w:t xml:space="preserve"> employee, </w:t>
      </w:r>
      <w:r>
        <w:rPr>
          <w:rFonts w:ascii="Arial" w:cs="Arial" w:eastAsia="Arial" w:hAnsi="Arial"/>
          <w:sz w:val="18"/>
          <w:szCs w:val="18"/>
          <w:color w:val="28313B"/>
        </w:rPr>
        <w:t>you may be asked to work</w:t>
      </w:r>
      <w:r>
        <w:rPr>
          <w:rFonts w:ascii="Arial" w:cs="Arial" w:eastAsia="Arial" w:hAnsi="Arial"/>
          <w:sz w:val="18"/>
          <w:szCs w:val="18"/>
          <w:color w:val="38424B"/>
        </w:rPr>
        <w:t xml:space="preserve"> </w:t>
      </w:r>
      <w:r>
        <w:rPr>
          <w:rFonts w:ascii="Arial" w:cs="Arial" w:eastAsia="Arial" w:hAnsi="Arial"/>
          <w:sz w:val="18"/>
          <w:szCs w:val="18"/>
          <w:color w:val="28313B"/>
        </w:rPr>
        <w:t xml:space="preserve">additional hours as required by the nature of </w:t>
      </w:r>
      <w:r>
        <w:rPr>
          <w:rFonts w:ascii="Arial" w:cs="Arial" w:eastAsia="Arial" w:hAnsi="Arial"/>
          <w:sz w:val="18"/>
          <w:szCs w:val="18"/>
          <w:color w:val="38424B"/>
        </w:rPr>
        <w:t>your</w:t>
      </w:r>
      <w:r>
        <w:rPr>
          <w:rFonts w:ascii="Arial" w:cs="Arial" w:eastAsia="Arial" w:hAnsi="Arial"/>
          <w:sz w:val="18"/>
          <w:szCs w:val="18"/>
          <w:color w:val="28313B"/>
        </w:rPr>
        <w:t xml:space="preserve"> work </w:t>
      </w:r>
      <w:r>
        <w:rPr>
          <w:rFonts w:ascii="Arial" w:cs="Arial" w:eastAsia="Arial" w:hAnsi="Arial"/>
          <w:sz w:val="18"/>
          <w:szCs w:val="18"/>
          <w:color w:val="38424B"/>
        </w:rPr>
        <w:t>assignments.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8313B"/>
        </w:rPr>
        <w:t xml:space="preserve">We expect that you will start performing the duties of your new position on </w:t>
      </w:r>
      <w:r>
        <w:rPr>
          <w:rFonts w:ascii="Arial" w:cs="Arial" w:eastAsia="Arial" w:hAnsi="Arial"/>
          <w:sz w:val="18"/>
          <w:szCs w:val="18"/>
          <w:color w:val="38424B"/>
        </w:rPr>
        <w:t>February</w:t>
      </w:r>
      <w:r>
        <w:rPr>
          <w:rFonts w:ascii="Arial" w:cs="Arial" w:eastAsia="Arial" w:hAnsi="Arial"/>
          <w:sz w:val="18"/>
          <w:szCs w:val="18"/>
          <w:color w:val="28313B"/>
        </w:rPr>
        <w:t xml:space="preserve"> 27</w:t>
      </w:r>
      <w:r>
        <w:rPr>
          <w:rFonts w:ascii="Arial" w:cs="Arial" w:eastAsia="Arial" w:hAnsi="Arial"/>
          <w:sz w:val="18"/>
          <w:szCs w:val="18"/>
          <w:color w:val="4D5660"/>
        </w:rPr>
        <w:t>,</w:t>
      </w:r>
      <w:r>
        <w:rPr>
          <w:rFonts w:ascii="Arial" w:cs="Arial" w:eastAsia="Arial" w:hAnsi="Arial"/>
          <w:sz w:val="18"/>
          <w:szCs w:val="18"/>
          <w:color w:val="28313B"/>
        </w:rPr>
        <w:t xml:space="preserve"> 2023</w:t>
      </w:r>
      <w:r>
        <w:rPr>
          <w:rFonts w:ascii="Arial" w:cs="Arial" w:eastAsia="Arial" w:hAnsi="Arial"/>
          <w:sz w:val="18"/>
          <w:szCs w:val="18"/>
          <w:color w:val="697075"/>
        </w:rPr>
        <w:t>.</w:t>
      </w:r>
      <w:r>
        <w:rPr>
          <w:rFonts w:ascii="Arial" w:cs="Arial" w:eastAsia="Arial" w:hAnsi="Arial"/>
          <w:sz w:val="18"/>
          <w:szCs w:val="18"/>
          <w:color w:val="28313B"/>
        </w:rPr>
        <w:t xml:space="preserve"> </w:t>
      </w:r>
      <w:r>
        <w:rPr>
          <w:rFonts w:ascii="Arial" w:cs="Arial" w:eastAsia="Arial" w:hAnsi="Arial"/>
          <w:sz w:val="18"/>
          <w:szCs w:val="18"/>
          <w:color w:val="38424B"/>
        </w:rPr>
        <w:t>This job</w:t>
      </w:r>
      <w:r>
        <w:rPr>
          <w:rFonts w:ascii="Arial" w:cs="Arial" w:eastAsia="Arial" w:hAnsi="Arial"/>
          <w:sz w:val="18"/>
          <w:szCs w:val="18"/>
          <w:color w:val="28313B"/>
        </w:rPr>
        <w:t xml:space="preserve"> offer is contingent </w:t>
      </w:r>
      <w:r>
        <w:rPr>
          <w:rFonts w:ascii="Arial" w:cs="Arial" w:eastAsia="Arial" w:hAnsi="Arial"/>
          <w:sz w:val="18"/>
          <w:szCs w:val="18"/>
          <w:color w:val="38424B"/>
        </w:rPr>
        <w:t>upon</w:t>
      </w:r>
      <w:r>
        <w:rPr>
          <w:rFonts w:ascii="Arial" w:cs="Arial" w:eastAsia="Arial" w:hAnsi="Arial"/>
          <w:sz w:val="18"/>
          <w:szCs w:val="18"/>
          <w:color w:val="28313B"/>
        </w:rPr>
        <w:t xml:space="preserve"> favorable background and reference checks. Please </w:t>
      </w:r>
      <w:r>
        <w:rPr>
          <w:rFonts w:ascii="Arial" w:cs="Arial" w:eastAsia="Arial" w:hAnsi="Arial"/>
          <w:sz w:val="18"/>
          <w:szCs w:val="18"/>
          <w:color w:val="38424B"/>
        </w:rPr>
        <w:t>return</w:t>
      </w:r>
      <w:r>
        <w:rPr>
          <w:rFonts w:ascii="Arial" w:cs="Arial" w:eastAsia="Arial" w:hAnsi="Arial"/>
          <w:sz w:val="18"/>
          <w:szCs w:val="18"/>
          <w:color w:val="28313B"/>
        </w:rPr>
        <w:t xml:space="preserve"> a signed </w:t>
      </w:r>
      <w:r>
        <w:rPr>
          <w:rFonts w:ascii="Arial" w:cs="Arial" w:eastAsia="Arial" w:hAnsi="Arial"/>
          <w:sz w:val="18"/>
          <w:szCs w:val="18"/>
          <w:color w:val="38424B"/>
        </w:rPr>
        <w:t>copy of this</w:t>
      </w:r>
      <w:r>
        <w:rPr>
          <w:rFonts w:ascii="Arial" w:cs="Arial" w:eastAsia="Arial" w:hAnsi="Arial"/>
          <w:sz w:val="18"/>
          <w:szCs w:val="18"/>
          <w:color w:val="28313B"/>
        </w:rPr>
        <w:t xml:space="preserve"> offer on or before December 1</w:t>
      </w:r>
      <w:r>
        <w:rPr>
          <w:rFonts w:ascii="Arial" w:cs="Arial" w:eastAsia="Arial" w:hAnsi="Arial"/>
          <w:sz w:val="18"/>
          <w:szCs w:val="18"/>
          <w:color w:val="4D5660"/>
        </w:rPr>
        <w:t>,</w:t>
      </w:r>
      <w:r>
        <w:rPr>
          <w:rFonts w:ascii="Arial" w:cs="Arial" w:eastAsia="Arial" w:hAnsi="Arial"/>
          <w:sz w:val="18"/>
          <w:szCs w:val="18"/>
          <w:color w:val="28313B"/>
        </w:rPr>
        <w:t xml:space="preserve"> 2022, at which time this offer expires </w:t>
      </w:r>
      <w:r>
        <w:rPr>
          <w:rFonts w:ascii="Arial" w:cs="Arial" w:eastAsia="Arial" w:hAnsi="Arial"/>
          <w:sz w:val="18"/>
          <w:szCs w:val="18"/>
          <w:color w:val="38424B"/>
        </w:rPr>
        <w:t>if</w:t>
      </w:r>
      <w:r>
        <w:rPr>
          <w:rFonts w:ascii="Arial" w:cs="Arial" w:eastAsia="Arial" w:hAnsi="Arial"/>
          <w:sz w:val="18"/>
          <w:szCs w:val="18"/>
          <w:color w:val="28313B"/>
        </w:rPr>
        <w:t xml:space="preserve"> not </w:t>
      </w:r>
      <w:r>
        <w:rPr>
          <w:rFonts w:ascii="Arial" w:cs="Arial" w:eastAsia="Arial" w:hAnsi="Arial"/>
          <w:sz w:val="18"/>
          <w:szCs w:val="18"/>
          <w:color w:val="38424B"/>
        </w:rPr>
        <w:t>previously</w:t>
      </w:r>
      <w:r>
        <w:rPr>
          <w:rFonts w:ascii="Arial" w:cs="Arial" w:eastAsia="Arial" w:hAnsi="Arial"/>
          <w:sz w:val="18"/>
          <w:szCs w:val="18"/>
          <w:color w:val="28313B"/>
        </w:rPr>
        <w:t xml:space="preserve"> accepted</w:t>
      </w:r>
      <w:r>
        <w:rPr>
          <w:rFonts w:ascii="Arial" w:cs="Arial" w:eastAsia="Arial" w:hAnsi="Arial"/>
          <w:sz w:val="18"/>
          <w:szCs w:val="18"/>
          <w:color w:val="4D5660"/>
        </w:rPr>
        <w:t>.</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8424B"/>
        </w:rPr>
        <w:t xml:space="preserve">You may </w:t>
      </w:r>
      <w:r>
        <w:rPr>
          <w:rFonts w:ascii="Arial" w:cs="Arial" w:eastAsia="Arial" w:hAnsi="Arial"/>
          <w:sz w:val="18"/>
          <w:szCs w:val="18"/>
          <w:color w:val="28313B"/>
        </w:rPr>
        <w:t>terminate your employment with Company at any</w:t>
      </w:r>
      <w:r>
        <w:rPr>
          <w:rFonts w:ascii="Arial" w:cs="Arial" w:eastAsia="Arial" w:hAnsi="Arial"/>
          <w:sz w:val="18"/>
          <w:szCs w:val="18"/>
          <w:color w:val="38424B"/>
        </w:rPr>
        <w:t xml:space="preserve"> time </w:t>
      </w:r>
      <w:r>
        <w:rPr>
          <w:rFonts w:ascii="Arial" w:cs="Arial" w:eastAsia="Arial" w:hAnsi="Arial"/>
          <w:sz w:val="18"/>
          <w:szCs w:val="18"/>
          <w:color w:val="28313B"/>
        </w:rPr>
        <w:t>and for any reason whatsoever</w:t>
      </w:r>
      <w:r>
        <w:rPr>
          <w:rFonts w:ascii="Arial" w:cs="Arial" w:eastAsia="Arial" w:hAnsi="Arial"/>
          <w:sz w:val="18"/>
          <w:szCs w:val="18"/>
          <w:color w:val="38424B"/>
        </w:rPr>
        <w:t xml:space="preserve"> simply </w:t>
      </w:r>
      <w:r>
        <w:rPr>
          <w:rFonts w:ascii="Arial" w:cs="Arial" w:eastAsia="Arial" w:hAnsi="Arial"/>
          <w:sz w:val="18"/>
          <w:szCs w:val="18"/>
          <w:color w:val="28313B"/>
        </w:rPr>
        <w:t>by</w:t>
      </w:r>
      <w:r>
        <w:rPr>
          <w:rFonts w:ascii="Arial" w:cs="Arial" w:eastAsia="Arial" w:hAnsi="Arial"/>
          <w:sz w:val="18"/>
          <w:szCs w:val="18"/>
          <w:color w:val="38424B"/>
        </w:rPr>
        <w:t xml:space="preserve"> notifying </w:t>
      </w:r>
      <w:r>
        <w:rPr>
          <w:rFonts w:ascii="Arial" w:cs="Arial" w:eastAsia="Arial" w:hAnsi="Arial"/>
          <w:sz w:val="18"/>
          <w:szCs w:val="18"/>
          <w:color w:val="28313B"/>
        </w:rPr>
        <w:t>the Company.</w:t>
      </w:r>
      <w:r>
        <w:rPr>
          <w:rFonts w:ascii="Arial" w:cs="Arial" w:eastAsia="Arial" w:hAnsi="Arial"/>
          <w:sz w:val="18"/>
          <w:szCs w:val="18"/>
          <w:color w:val="38424B"/>
        </w:rPr>
        <w:t xml:space="preserve"> Likewise, </w:t>
      </w:r>
      <w:r>
        <w:rPr>
          <w:rFonts w:ascii="Arial" w:cs="Arial" w:eastAsia="Arial" w:hAnsi="Arial"/>
          <w:sz w:val="18"/>
          <w:szCs w:val="18"/>
          <w:color w:val="28313B"/>
        </w:rPr>
        <w:t xml:space="preserve">the Company may </w:t>
      </w:r>
      <w:r>
        <w:rPr>
          <w:rFonts w:ascii="Arial" w:cs="Arial" w:eastAsia="Arial" w:hAnsi="Arial"/>
          <w:sz w:val="18"/>
          <w:szCs w:val="18"/>
          <w:color w:val="38424B"/>
        </w:rPr>
        <w:t>terminate</w:t>
      </w:r>
      <w:r>
        <w:rPr>
          <w:rFonts w:ascii="Arial" w:cs="Arial" w:eastAsia="Arial" w:hAnsi="Arial"/>
          <w:sz w:val="18"/>
          <w:szCs w:val="18"/>
          <w:color w:val="28313B"/>
        </w:rPr>
        <w:t xml:space="preserve"> your employment at </w:t>
      </w:r>
      <w:r>
        <w:rPr>
          <w:rFonts w:ascii="Arial" w:cs="Arial" w:eastAsia="Arial" w:hAnsi="Arial"/>
          <w:sz w:val="18"/>
          <w:szCs w:val="18"/>
          <w:color w:val="38424B"/>
        </w:rPr>
        <w:t>any time</w:t>
      </w:r>
      <w:r>
        <w:rPr>
          <w:rFonts w:ascii="Arial" w:cs="Arial" w:eastAsia="Arial" w:hAnsi="Arial"/>
          <w:sz w:val="18"/>
          <w:szCs w:val="18"/>
          <w:color w:val="28313B"/>
        </w:rPr>
        <w:t xml:space="preserve"> and for any reason whatsoever, with or without cause or advance notice. This </w:t>
      </w:r>
      <w:r>
        <w:rPr>
          <w:rFonts w:ascii="Arial" w:cs="Arial" w:eastAsia="Arial" w:hAnsi="Arial"/>
          <w:sz w:val="18"/>
          <w:szCs w:val="18"/>
          <w:color w:val="38424B"/>
        </w:rPr>
        <w:t xml:space="preserve">at-will employment </w:t>
      </w:r>
      <w:r>
        <w:rPr>
          <w:rFonts w:ascii="Arial" w:cs="Arial" w:eastAsia="Arial" w:hAnsi="Arial"/>
          <w:sz w:val="18"/>
          <w:szCs w:val="18"/>
          <w:color w:val="28313B"/>
        </w:rPr>
        <w:t>relationship cannot be changed except</w:t>
      </w:r>
      <w:r>
        <w:rPr>
          <w:rFonts w:ascii="Arial" w:cs="Arial" w:eastAsia="Arial" w:hAnsi="Arial"/>
          <w:sz w:val="18"/>
          <w:szCs w:val="18"/>
          <w:color w:val="38424B"/>
        </w:rPr>
        <w:t xml:space="preserve"> in </w:t>
      </w:r>
      <w:r>
        <w:rPr>
          <w:rFonts w:ascii="Arial" w:cs="Arial" w:eastAsia="Arial" w:hAnsi="Arial"/>
          <w:sz w:val="18"/>
          <w:szCs w:val="18"/>
          <w:color w:val="28313B"/>
        </w:rPr>
        <w:t>writing signed by a Company officer</w:t>
      </w:r>
      <w:r>
        <w:rPr>
          <w:rFonts w:ascii="Arial" w:cs="Arial" w:eastAsia="Arial" w:hAnsi="Arial"/>
          <w:sz w:val="18"/>
          <w:szCs w:val="18"/>
          <w:color w:val="697075"/>
        </w:rPr>
        <w:t>.</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38424B"/>
        </w:rPr>
        <w:t xml:space="preserve">To </w:t>
      </w:r>
      <w:r>
        <w:rPr>
          <w:rFonts w:ascii="Arial" w:cs="Arial" w:eastAsia="Arial" w:hAnsi="Arial"/>
          <w:sz w:val="18"/>
          <w:szCs w:val="18"/>
          <w:color w:val="28313B"/>
        </w:rPr>
        <w:t>ensu</w:t>
      </w:r>
      <w:r>
        <w:rPr>
          <w:rFonts w:ascii="Arial" w:cs="Arial" w:eastAsia="Arial" w:hAnsi="Arial"/>
          <w:sz w:val="18"/>
          <w:szCs w:val="18"/>
          <w:color w:val="4D5660"/>
        </w:rPr>
        <w:t>r</w:t>
      </w:r>
      <w:r>
        <w:rPr>
          <w:rFonts w:ascii="Arial" w:cs="Arial" w:eastAsia="Arial" w:hAnsi="Arial"/>
          <w:sz w:val="18"/>
          <w:szCs w:val="18"/>
          <w:color w:val="28313B"/>
        </w:rPr>
        <w:t>e the timely and economical resolution of disputes</w:t>
      </w:r>
      <w:r>
        <w:rPr>
          <w:rFonts w:ascii="Arial" w:cs="Arial" w:eastAsia="Arial" w:hAnsi="Arial"/>
          <w:sz w:val="18"/>
          <w:szCs w:val="18"/>
          <w:color w:val="4D5660"/>
        </w:rPr>
        <w:t>,</w:t>
      </w:r>
      <w:r>
        <w:rPr>
          <w:rFonts w:ascii="Arial" w:cs="Arial" w:eastAsia="Arial" w:hAnsi="Arial"/>
          <w:sz w:val="18"/>
          <w:szCs w:val="18"/>
          <w:color w:val="38424B"/>
        </w:rPr>
        <w:t xml:space="preserve"> </w:t>
      </w:r>
      <w:r>
        <w:rPr>
          <w:rFonts w:ascii="Arial" w:cs="Arial" w:eastAsia="Arial" w:hAnsi="Arial"/>
          <w:sz w:val="18"/>
          <w:szCs w:val="18"/>
          <w:color w:val="28313B"/>
        </w:rPr>
        <w:t>all disputes, claims</w:t>
      </w:r>
      <w:r>
        <w:rPr>
          <w:rFonts w:ascii="Arial" w:cs="Arial" w:eastAsia="Arial" w:hAnsi="Arial"/>
          <w:sz w:val="18"/>
          <w:szCs w:val="18"/>
          <w:color w:val="4D5660"/>
        </w:rPr>
        <w:t>,</w:t>
      </w:r>
      <w:r>
        <w:rPr>
          <w:rFonts w:ascii="Arial" w:cs="Arial" w:eastAsia="Arial" w:hAnsi="Arial"/>
          <w:sz w:val="18"/>
          <w:szCs w:val="18"/>
          <w:color w:val="38424B"/>
        </w:rPr>
        <w:t xml:space="preserve"> </w:t>
      </w:r>
      <w:r>
        <w:rPr>
          <w:rFonts w:ascii="Arial" w:cs="Arial" w:eastAsia="Arial" w:hAnsi="Arial"/>
          <w:sz w:val="18"/>
          <w:szCs w:val="18"/>
          <w:color w:val="28313B"/>
        </w:rPr>
        <w:t>or</w:t>
      </w:r>
      <w:r>
        <w:rPr>
          <w:rFonts w:ascii="Arial" w:cs="Arial" w:eastAsia="Arial" w:hAnsi="Arial"/>
          <w:sz w:val="18"/>
          <w:szCs w:val="18"/>
          <w:color w:val="38424B"/>
        </w:rPr>
        <w:t xml:space="preserve"> causes </w:t>
      </w:r>
      <w:r>
        <w:rPr>
          <w:rFonts w:ascii="Arial" w:cs="Arial" w:eastAsia="Arial" w:hAnsi="Arial"/>
          <w:sz w:val="18"/>
          <w:szCs w:val="18"/>
          <w:color w:val="28313B"/>
        </w:rPr>
        <w:t>of action</w:t>
      </w:r>
      <w:r>
        <w:rPr>
          <w:rFonts w:ascii="Arial" w:cs="Arial" w:eastAsia="Arial" w:hAnsi="Arial"/>
          <w:sz w:val="18"/>
          <w:szCs w:val="18"/>
          <w:color w:val="38424B"/>
        </w:rPr>
        <w:t xml:space="preserve"> arising </w:t>
      </w:r>
      <w:r>
        <w:rPr>
          <w:rFonts w:ascii="Arial" w:cs="Arial" w:eastAsia="Arial" w:hAnsi="Arial"/>
          <w:sz w:val="18"/>
          <w:szCs w:val="18"/>
          <w:color w:val="28313B"/>
        </w:rPr>
        <w:t>from or</w:t>
      </w:r>
      <w:r>
        <w:rPr>
          <w:rFonts w:ascii="Arial" w:cs="Arial" w:eastAsia="Arial" w:hAnsi="Arial"/>
          <w:sz w:val="18"/>
          <w:szCs w:val="18"/>
          <w:color w:val="38424B"/>
        </w:rPr>
        <w:t xml:space="preserve"> relating to </w:t>
      </w:r>
      <w:r>
        <w:rPr>
          <w:rFonts w:ascii="Arial" w:cs="Arial" w:eastAsia="Arial" w:hAnsi="Arial"/>
          <w:sz w:val="18"/>
          <w:szCs w:val="18"/>
          <w:color w:val="28313B"/>
        </w:rPr>
        <w:t>the</w:t>
      </w:r>
      <w:r>
        <w:rPr>
          <w:rFonts w:ascii="Arial" w:cs="Arial" w:eastAsia="Arial" w:hAnsi="Arial"/>
          <w:sz w:val="18"/>
          <w:szCs w:val="18"/>
          <w:color w:val="38424B"/>
        </w:rPr>
        <w:t xml:space="preserve"> </w:t>
      </w:r>
      <w:r>
        <w:rPr>
          <w:rFonts w:ascii="Arial" w:cs="Arial" w:eastAsia="Arial" w:hAnsi="Arial"/>
          <w:sz w:val="18"/>
          <w:szCs w:val="18"/>
          <w:color w:val="28313B"/>
        </w:rPr>
        <w:t>enforcement</w:t>
      </w:r>
      <w:r>
        <w:rPr>
          <w:rFonts w:ascii="Arial" w:cs="Arial" w:eastAsia="Arial" w:hAnsi="Arial"/>
          <w:sz w:val="18"/>
          <w:szCs w:val="18"/>
          <w:color w:val="4D5660"/>
        </w:rPr>
        <w:t>,</w:t>
      </w:r>
      <w:r>
        <w:rPr>
          <w:rFonts w:ascii="Arial" w:cs="Arial" w:eastAsia="Arial" w:hAnsi="Arial"/>
          <w:sz w:val="18"/>
          <w:szCs w:val="18"/>
          <w:color w:val="28313B"/>
        </w:rPr>
        <w:t xml:space="preserve"> breach, performance or </w:t>
      </w:r>
      <w:r>
        <w:rPr>
          <w:rFonts w:ascii="Arial" w:cs="Arial" w:eastAsia="Arial" w:hAnsi="Arial"/>
          <w:sz w:val="18"/>
          <w:szCs w:val="18"/>
          <w:color w:val="38424B"/>
        </w:rPr>
        <w:t>interpretation of this</w:t>
      </w:r>
      <w:r>
        <w:rPr>
          <w:rFonts w:ascii="Arial" w:cs="Arial" w:eastAsia="Arial" w:hAnsi="Arial"/>
          <w:sz w:val="18"/>
          <w:szCs w:val="18"/>
          <w:color w:val="28313B"/>
        </w:rPr>
        <w:t xml:space="preserve"> offer </w:t>
      </w:r>
      <w:r>
        <w:rPr>
          <w:rFonts w:ascii="Arial" w:cs="Arial" w:eastAsia="Arial" w:hAnsi="Arial"/>
          <w:sz w:val="18"/>
          <w:szCs w:val="18"/>
          <w:color w:val="38424B"/>
        </w:rPr>
        <w:t>letter or</w:t>
      </w:r>
      <w:r>
        <w:rPr>
          <w:rFonts w:ascii="Arial" w:cs="Arial" w:eastAsia="Arial" w:hAnsi="Arial"/>
          <w:sz w:val="18"/>
          <w:szCs w:val="18"/>
          <w:color w:val="28313B"/>
        </w:rPr>
        <w:t xml:space="preserve"> otherwise arising </w:t>
      </w:r>
      <w:r>
        <w:rPr>
          <w:rFonts w:ascii="Arial" w:cs="Arial" w:eastAsia="Arial" w:hAnsi="Arial"/>
          <w:sz w:val="18"/>
          <w:szCs w:val="18"/>
          <w:color w:val="38424B"/>
        </w:rPr>
        <w:t>from</w:t>
      </w:r>
      <w:r>
        <w:rPr>
          <w:rFonts w:ascii="Arial" w:cs="Arial" w:eastAsia="Arial" w:hAnsi="Arial"/>
          <w:sz w:val="18"/>
          <w:szCs w:val="18"/>
          <w:color w:val="28313B"/>
        </w:rPr>
        <w:t xml:space="preserve"> your employment with the </w:t>
      </w:r>
      <w:r>
        <w:rPr>
          <w:rFonts w:ascii="Arial" w:cs="Arial" w:eastAsia="Arial" w:hAnsi="Arial"/>
          <w:sz w:val="18"/>
          <w:szCs w:val="18"/>
          <w:color w:val="38424B"/>
        </w:rPr>
        <w:t>Company</w:t>
      </w:r>
      <w:r>
        <w:rPr>
          <w:rFonts w:ascii="Arial" w:cs="Arial" w:eastAsia="Arial" w:hAnsi="Arial"/>
          <w:sz w:val="18"/>
          <w:szCs w:val="18"/>
          <w:color w:val="28313B"/>
        </w:rPr>
        <w:t xml:space="preserve"> will be resolved to the </w:t>
      </w:r>
      <w:r>
        <w:rPr>
          <w:rFonts w:ascii="Arial" w:cs="Arial" w:eastAsia="Arial" w:hAnsi="Arial"/>
          <w:sz w:val="18"/>
          <w:szCs w:val="18"/>
          <w:color w:val="38424B"/>
        </w:rPr>
        <w:t>fullest</w:t>
      </w:r>
      <w:r>
        <w:rPr>
          <w:rFonts w:ascii="Arial" w:cs="Arial" w:eastAsia="Arial" w:hAnsi="Arial"/>
          <w:sz w:val="18"/>
          <w:szCs w:val="18"/>
          <w:color w:val="28313B"/>
        </w:rPr>
        <w:t xml:space="preserve"> extent </w:t>
      </w:r>
      <w:r>
        <w:rPr>
          <w:rFonts w:ascii="Arial" w:cs="Arial" w:eastAsia="Arial" w:hAnsi="Arial"/>
          <w:sz w:val="18"/>
          <w:szCs w:val="18"/>
          <w:color w:val="38424B"/>
        </w:rPr>
        <w:t>permitted</w:t>
      </w:r>
      <w:r>
        <w:rPr>
          <w:rFonts w:ascii="Arial" w:cs="Arial" w:eastAsia="Arial" w:hAnsi="Arial"/>
          <w:sz w:val="18"/>
          <w:szCs w:val="18"/>
          <w:color w:val="28313B"/>
        </w:rPr>
        <w:t xml:space="preserve"> by law by </w:t>
      </w:r>
      <w:r>
        <w:rPr>
          <w:rFonts w:ascii="Arial" w:cs="Arial" w:eastAsia="Arial" w:hAnsi="Arial"/>
          <w:sz w:val="18"/>
          <w:szCs w:val="18"/>
          <w:color w:val="38424B"/>
        </w:rPr>
        <w:t>final,</w:t>
      </w:r>
      <w:r>
        <w:rPr>
          <w:rFonts w:ascii="Arial" w:cs="Arial" w:eastAsia="Arial" w:hAnsi="Arial"/>
          <w:sz w:val="18"/>
          <w:szCs w:val="18"/>
          <w:color w:val="28313B"/>
        </w:rPr>
        <w:t xml:space="preserve"> binding and confidential arbitration, by a single arbitrator</w:t>
      </w:r>
      <w:r>
        <w:rPr>
          <w:rFonts w:ascii="Arial" w:cs="Arial" w:eastAsia="Arial" w:hAnsi="Arial"/>
          <w:sz w:val="18"/>
          <w:szCs w:val="18"/>
          <w:color w:val="4D5660"/>
        </w:rPr>
        <w:t>,</w:t>
      </w:r>
      <w:r>
        <w:rPr>
          <w:rFonts w:ascii="Arial" w:cs="Arial" w:eastAsia="Arial" w:hAnsi="Arial"/>
          <w:sz w:val="18"/>
          <w:szCs w:val="18"/>
          <w:color w:val="28313B"/>
        </w:rPr>
        <w:t xml:space="preserve"> </w:t>
      </w:r>
      <w:r>
        <w:rPr>
          <w:rFonts w:ascii="Arial" w:cs="Arial" w:eastAsia="Arial" w:hAnsi="Arial"/>
          <w:sz w:val="18"/>
          <w:szCs w:val="18"/>
          <w:color w:val="38424B"/>
        </w:rPr>
        <w:t>in Fremont, California,</w:t>
      </w:r>
      <w:r>
        <w:rPr>
          <w:rFonts w:ascii="Arial" w:cs="Arial" w:eastAsia="Arial" w:hAnsi="Arial"/>
          <w:sz w:val="18"/>
          <w:szCs w:val="18"/>
          <w:color w:val="28313B"/>
        </w:rPr>
        <w:t xml:space="preserve"> </w:t>
      </w:r>
      <w:r>
        <w:rPr>
          <w:rFonts w:ascii="Arial" w:cs="Arial" w:eastAsia="Arial" w:hAnsi="Arial"/>
          <w:sz w:val="18"/>
          <w:szCs w:val="18"/>
          <w:color w:val="38424B"/>
        </w:rPr>
        <w:t xml:space="preserve">conducted </w:t>
      </w:r>
      <w:r>
        <w:rPr>
          <w:rFonts w:ascii="Arial" w:cs="Arial" w:eastAsia="Arial" w:hAnsi="Arial"/>
          <w:sz w:val="18"/>
          <w:szCs w:val="18"/>
          <w:color w:val="28313B"/>
        </w:rPr>
        <w:t>by</w:t>
      </w:r>
      <w:r>
        <w:rPr>
          <w:rFonts w:ascii="Arial" w:cs="Arial" w:eastAsia="Arial" w:hAnsi="Arial"/>
          <w:sz w:val="18"/>
          <w:szCs w:val="18"/>
          <w:color w:val="38424B"/>
        </w:rPr>
        <w:t xml:space="preserve"> JAMS, Inc</w:t>
      </w:r>
      <w:r>
        <w:rPr>
          <w:rFonts w:ascii="Arial" w:cs="Arial" w:eastAsia="Arial" w:hAnsi="Arial"/>
          <w:sz w:val="18"/>
          <w:szCs w:val="18"/>
          <w:color w:val="697075"/>
        </w:rPr>
        <w:t>.</w:t>
      </w:r>
      <w:r>
        <w:rPr>
          <w:rFonts w:ascii="Arial" w:cs="Arial" w:eastAsia="Arial" w:hAnsi="Arial"/>
          <w:sz w:val="18"/>
          <w:szCs w:val="18"/>
          <w:color w:val="38424B"/>
        </w:rPr>
        <w:t xml:space="preserve"> (“JAMS”) </w:t>
      </w:r>
      <w:r>
        <w:rPr>
          <w:rFonts w:ascii="Arial" w:cs="Arial" w:eastAsia="Arial" w:hAnsi="Arial"/>
          <w:sz w:val="18"/>
          <w:szCs w:val="18"/>
          <w:color w:val="28313B"/>
        </w:rPr>
        <w:t>under the then-applicable</w:t>
      </w:r>
      <w:r>
        <w:rPr>
          <w:rFonts w:ascii="Arial" w:cs="Arial" w:eastAsia="Arial" w:hAnsi="Arial"/>
          <w:sz w:val="18"/>
          <w:szCs w:val="18"/>
          <w:color w:val="38424B"/>
        </w:rPr>
        <w:t xml:space="preserve"> JAMS </w:t>
      </w:r>
      <w:r>
        <w:rPr>
          <w:rFonts w:ascii="Arial" w:cs="Arial" w:eastAsia="Arial" w:hAnsi="Arial"/>
          <w:sz w:val="18"/>
          <w:szCs w:val="18"/>
          <w:color w:val="28313B"/>
        </w:rPr>
        <w:t>rules</w:t>
      </w:r>
      <w:r>
        <w:rPr>
          <w:rFonts w:ascii="Arial" w:cs="Arial" w:eastAsia="Arial" w:hAnsi="Arial"/>
          <w:sz w:val="18"/>
          <w:szCs w:val="18"/>
          <w:color w:val="38424B"/>
        </w:rPr>
        <w:t xml:space="preserve"> (available at the following </w:t>
      </w:r>
      <w:r>
        <w:rPr>
          <w:rFonts w:ascii="Arial" w:cs="Arial" w:eastAsia="Arial" w:hAnsi="Arial"/>
          <w:sz w:val="18"/>
          <w:szCs w:val="18"/>
          <w:color w:val="28313B"/>
        </w:rPr>
        <w:t>web address</w:t>
      </w:r>
      <w:r>
        <w:rPr>
          <w:rFonts w:ascii="Arial" w:cs="Arial" w:eastAsia="Arial" w:hAnsi="Arial"/>
          <w:sz w:val="18"/>
          <w:szCs w:val="18"/>
          <w:color w:val="697075"/>
        </w:rPr>
        <w:t>:</w:t>
      </w:r>
      <w:r>
        <w:rPr>
          <w:rFonts w:ascii="Arial" w:cs="Arial" w:eastAsia="Arial" w:hAnsi="Arial"/>
          <w:sz w:val="18"/>
          <w:szCs w:val="18"/>
          <w:color w:val="38424B"/>
        </w:rPr>
        <w:t xml:space="preserve"> https://www</w:t>
      </w:r>
      <w:r>
        <w:rPr>
          <w:rFonts w:ascii="Arial" w:cs="Arial" w:eastAsia="Arial" w:hAnsi="Arial"/>
          <w:sz w:val="18"/>
          <w:szCs w:val="18"/>
          <w:color w:val="697075"/>
        </w:rPr>
        <w:t>.</w:t>
      </w:r>
      <w:r>
        <w:rPr>
          <w:rFonts w:ascii="Arial" w:cs="Arial" w:eastAsia="Arial" w:hAnsi="Arial"/>
          <w:sz w:val="18"/>
          <w:szCs w:val="18"/>
          <w:color w:val="38424B"/>
        </w:rPr>
        <w:t xml:space="preserve">jamsadr.com/rules-employment). </w:t>
      </w:r>
      <w:r>
        <w:rPr>
          <w:rFonts w:ascii="Arial" w:cs="Arial" w:eastAsia="Arial" w:hAnsi="Arial"/>
          <w:sz w:val="18"/>
          <w:szCs w:val="18"/>
          <w:color w:val="28313B"/>
        </w:rPr>
        <w:t>BY AGREEING TO THIS ARBITRATION PROCEDURE, YOU AND THE COMPANY WAIVE</w:t>
      </w:r>
      <w:r>
        <w:rPr>
          <w:rFonts w:ascii="Arial" w:cs="Arial" w:eastAsia="Arial" w:hAnsi="Arial"/>
          <w:sz w:val="18"/>
          <w:szCs w:val="18"/>
          <w:color w:val="38424B"/>
        </w:rPr>
        <w:t xml:space="preserve"> </w:t>
      </w:r>
      <w:r>
        <w:rPr>
          <w:rFonts w:ascii="Arial" w:cs="Arial" w:eastAsia="Arial" w:hAnsi="Arial"/>
          <w:sz w:val="18"/>
          <w:szCs w:val="18"/>
          <w:color w:val="28313B"/>
        </w:rPr>
        <w:t xml:space="preserve">THE RIGHT TO RESOLVE </w:t>
      </w:r>
      <w:r>
        <w:rPr>
          <w:rFonts w:ascii="Arial" w:cs="Arial" w:eastAsia="Arial" w:hAnsi="Arial"/>
          <w:sz w:val="18"/>
          <w:szCs w:val="18"/>
          <w:color w:val="38424B"/>
        </w:rPr>
        <w:t>ANY</w:t>
      </w:r>
      <w:r>
        <w:rPr>
          <w:rFonts w:ascii="Arial" w:cs="Arial" w:eastAsia="Arial" w:hAnsi="Arial"/>
          <w:sz w:val="18"/>
          <w:szCs w:val="18"/>
          <w:color w:val="28313B"/>
        </w:rPr>
        <w:t xml:space="preserve"> SUCH DISPUTE THROUGH A TRIAL BY JURY OR JUDGE OR ADMINISTRATIVE PROCEEDING</w:t>
      </w:r>
      <w:r>
        <w:rPr>
          <w:rFonts w:ascii="Arial" w:cs="Arial" w:eastAsia="Arial" w:hAnsi="Arial"/>
          <w:sz w:val="18"/>
          <w:szCs w:val="18"/>
          <w:color w:val="4D5660"/>
        </w:rPr>
        <w:t>.</w:t>
      </w:r>
      <w:r>
        <w:rPr>
          <w:rFonts w:ascii="Arial" w:cs="Arial" w:eastAsia="Arial" w:hAnsi="Arial"/>
          <w:sz w:val="18"/>
          <w:szCs w:val="18"/>
          <w:color w:val="28313B"/>
        </w:rPr>
        <w:t xml:space="preserve"> </w:t>
      </w:r>
      <w:r>
        <w:rPr>
          <w:rFonts w:ascii="Arial" w:cs="Arial" w:eastAsia="Arial" w:hAnsi="Arial"/>
          <w:sz w:val="18"/>
          <w:szCs w:val="18"/>
          <w:color w:val="38424B"/>
        </w:rPr>
        <w:t>You</w:t>
      </w:r>
      <w:r>
        <w:rPr>
          <w:rFonts w:ascii="Arial" w:cs="Arial" w:eastAsia="Arial" w:hAnsi="Arial"/>
          <w:sz w:val="18"/>
          <w:szCs w:val="18"/>
          <w:color w:val="28313B"/>
        </w:rPr>
        <w:t xml:space="preserve"> </w:t>
      </w:r>
      <w:r>
        <w:rPr>
          <w:rFonts w:ascii="Arial" w:cs="Arial" w:eastAsia="Arial" w:hAnsi="Arial"/>
          <w:sz w:val="18"/>
          <w:szCs w:val="18"/>
          <w:color w:val="38424B"/>
        </w:rPr>
        <w:t xml:space="preserve">will have the right to be represented by </w:t>
      </w:r>
      <w:r>
        <w:rPr>
          <w:rFonts w:ascii="Arial" w:cs="Arial" w:eastAsia="Arial" w:hAnsi="Arial"/>
          <w:sz w:val="18"/>
          <w:szCs w:val="18"/>
          <w:color w:val="28313B"/>
        </w:rPr>
        <w:t>legal</w:t>
      </w:r>
    </w:p>
    <w:p>
      <w:pPr>
        <w:sectPr>
          <w:pgSz w:w="11900" w:h="16838" w:orient="portrait"/>
          <w:cols w:equalWidth="0" w:num="1">
            <w:col w:w="11240"/>
          </w:cols>
          <w:pgMar w:left="320" w:top="1417" w:right="339" w:bottom="1440" w:gutter="0" w:footer="0" w:header="0"/>
        </w:sectPr>
      </w:pPr>
    </w:p>
    <w:bookmarkStart w:id="92" w:name="page93"/>
    <w:bookmarkEnd w:id="92"/>
    <w:p>
      <w:pPr>
        <w:jc w:val="both"/>
        <w:spacing w:after="0" w:line="246" w:lineRule="auto"/>
        <w:rPr>
          <w:sz w:val="20"/>
          <w:szCs w:val="20"/>
          <w:color w:val="auto"/>
        </w:rPr>
      </w:pPr>
      <w:r>
        <w:rPr>
          <w:rFonts w:ascii="Arial" w:cs="Arial" w:eastAsia="Arial" w:hAnsi="Arial"/>
          <w:sz w:val="18"/>
          <w:szCs w:val="18"/>
          <w:color w:val="38424B"/>
        </w:rPr>
        <w:drawing>
          <wp:anchor simplePos="0" relativeHeight="251657728" behindDoc="1" locked="0" layoutInCell="0" allowOverlap="1">
            <wp:simplePos x="0" y="0"/>
            <wp:positionH relativeFrom="page">
              <wp:posOffset>208280</wp:posOffset>
            </wp:positionH>
            <wp:positionV relativeFrom="page">
              <wp:posOffset>88900</wp:posOffset>
            </wp:positionV>
            <wp:extent cx="1551305" cy="5740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551305" cy="574040"/>
                    </a:xfrm>
                    <a:prstGeom prst="rect">
                      <a:avLst/>
                    </a:prstGeom>
                    <a:noFill/>
                  </pic:spPr>
                </pic:pic>
              </a:graphicData>
            </a:graphic>
          </wp:anchor>
        </w:drawing>
        <w:t xml:space="preserve">counsel </w:t>
      </w:r>
      <w:r>
        <w:rPr>
          <w:rFonts w:ascii="Arial" w:cs="Arial" w:eastAsia="Arial" w:hAnsi="Arial"/>
          <w:sz w:val="18"/>
          <w:szCs w:val="18"/>
          <w:color w:val="28313B"/>
        </w:rPr>
        <w:t>at any arbitration proceeding</w:t>
      </w:r>
      <w:r>
        <w:rPr>
          <w:rFonts w:ascii="Arial" w:cs="Arial" w:eastAsia="Arial" w:hAnsi="Arial"/>
          <w:sz w:val="18"/>
          <w:szCs w:val="18"/>
          <w:color w:val="697075"/>
        </w:rPr>
        <w:t>.</w:t>
      </w:r>
      <w:r>
        <w:rPr>
          <w:rFonts w:ascii="Arial" w:cs="Arial" w:eastAsia="Arial" w:hAnsi="Arial"/>
          <w:sz w:val="18"/>
          <w:szCs w:val="18"/>
          <w:color w:val="38424B"/>
        </w:rPr>
        <w:t xml:space="preserve"> </w:t>
      </w:r>
      <w:r>
        <w:rPr>
          <w:rFonts w:ascii="Arial" w:cs="Arial" w:eastAsia="Arial" w:hAnsi="Arial"/>
          <w:sz w:val="18"/>
          <w:szCs w:val="18"/>
          <w:color w:val="28313B"/>
        </w:rPr>
        <w:t>The arbitrator</w:t>
      </w:r>
      <w:r>
        <w:rPr>
          <w:rFonts w:ascii="Arial" w:cs="Arial" w:eastAsia="Arial" w:hAnsi="Arial"/>
          <w:sz w:val="18"/>
          <w:szCs w:val="18"/>
          <w:color w:val="38424B"/>
        </w:rPr>
        <w:t xml:space="preserve"> shall: (a) have the </w:t>
      </w:r>
      <w:r>
        <w:rPr>
          <w:rFonts w:ascii="Arial" w:cs="Arial" w:eastAsia="Arial" w:hAnsi="Arial"/>
          <w:sz w:val="18"/>
          <w:szCs w:val="18"/>
          <w:color w:val="28313B"/>
        </w:rPr>
        <w:t>authority to</w:t>
      </w:r>
      <w:r>
        <w:rPr>
          <w:rFonts w:ascii="Arial" w:cs="Arial" w:eastAsia="Arial" w:hAnsi="Arial"/>
          <w:sz w:val="18"/>
          <w:szCs w:val="18"/>
          <w:color w:val="38424B"/>
        </w:rPr>
        <w:t xml:space="preserve"> compel </w:t>
      </w:r>
      <w:r>
        <w:rPr>
          <w:rFonts w:ascii="Arial" w:cs="Arial" w:eastAsia="Arial" w:hAnsi="Arial"/>
          <w:sz w:val="18"/>
          <w:szCs w:val="18"/>
          <w:color w:val="28313B"/>
        </w:rPr>
        <w:t>adequate discovery for the resolution of</w:t>
      </w:r>
      <w:r>
        <w:rPr>
          <w:rFonts w:ascii="Arial" w:cs="Arial" w:eastAsia="Arial" w:hAnsi="Arial"/>
          <w:sz w:val="18"/>
          <w:szCs w:val="18"/>
          <w:color w:val="38424B"/>
        </w:rPr>
        <w:t xml:space="preserve"> the </w:t>
      </w:r>
      <w:r>
        <w:rPr>
          <w:rFonts w:ascii="Arial" w:cs="Arial" w:eastAsia="Arial" w:hAnsi="Arial"/>
          <w:sz w:val="18"/>
          <w:szCs w:val="18"/>
          <w:color w:val="28313B"/>
        </w:rPr>
        <w:t xml:space="preserve">dispute and to </w:t>
      </w:r>
      <w:r>
        <w:rPr>
          <w:rFonts w:ascii="Arial" w:cs="Arial" w:eastAsia="Arial" w:hAnsi="Arial"/>
          <w:sz w:val="18"/>
          <w:szCs w:val="18"/>
          <w:color w:val="38424B"/>
        </w:rPr>
        <w:t>award such relief</w:t>
      </w:r>
      <w:r>
        <w:rPr>
          <w:rFonts w:ascii="Arial" w:cs="Arial" w:eastAsia="Arial" w:hAnsi="Arial"/>
          <w:sz w:val="18"/>
          <w:szCs w:val="18"/>
          <w:color w:val="28313B"/>
        </w:rPr>
        <w:t xml:space="preserve"> as would otherwise be permitted by law; and (b) </w:t>
      </w:r>
      <w:r>
        <w:rPr>
          <w:rFonts w:ascii="Arial" w:cs="Arial" w:eastAsia="Arial" w:hAnsi="Arial"/>
          <w:sz w:val="18"/>
          <w:szCs w:val="18"/>
          <w:color w:val="38424B"/>
        </w:rPr>
        <w:t>issue</w:t>
      </w:r>
      <w:r>
        <w:rPr>
          <w:rFonts w:ascii="Arial" w:cs="Arial" w:eastAsia="Arial" w:hAnsi="Arial"/>
          <w:sz w:val="18"/>
          <w:szCs w:val="18"/>
          <w:color w:val="28313B"/>
        </w:rPr>
        <w:t xml:space="preserve"> a written arbitration decision, </w:t>
      </w:r>
      <w:r>
        <w:rPr>
          <w:rFonts w:ascii="Arial" w:cs="Arial" w:eastAsia="Arial" w:hAnsi="Arial"/>
          <w:sz w:val="18"/>
          <w:szCs w:val="18"/>
          <w:color w:val="38424B"/>
        </w:rPr>
        <w:t>to include the</w:t>
      </w:r>
      <w:r>
        <w:rPr>
          <w:rFonts w:ascii="Arial" w:cs="Arial" w:eastAsia="Arial" w:hAnsi="Arial"/>
          <w:sz w:val="18"/>
          <w:szCs w:val="18"/>
          <w:color w:val="28313B"/>
        </w:rPr>
        <w:t xml:space="preserve"> </w:t>
      </w:r>
      <w:r>
        <w:rPr>
          <w:rFonts w:ascii="Arial" w:cs="Arial" w:eastAsia="Arial" w:hAnsi="Arial"/>
          <w:sz w:val="18"/>
          <w:szCs w:val="18"/>
          <w:color w:val="38424B"/>
        </w:rPr>
        <w:t xml:space="preserve">arbitrator’s </w:t>
      </w:r>
      <w:r>
        <w:rPr>
          <w:rFonts w:ascii="Arial" w:cs="Arial" w:eastAsia="Arial" w:hAnsi="Arial"/>
          <w:sz w:val="18"/>
          <w:szCs w:val="18"/>
          <w:color w:val="28313B"/>
        </w:rPr>
        <w:t>essential</w:t>
      </w:r>
      <w:r>
        <w:rPr>
          <w:rFonts w:ascii="Arial" w:cs="Arial" w:eastAsia="Arial" w:hAnsi="Arial"/>
          <w:sz w:val="18"/>
          <w:szCs w:val="18"/>
          <w:color w:val="38424B"/>
        </w:rPr>
        <w:t xml:space="preserve"> findings </w:t>
      </w:r>
      <w:r>
        <w:rPr>
          <w:rFonts w:ascii="Arial" w:cs="Arial" w:eastAsia="Arial" w:hAnsi="Arial"/>
          <w:sz w:val="18"/>
          <w:szCs w:val="18"/>
          <w:color w:val="28313B"/>
        </w:rPr>
        <w:t>and</w:t>
      </w:r>
      <w:r>
        <w:rPr>
          <w:rFonts w:ascii="Arial" w:cs="Arial" w:eastAsia="Arial" w:hAnsi="Arial"/>
          <w:sz w:val="18"/>
          <w:szCs w:val="18"/>
          <w:color w:val="38424B"/>
        </w:rPr>
        <w:t xml:space="preserve"> conclusions </w:t>
      </w:r>
      <w:r>
        <w:rPr>
          <w:rFonts w:ascii="Arial" w:cs="Arial" w:eastAsia="Arial" w:hAnsi="Arial"/>
          <w:sz w:val="18"/>
          <w:szCs w:val="18"/>
          <w:color w:val="28313B"/>
        </w:rPr>
        <w:t>and a statement of the award.</w:t>
      </w:r>
      <w:r>
        <w:rPr>
          <w:rFonts w:ascii="Arial" w:cs="Arial" w:eastAsia="Arial" w:hAnsi="Arial"/>
          <w:sz w:val="18"/>
          <w:szCs w:val="18"/>
          <w:color w:val="38424B"/>
        </w:rPr>
        <w:t xml:space="preserve"> The </w:t>
      </w:r>
      <w:r>
        <w:rPr>
          <w:rFonts w:ascii="Arial" w:cs="Arial" w:eastAsia="Arial" w:hAnsi="Arial"/>
          <w:sz w:val="18"/>
          <w:szCs w:val="18"/>
          <w:color w:val="28313B"/>
        </w:rPr>
        <w:t>arbitrator shall</w:t>
      </w:r>
      <w:r>
        <w:rPr>
          <w:rFonts w:ascii="Arial" w:cs="Arial" w:eastAsia="Arial" w:hAnsi="Arial"/>
          <w:sz w:val="18"/>
          <w:szCs w:val="18"/>
          <w:color w:val="38424B"/>
        </w:rPr>
        <w:t xml:space="preserve"> be authorized </w:t>
      </w:r>
      <w:r>
        <w:rPr>
          <w:rFonts w:ascii="Arial" w:cs="Arial" w:eastAsia="Arial" w:hAnsi="Arial"/>
          <w:sz w:val="18"/>
          <w:szCs w:val="18"/>
          <w:color w:val="28313B"/>
        </w:rPr>
        <w:t>to award any or all remedies</w:t>
      </w:r>
      <w:r>
        <w:rPr>
          <w:rFonts w:ascii="Arial" w:cs="Arial" w:eastAsia="Arial" w:hAnsi="Arial"/>
          <w:sz w:val="18"/>
          <w:szCs w:val="18"/>
          <w:color w:val="38424B"/>
        </w:rPr>
        <w:t xml:space="preserve"> </w:t>
      </w:r>
      <w:r>
        <w:rPr>
          <w:rFonts w:ascii="Arial" w:cs="Arial" w:eastAsia="Arial" w:hAnsi="Arial"/>
          <w:sz w:val="18"/>
          <w:szCs w:val="18"/>
          <w:color w:val="28313B"/>
        </w:rPr>
        <w:t xml:space="preserve">that you or the Company would be entitled </w:t>
      </w:r>
      <w:r>
        <w:rPr>
          <w:rFonts w:ascii="Arial" w:cs="Arial" w:eastAsia="Arial" w:hAnsi="Arial"/>
          <w:sz w:val="18"/>
          <w:szCs w:val="18"/>
          <w:color w:val="38424B"/>
        </w:rPr>
        <w:t>to</w:t>
      </w:r>
      <w:r>
        <w:rPr>
          <w:rFonts w:ascii="Arial" w:cs="Arial" w:eastAsia="Arial" w:hAnsi="Arial"/>
          <w:sz w:val="18"/>
          <w:szCs w:val="18"/>
          <w:color w:val="28313B"/>
        </w:rPr>
        <w:t xml:space="preserve"> seek </w:t>
      </w:r>
      <w:r>
        <w:rPr>
          <w:rFonts w:ascii="Arial" w:cs="Arial" w:eastAsia="Arial" w:hAnsi="Arial"/>
          <w:sz w:val="18"/>
          <w:szCs w:val="18"/>
          <w:color w:val="38424B"/>
        </w:rPr>
        <w:t>in a court</w:t>
      </w:r>
      <w:r>
        <w:rPr>
          <w:rFonts w:ascii="Arial" w:cs="Arial" w:eastAsia="Arial" w:hAnsi="Arial"/>
          <w:sz w:val="18"/>
          <w:szCs w:val="18"/>
          <w:color w:val="28313B"/>
        </w:rPr>
        <w:t xml:space="preserve"> of </w:t>
      </w:r>
      <w:r>
        <w:rPr>
          <w:rFonts w:ascii="Arial" w:cs="Arial" w:eastAsia="Arial" w:hAnsi="Arial"/>
          <w:sz w:val="18"/>
          <w:szCs w:val="18"/>
          <w:color w:val="38424B"/>
        </w:rPr>
        <w:t>law</w:t>
      </w:r>
      <w:r>
        <w:rPr>
          <w:rFonts w:ascii="Arial" w:cs="Arial" w:eastAsia="Arial" w:hAnsi="Arial"/>
          <w:sz w:val="18"/>
          <w:szCs w:val="18"/>
          <w:color w:val="697075"/>
        </w:rPr>
        <w:t>.</w:t>
      </w:r>
      <w:r>
        <w:rPr>
          <w:rFonts w:ascii="Arial" w:cs="Arial" w:eastAsia="Arial" w:hAnsi="Arial"/>
          <w:sz w:val="18"/>
          <w:szCs w:val="18"/>
          <w:color w:val="28313B"/>
        </w:rPr>
        <w:t xml:space="preserve"> Nothing </w:t>
      </w:r>
      <w:r>
        <w:rPr>
          <w:rFonts w:ascii="Arial" w:cs="Arial" w:eastAsia="Arial" w:hAnsi="Arial"/>
          <w:sz w:val="18"/>
          <w:szCs w:val="18"/>
          <w:color w:val="38424B"/>
        </w:rPr>
        <w:t>in</w:t>
      </w:r>
      <w:r>
        <w:rPr>
          <w:rFonts w:ascii="Arial" w:cs="Arial" w:eastAsia="Arial" w:hAnsi="Arial"/>
          <w:sz w:val="18"/>
          <w:szCs w:val="18"/>
          <w:color w:val="28313B"/>
        </w:rPr>
        <w:t xml:space="preserve"> this </w:t>
      </w:r>
      <w:r>
        <w:rPr>
          <w:rFonts w:ascii="Arial" w:cs="Arial" w:eastAsia="Arial" w:hAnsi="Arial"/>
          <w:sz w:val="18"/>
          <w:szCs w:val="18"/>
          <w:color w:val="38424B"/>
        </w:rPr>
        <w:t>paragraph is</w:t>
      </w:r>
      <w:r>
        <w:rPr>
          <w:rFonts w:ascii="Arial" w:cs="Arial" w:eastAsia="Arial" w:hAnsi="Arial"/>
          <w:sz w:val="18"/>
          <w:szCs w:val="18"/>
          <w:color w:val="28313B"/>
        </w:rPr>
        <w:t xml:space="preserve"> intended to prevent either you or the Company </w:t>
      </w:r>
      <w:r>
        <w:rPr>
          <w:rFonts w:ascii="Arial" w:cs="Arial" w:eastAsia="Arial" w:hAnsi="Arial"/>
          <w:sz w:val="18"/>
          <w:szCs w:val="18"/>
          <w:color w:val="4D5660"/>
        </w:rPr>
        <w:t>fro</w:t>
      </w:r>
      <w:r>
        <w:rPr>
          <w:rFonts w:ascii="Arial" w:cs="Arial" w:eastAsia="Arial" w:hAnsi="Arial"/>
          <w:sz w:val="18"/>
          <w:szCs w:val="18"/>
          <w:color w:val="28313B"/>
        </w:rPr>
        <w:t xml:space="preserve">m </w:t>
      </w:r>
      <w:r>
        <w:rPr>
          <w:rFonts w:ascii="Arial" w:cs="Arial" w:eastAsia="Arial" w:hAnsi="Arial"/>
          <w:sz w:val="18"/>
          <w:szCs w:val="18"/>
          <w:color w:val="38424B"/>
        </w:rPr>
        <w:t>obtaining injunctive</w:t>
      </w:r>
      <w:r>
        <w:rPr>
          <w:rFonts w:ascii="Arial" w:cs="Arial" w:eastAsia="Arial" w:hAnsi="Arial"/>
          <w:sz w:val="18"/>
          <w:szCs w:val="18"/>
          <w:color w:val="28313B"/>
        </w:rPr>
        <w:t xml:space="preserve"> relief </w:t>
      </w:r>
      <w:r>
        <w:rPr>
          <w:rFonts w:ascii="Arial" w:cs="Arial" w:eastAsia="Arial" w:hAnsi="Arial"/>
          <w:sz w:val="18"/>
          <w:szCs w:val="18"/>
          <w:color w:val="38424B"/>
        </w:rPr>
        <w:t>in court</w:t>
      </w:r>
      <w:r>
        <w:rPr>
          <w:rFonts w:ascii="Arial" w:cs="Arial" w:eastAsia="Arial" w:hAnsi="Arial"/>
          <w:sz w:val="18"/>
          <w:szCs w:val="18"/>
          <w:color w:val="28313B"/>
        </w:rPr>
        <w:t xml:space="preserve"> to prevent </w:t>
      </w:r>
      <w:r>
        <w:rPr>
          <w:rFonts w:ascii="Arial" w:cs="Arial" w:eastAsia="Arial" w:hAnsi="Arial"/>
          <w:sz w:val="18"/>
          <w:szCs w:val="18"/>
          <w:color w:val="38424B"/>
        </w:rPr>
        <w:t>irreparable</w:t>
      </w:r>
      <w:r>
        <w:rPr>
          <w:rFonts w:ascii="Arial" w:cs="Arial" w:eastAsia="Arial" w:hAnsi="Arial"/>
          <w:sz w:val="18"/>
          <w:szCs w:val="18"/>
          <w:color w:val="28313B"/>
        </w:rPr>
        <w:t xml:space="preserve"> harm pending the conclusion of any </w:t>
      </w:r>
      <w:r>
        <w:rPr>
          <w:rFonts w:ascii="Arial" w:cs="Arial" w:eastAsia="Arial" w:hAnsi="Arial"/>
          <w:sz w:val="18"/>
          <w:szCs w:val="18"/>
          <w:color w:val="38424B"/>
        </w:rPr>
        <w:t>such arbitration</w:t>
      </w:r>
      <w:r>
        <w:rPr>
          <w:rFonts w:ascii="Arial" w:cs="Arial" w:eastAsia="Arial" w:hAnsi="Arial"/>
          <w:sz w:val="18"/>
          <w:szCs w:val="18"/>
          <w:color w:val="697075"/>
        </w:rPr>
        <w:t>.</w:t>
      </w:r>
      <w:r>
        <w:rPr>
          <w:rFonts w:ascii="Arial" w:cs="Arial" w:eastAsia="Arial" w:hAnsi="Arial"/>
          <w:sz w:val="18"/>
          <w:szCs w:val="18"/>
          <w:color w:val="28313B"/>
        </w:rPr>
        <w:t xml:space="preserve"> Any </w:t>
      </w:r>
      <w:r>
        <w:rPr>
          <w:rFonts w:ascii="Arial" w:cs="Arial" w:eastAsia="Arial" w:hAnsi="Arial"/>
          <w:sz w:val="18"/>
          <w:szCs w:val="18"/>
          <w:color w:val="38424B"/>
        </w:rPr>
        <w:t>awards</w:t>
      </w:r>
      <w:r>
        <w:rPr>
          <w:rFonts w:ascii="Arial" w:cs="Arial" w:eastAsia="Arial" w:hAnsi="Arial"/>
          <w:sz w:val="18"/>
          <w:szCs w:val="18"/>
          <w:color w:val="28313B"/>
        </w:rPr>
        <w:t xml:space="preserve"> or orders </w:t>
      </w:r>
      <w:r>
        <w:rPr>
          <w:rFonts w:ascii="Arial" w:cs="Arial" w:eastAsia="Arial" w:hAnsi="Arial"/>
          <w:sz w:val="18"/>
          <w:szCs w:val="18"/>
          <w:color w:val="38424B"/>
        </w:rPr>
        <w:t>in</w:t>
      </w:r>
      <w:r>
        <w:rPr>
          <w:rFonts w:ascii="Arial" w:cs="Arial" w:eastAsia="Arial" w:hAnsi="Arial"/>
          <w:sz w:val="18"/>
          <w:szCs w:val="18"/>
          <w:color w:val="28313B"/>
        </w:rPr>
        <w:t xml:space="preserve"> such arbitrations may be entered and enforced as </w:t>
      </w:r>
      <w:r>
        <w:rPr>
          <w:rFonts w:ascii="Arial" w:cs="Arial" w:eastAsia="Arial" w:hAnsi="Arial"/>
          <w:sz w:val="18"/>
          <w:szCs w:val="18"/>
          <w:color w:val="38424B"/>
        </w:rPr>
        <w:t>judgments in the federal</w:t>
      </w:r>
      <w:r>
        <w:rPr>
          <w:rFonts w:ascii="Arial" w:cs="Arial" w:eastAsia="Arial" w:hAnsi="Arial"/>
          <w:sz w:val="18"/>
          <w:szCs w:val="18"/>
          <w:color w:val="28313B"/>
        </w:rPr>
        <w:t xml:space="preserve"> and state courts of any competent jurisdiction</w:t>
      </w:r>
      <w:r>
        <w:rPr>
          <w:rFonts w:ascii="Arial" w:cs="Arial" w:eastAsia="Arial" w:hAnsi="Arial"/>
          <w:sz w:val="18"/>
          <w:szCs w:val="18"/>
          <w:color w:val="4D5660"/>
        </w:rPr>
        <w:t>.</w:t>
      </w:r>
      <w:r>
        <w:rPr>
          <w:rFonts w:ascii="Arial" w:cs="Arial" w:eastAsia="Arial" w:hAnsi="Arial"/>
          <w:sz w:val="18"/>
          <w:szCs w:val="18"/>
          <w:color w:val="28313B"/>
        </w:rPr>
        <w:t xml:space="preserve"> The Company will be </w:t>
      </w:r>
      <w:r>
        <w:rPr>
          <w:rFonts w:ascii="Arial" w:cs="Arial" w:eastAsia="Arial" w:hAnsi="Arial"/>
          <w:sz w:val="18"/>
          <w:szCs w:val="18"/>
          <w:color w:val="38424B"/>
        </w:rPr>
        <w:t>responsible</w:t>
      </w:r>
      <w:r>
        <w:rPr>
          <w:rFonts w:ascii="Arial" w:cs="Arial" w:eastAsia="Arial" w:hAnsi="Arial"/>
          <w:sz w:val="18"/>
          <w:szCs w:val="18"/>
          <w:color w:val="28313B"/>
        </w:rPr>
        <w:t xml:space="preserve"> for </w:t>
      </w:r>
      <w:r>
        <w:rPr>
          <w:rFonts w:ascii="Arial" w:cs="Arial" w:eastAsia="Arial" w:hAnsi="Arial"/>
          <w:sz w:val="18"/>
          <w:szCs w:val="18"/>
          <w:color w:val="38424B"/>
        </w:rPr>
        <w:t>any costs of arbitration,</w:t>
      </w:r>
      <w:r>
        <w:rPr>
          <w:rFonts w:ascii="Arial" w:cs="Arial" w:eastAsia="Arial" w:hAnsi="Arial"/>
          <w:sz w:val="18"/>
          <w:szCs w:val="18"/>
          <w:color w:val="28313B"/>
        </w:rPr>
        <w:t xml:space="preserve"> and each party shall bear its own expenses</w:t>
      </w:r>
      <w:r>
        <w:rPr>
          <w:rFonts w:ascii="Arial" w:cs="Arial" w:eastAsia="Arial" w:hAnsi="Arial"/>
          <w:sz w:val="18"/>
          <w:szCs w:val="18"/>
          <w:color w:val="4D5660"/>
        </w:rPr>
        <w:t>.</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38424B"/>
        </w:rPr>
        <w:t xml:space="preserve">The </w:t>
      </w:r>
      <w:r>
        <w:rPr>
          <w:rFonts w:ascii="Arial" w:cs="Arial" w:eastAsia="Arial" w:hAnsi="Arial"/>
          <w:sz w:val="18"/>
          <w:szCs w:val="18"/>
          <w:color w:val="28313B"/>
        </w:rPr>
        <w:t>employment</w:t>
      </w:r>
      <w:r>
        <w:rPr>
          <w:rFonts w:ascii="Arial" w:cs="Arial" w:eastAsia="Arial" w:hAnsi="Arial"/>
          <w:sz w:val="18"/>
          <w:szCs w:val="18"/>
          <w:color w:val="38424B"/>
        </w:rPr>
        <w:t xml:space="preserve"> terms in </w:t>
      </w:r>
      <w:r>
        <w:rPr>
          <w:rFonts w:ascii="Arial" w:cs="Arial" w:eastAsia="Arial" w:hAnsi="Arial"/>
          <w:sz w:val="18"/>
          <w:szCs w:val="18"/>
          <w:color w:val="28313B"/>
        </w:rPr>
        <w:t>this letter</w:t>
      </w:r>
      <w:r>
        <w:rPr>
          <w:rFonts w:ascii="Arial" w:cs="Arial" w:eastAsia="Arial" w:hAnsi="Arial"/>
          <w:sz w:val="18"/>
          <w:szCs w:val="18"/>
          <w:color w:val="38424B"/>
        </w:rPr>
        <w:t xml:space="preserve"> supersede </w:t>
      </w:r>
      <w:r>
        <w:rPr>
          <w:rFonts w:ascii="Arial" w:cs="Arial" w:eastAsia="Arial" w:hAnsi="Arial"/>
          <w:sz w:val="18"/>
          <w:szCs w:val="18"/>
          <w:color w:val="28313B"/>
        </w:rPr>
        <w:t>any other agreements or promises</w:t>
      </w:r>
      <w:r>
        <w:rPr>
          <w:rFonts w:ascii="Arial" w:cs="Arial" w:eastAsia="Arial" w:hAnsi="Arial"/>
          <w:sz w:val="18"/>
          <w:szCs w:val="18"/>
          <w:color w:val="38424B"/>
        </w:rPr>
        <w:t xml:space="preserve"> made to you by </w:t>
      </w:r>
      <w:r>
        <w:rPr>
          <w:rFonts w:ascii="Arial" w:cs="Arial" w:eastAsia="Arial" w:hAnsi="Arial"/>
          <w:sz w:val="18"/>
          <w:szCs w:val="18"/>
          <w:color w:val="242F38"/>
        </w:rPr>
        <w:t>anyone, whether oral or written. As</w:t>
      </w:r>
      <w:r>
        <w:rPr>
          <w:rFonts w:ascii="Arial" w:cs="Arial" w:eastAsia="Arial" w:hAnsi="Arial"/>
          <w:sz w:val="18"/>
          <w:szCs w:val="18"/>
          <w:color w:val="38424B"/>
        </w:rPr>
        <w:t xml:space="preserve"> </w:t>
      </w:r>
      <w:r>
        <w:rPr>
          <w:rFonts w:ascii="Arial" w:cs="Arial" w:eastAsia="Arial" w:hAnsi="Arial"/>
          <w:sz w:val="18"/>
          <w:szCs w:val="18"/>
          <w:color w:val="242F38"/>
        </w:rPr>
        <w:t xml:space="preserve">required by law, this offer </w:t>
      </w:r>
      <w:r>
        <w:rPr>
          <w:rFonts w:ascii="Arial" w:cs="Arial" w:eastAsia="Arial" w:hAnsi="Arial"/>
          <w:sz w:val="18"/>
          <w:szCs w:val="18"/>
          <w:color w:val="363F49"/>
        </w:rPr>
        <w:t>is</w:t>
      </w:r>
      <w:r>
        <w:rPr>
          <w:rFonts w:ascii="Arial" w:cs="Arial" w:eastAsia="Arial" w:hAnsi="Arial"/>
          <w:sz w:val="18"/>
          <w:szCs w:val="18"/>
          <w:color w:val="242F38"/>
        </w:rPr>
        <w:t xml:space="preserve"> subject to satisfactory proof of your right to work </w:t>
      </w:r>
      <w:r>
        <w:rPr>
          <w:rFonts w:ascii="Arial" w:cs="Arial" w:eastAsia="Arial" w:hAnsi="Arial"/>
          <w:sz w:val="18"/>
          <w:szCs w:val="18"/>
          <w:color w:val="363F49"/>
        </w:rPr>
        <w:t>in</w:t>
      </w:r>
      <w:r>
        <w:rPr>
          <w:rFonts w:ascii="Arial" w:cs="Arial" w:eastAsia="Arial" w:hAnsi="Arial"/>
          <w:sz w:val="18"/>
          <w:szCs w:val="18"/>
          <w:color w:val="242F38"/>
        </w:rPr>
        <w:t xml:space="preserve"> the United States.</w:t>
      </w:r>
    </w:p>
    <w:p>
      <w:pPr>
        <w:spacing w:after="0" w:line="16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242F38"/>
        </w:rPr>
        <w:t xml:space="preserve">If you agree with all the terms and condition set forth </w:t>
      </w:r>
      <w:r>
        <w:rPr>
          <w:rFonts w:ascii="Arial" w:cs="Arial" w:eastAsia="Arial" w:hAnsi="Arial"/>
          <w:sz w:val="18"/>
          <w:szCs w:val="18"/>
          <w:color w:val="363F49"/>
        </w:rPr>
        <w:t>in</w:t>
      </w:r>
      <w:r>
        <w:rPr>
          <w:rFonts w:ascii="Arial" w:cs="Arial" w:eastAsia="Arial" w:hAnsi="Arial"/>
          <w:sz w:val="18"/>
          <w:szCs w:val="18"/>
          <w:color w:val="242F38"/>
        </w:rPr>
        <w:t xml:space="preserve"> this </w:t>
      </w:r>
      <w:r>
        <w:rPr>
          <w:rFonts w:ascii="Arial" w:cs="Arial" w:eastAsia="Arial" w:hAnsi="Arial"/>
          <w:sz w:val="18"/>
          <w:szCs w:val="18"/>
          <w:color w:val="363F49"/>
        </w:rPr>
        <w:t>letter,</w:t>
      </w:r>
      <w:r>
        <w:rPr>
          <w:rFonts w:ascii="Arial" w:cs="Arial" w:eastAsia="Arial" w:hAnsi="Arial"/>
          <w:sz w:val="18"/>
          <w:szCs w:val="18"/>
          <w:color w:val="242F38"/>
        </w:rPr>
        <w:t xml:space="preserve"> please sign and </w:t>
      </w:r>
      <w:r>
        <w:rPr>
          <w:rFonts w:ascii="Arial" w:cs="Arial" w:eastAsia="Arial" w:hAnsi="Arial"/>
          <w:sz w:val="18"/>
          <w:szCs w:val="18"/>
          <w:color w:val="363F49"/>
        </w:rPr>
        <w:t>date this</w:t>
      </w:r>
      <w:r>
        <w:rPr>
          <w:rFonts w:ascii="Arial" w:cs="Arial" w:eastAsia="Arial" w:hAnsi="Arial"/>
          <w:sz w:val="18"/>
          <w:szCs w:val="18"/>
          <w:color w:val="242F38"/>
        </w:rPr>
        <w:t xml:space="preserve"> offer</w:t>
      </w:r>
      <w:r>
        <w:rPr>
          <w:rFonts w:ascii="Arial" w:cs="Arial" w:eastAsia="Arial" w:hAnsi="Arial"/>
          <w:sz w:val="18"/>
          <w:szCs w:val="18"/>
          <w:color w:val="385469"/>
        </w:rPr>
        <w:t>.</w:t>
      </w:r>
      <w:r>
        <w:rPr>
          <w:rFonts w:ascii="Arial" w:cs="Arial" w:eastAsia="Arial" w:hAnsi="Arial"/>
          <w:sz w:val="18"/>
          <w:szCs w:val="18"/>
          <w:color w:val="242F38"/>
        </w:rPr>
        <w:t xml:space="preserve"> We look forward to a productive and enjoyable working </w:t>
      </w:r>
      <w:r>
        <w:rPr>
          <w:rFonts w:ascii="Arial" w:cs="Arial" w:eastAsia="Arial" w:hAnsi="Arial"/>
          <w:sz w:val="18"/>
          <w:szCs w:val="18"/>
          <w:color w:val="363F49"/>
        </w:rPr>
        <w:t>relationship</w:t>
      </w:r>
      <w:r>
        <w:rPr>
          <w:rFonts w:ascii="Arial" w:cs="Arial" w:eastAsia="Arial" w:hAnsi="Arial"/>
          <w:sz w:val="18"/>
          <w:szCs w:val="18"/>
          <w:color w:val="5E6470"/>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242F38"/>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42F38"/>
        </w:rPr>
        <w:t>/s/ Wenbin Jiang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42F38"/>
        </w:rPr>
        <w:t>Wenbin Jiang, Ph</w:t>
      </w:r>
      <w:r>
        <w:rPr>
          <w:rFonts w:ascii="Arial" w:cs="Arial" w:eastAsia="Arial" w:hAnsi="Arial"/>
          <w:sz w:val="18"/>
          <w:szCs w:val="18"/>
          <w:color w:val="5E6470"/>
        </w:rPr>
        <w:t>.</w:t>
      </w:r>
      <w:r>
        <w:rPr>
          <w:rFonts w:ascii="Arial" w:cs="Arial" w:eastAsia="Arial" w:hAnsi="Arial"/>
          <w:sz w:val="18"/>
          <w:szCs w:val="18"/>
          <w:color w:val="242F38"/>
        </w:rPr>
        <w:t>D</w:t>
      </w:r>
      <w:r>
        <w:rPr>
          <w:rFonts w:ascii="Arial" w:cs="Arial" w:eastAsia="Arial" w:hAnsi="Arial"/>
          <w:sz w:val="18"/>
          <w:szCs w:val="18"/>
          <w:color w:val="525657"/>
        </w:rPr>
        <w:t>.</w:t>
      </w:r>
      <w:r>
        <w:rPr>
          <w:rFonts w:ascii="Arial" w:cs="Arial" w:eastAsia="Arial" w:hAnsi="Arial"/>
          <w:sz w:val="18"/>
          <w:szCs w:val="18"/>
          <w:color w:val="242F38"/>
        </w:rPr>
        <w:t xml:space="preserve"> Chief Executive Officer Cytek Biosciences, </w:t>
      </w:r>
      <w:r>
        <w:rPr>
          <w:rFonts w:ascii="Arial" w:cs="Arial" w:eastAsia="Arial" w:hAnsi="Arial"/>
          <w:sz w:val="18"/>
          <w:szCs w:val="18"/>
          <w:color w:val="363F49"/>
        </w:rPr>
        <w:t>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242F38"/>
        </w:rPr>
        <w:t>Accepted: Date</w:t>
      </w:r>
      <w:r>
        <w:rPr>
          <w:rFonts w:ascii="Arial" w:cs="Arial" w:eastAsia="Arial" w:hAnsi="Arial"/>
          <w:sz w:val="18"/>
          <w:szCs w:val="18"/>
          <w:color w:val="5E6470"/>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00" w:type="dxa"/>
            <w:vAlign w:val="bottom"/>
          </w:tcPr>
          <w:p>
            <w:pPr>
              <w:spacing w:after="0"/>
              <w:rPr>
                <w:sz w:val="20"/>
                <w:szCs w:val="20"/>
                <w:color w:val="auto"/>
              </w:rPr>
            </w:pPr>
            <w:r>
              <w:rPr>
                <w:rFonts w:ascii="Arial" w:cs="Arial" w:eastAsia="Arial" w:hAnsi="Arial"/>
                <w:sz w:val="18"/>
                <w:szCs w:val="18"/>
                <w:color w:val="auto"/>
              </w:rPr>
              <w:t>/s/ Philippe Busque</w:t>
            </w:r>
          </w:p>
        </w:tc>
        <w:tc>
          <w:tcPr>
            <w:tcW w:w="1440" w:type="dxa"/>
            <w:vAlign w:val="bottom"/>
          </w:tcPr>
          <w:p>
            <w:pPr>
              <w:jc w:val="right"/>
              <w:spacing w:after="0"/>
              <w:rPr>
                <w:sz w:val="20"/>
                <w:szCs w:val="20"/>
                <w:color w:val="auto"/>
              </w:rPr>
            </w:pPr>
            <w:r>
              <w:rPr>
                <w:rFonts w:ascii="Arial" w:cs="Arial" w:eastAsia="Arial" w:hAnsi="Arial"/>
                <w:sz w:val="18"/>
                <w:szCs w:val="18"/>
                <w:color w:val="auto"/>
              </w:rPr>
              <w:t>11/29/2022</w:t>
            </w:r>
          </w:p>
        </w:tc>
      </w:tr>
    </w:tbl>
    <w:p>
      <w:pPr>
        <w:spacing w:after="0" w:line="200" w:lineRule="exact"/>
        <w:rPr>
          <w:sz w:val="20"/>
          <w:szCs w:val="20"/>
          <w:color w:val="auto"/>
        </w:rPr>
      </w:pPr>
    </w:p>
    <w:p>
      <w:pPr>
        <w:spacing w:after="0" w:line="263" w:lineRule="exact"/>
        <w:rPr>
          <w:sz w:val="20"/>
          <w:szCs w:val="20"/>
          <w:color w:val="auto"/>
        </w:rPr>
      </w:pPr>
    </w:p>
    <w:p>
      <w:pPr>
        <w:ind w:right="440" w:firstLine="8"/>
        <w:spacing w:after="0" w:line="303" w:lineRule="auto"/>
        <w:tabs>
          <w:tab w:leader="none" w:pos="250" w:val="left"/>
        </w:tabs>
        <w:numPr>
          <w:ilvl w:val="0"/>
          <w:numId w:val="36"/>
        </w:numPr>
        <w:rPr>
          <w:rFonts w:ascii="Arial" w:cs="Arial" w:eastAsia="Arial" w:hAnsi="Arial"/>
          <w:sz w:val="18"/>
          <w:szCs w:val="18"/>
          <w:color w:val="0000FF"/>
        </w:rPr>
      </w:pPr>
      <w:r>
        <w:rPr>
          <w:rFonts w:ascii="Arial" w:cs="Arial" w:eastAsia="Arial" w:hAnsi="Arial"/>
          <w:sz w:val="18"/>
          <w:szCs w:val="18"/>
          <w:color w:val="3B444B"/>
        </w:rPr>
        <w:t xml:space="preserve">The </w:t>
      </w:r>
      <w:r>
        <w:rPr>
          <w:rFonts w:ascii="Arial" w:cs="Arial" w:eastAsia="Arial" w:hAnsi="Arial"/>
          <w:sz w:val="18"/>
          <w:szCs w:val="18"/>
          <w:color w:val="4F565D"/>
        </w:rPr>
        <w:t>sta</w:t>
      </w:r>
      <w:r>
        <w:rPr>
          <w:rFonts w:ascii="Arial" w:cs="Arial" w:eastAsia="Arial" w:hAnsi="Arial"/>
          <w:sz w:val="18"/>
          <w:szCs w:val="18"/>
          <w:color w:val="2A313A"/>
        </w:rPr>
        <w:t>ndard</w:t>
      </w:r>
      <w:r>
        <w:rPr>
          <w:rFonts w:ascii="Arial" w:cs="Arial" w:eastAsia="Arial" w:hAnsi="Arial"/>
          <w:sz w:val="18"/>
          <w:szCs w:val="18"/>
          <w:color w:val="3B444B"/>
        </w:rPr>
        <w:t xml:space="preserve"> </w:t>
      </w:r>
      <w:r>
        <w:rPr>
          <w:rFonts w:ascii="Arial" w:cs="Arial" w:eastAsia="Arial" w:hAnsi="Arial"/>
          <w:sz w:val="18"/>
          <w:szCs w:val="18"/>
          <w:color w:val="4F565D"/>
        </w:rPr>
        <w:t>company</w:t>
      </w:r>
      <w:r>
        <w:rPr>
          <w:rFonts w:ascii="Arial" w:cs="Arial" w:eastAsia="Arial" w:hAnsi="Arial"/>
          <w:sz w:val="18"/>
          <w:szCs w:val="18"/>
          <w:color w:val="3B444B"/>
        </w:rPr>
        <w:t xml:space="preserve"> ben</w:t>
      </w:r>
      <w:r>
        <w:rPr>
          <w:rFonts w:ascii="Arial" w:cs="Arial" w:eastAsia="Arial" w:hAnsi="Arial"/>
          <w:sz w:val="18"/>
          <w:szCs w:val="18"/>
          <w:color w:val="606767"/>
        </w:rPr>
        <w:t>e</w:t>
      </w:r>
      <w:r>
        <w:rPr>
          <w:rFonts w:ascii="Arial" w:cs="Arial" w:eastAsia="Arial" w:hAnsi="Arial"/>
          <w:sz w:val="18"/>
          <w:szCs w:val="18"/>
          <w:color w:val="3B444B"/>
        </w:rPr>
        <w:t>fits are for U.S</w:t>
      </w:r>
      <w:r>
        <w:rPr>
          <w:rFonts w:ascii="Arial" w:cs="Arial" w:eastAsia="Arial" w:hAnsi="Arial"/>
          <w:sz w:val="18"/>
          <w:szCs w:val="18"/>
          <w:color w:val="606767"/>
        </w:rPr>
        <w:t>.</w:t>
      </w:r>
      <w:r>
        <w:rPr>
          <w:rFonts w:ascii="Arial" w:cs="Arial" w:eastAsia="Arial" w:hAnsi="Arial"/>
          <w:sz w:val="18"/>
          <w:szCs w:val="18"/>
          <w:color w:val="3B444B"/>
        </w:rPr>
        <w:t xml:space="preserve"> </w:t>
      </w:r>
      <w:r>
        <w:rPr>
          <w:rFonts w:ascii="Arial" w:cs="Arial" w:eastAsia="Arial" w:hAnsi="Arial"/>
          <w:sz w:val="18"/>
          <w:szCs w:val="18"/>
          <w:color w:val="2A313A"/>
        </w:rPr>
        <w:t>employee</w:t>
      </w:r>
      <w:r>
        <w:rPr>
          <w:rFonts w:ascii="Arial" w:cs="Arial" w:eastAsia="Arial" w:hAnsi="Arial"/>
          <w:sz w:val="18"/>
          <w:szCs w:val="18"/>
          <w:color w:val="4F565D"/>
        </w:rPr>
        <w:t>s</w:t>
      </w:r>
      <w:r>
        <w:rPr>
          <w:rFonts w:ascii="Arial" w:cs="Arial" w:eastAsia="Arial" w:hAnsi="Arial"/>
          <w:sz w:val="18"/>
          <w:szCs w:val="18"/>
          <w:color w:val="778080"/>
        </w:rPr>
        <w:t>.</w:t>
      </w:r>
      <w:r>
        <w:rPr>
          <w:rFonts w:ascii="Arial" w:cs="Arial" w:eastAsia="Arial" w:hAnsi="Arial"/>
          <w:sz w:val="18"/>
          <w:szCs w:val="18"/>
          <w:color w:val="3B444B"/>
        </w:rPr>
        <w:t xml:space="preserve"> </w:t>
      </w:r>
      <w:r>
        <w:rPr>
          <w:rFonts w:ascii="Arial" w:cs="Arial" w:eastAsia="Arial" w:hAnsi="Arial"/>
          <w:sz w:val="18"/>
          <w:szCs w:val="18"/>
          <w:color w:val="2A313A"/>
        </w:rPr>
        <w:t>In the</w:t>
      </w:r>
      <w:r>
        <w:rPr>
          <w:rFonts w:ascii="Arial" w:cs="Arial" w:eastAsia="Arial" w:hAnsi="Arial"/>
          <w:sz w:val="18"/>
          <w:szCs w:val="18"/>
          <w:color w:val="3B444B"/>
        </w:rPr>
        <w:t xml:space="preserve"> event your </w:t>
      </w:r>
      <w:r>
        <w:rPr>
          <w:rFonts w:ascii="Arial" w:cs="Arial" w:eastAsia="Arial" w:hAnsi="Arial"/>
          <w:sz w:val="18"/>
          <w:szCs w:val="18"/>
          <w:color w:val="4F565D"/>
        </w:rPr>
        <w:t>e</w:t>
      </w:r>
      <w:r>
        <w:rPr>
          <w:rFonts w:ascii="Arial" w:cs="Arial" w:eastAsia="Arial" w:hAnsi="Arial"/>
          <w:sz w:val="18"/>
          <w:szCs w:val="18"/>
          <w:color w:val="2A313A"/>
        </w:rPr>
        <w:t>mployment</w:t>
      </w:r>
      <w:r>
        <w:rPr>
          <w:rFonts w:ascii="Arial" w:cs="Arial" w:eastAsia="Arial" w:hAnsi="Arial"/>
          <w:sz w:val="18"/>
          <w:szCs w:val="18"/>
          <w:color w:val="3B444B"/>
        </w:rPr>
        <w:t xml:space="preserve"> transitions to another </w:t>
      </w:r>
      <w:r>
        <w:rPr>
          <w:rFonts w:ascii="Arial" w:cs="Arial" w:eastAsia="Arial" w:hAnsi="Arial"/>
          <w:sz w:val="18"/>
          <w:szCs w:val="18"/>
          <w:color w:val="606767"/>
        </w:rPr>
        <w:t>C</w:t>
      </w:r>
      <w:r>
        <w:rPr>
          <w:rFonts w:ascii="Arial" w:cs="Arial" w:eastAsia="Arial" w:hAnsi="Arial"/>
          <w:sz w:val="18"/>
          <w:szCs w:val="18"/>
          <w:color w:val="3B444B"/>
        </w:rPr>
        <w:t xml:space="preserve">ytek </w:t>
      </w:r>
      <w:r>
        <w:rPr>
          <w:rFonts w:ascii="Arial" w:cs="Arial" w:eastAsia="Arial" w:hAnsi="Arial"/>
          <w:sz w:val="18"/>
          <w:szCs w:val="18"/>
          <w:color w:val="4F565D"/>
        </w:rPr>
        <w:t>enti</w:t>
      </w:r>
      <w:r>
        <w:rPr>
          <w:rFonts w:ascii="Arial" w:cs="Arial" w:eastAsia="Arial" w:hAnsi="Arial"/>
          <w:sz w:val="18"/>
          <w:szCs w:val="18"/>
          <w:color w:val="2A313A"/>
        </w:rPr>
        <w:t>ty</w:t>
      </w:r>
      <w:r>
        <w:rPr>
          <w:rFonts w:ascii="Arial" w:cs="Arial" w:eastAsia="Arial" w:hAnsi="Arial"/>
          <w:sz w:val="18"/>
          <w:szCs w:val="18"/>
          <w:color w:val="4F565D"/>
        </w:rPr>
        <w:t>, you</w:t>
      </w:r>
      <w:r>
        <w:rPr>
          <w:rFonts w:ascii="Arial" w:cs="Arial" w:eastAsia="Arial" w:hAnsi="Arial"/>
          <w:sz w:val="18"/>
          <w:szCs w:val="18"/>
          <w:color w:val="3B444B"/>
        </w:rPr>
        <w:t xml:space="preserve"> will be </w:t>
      </w:r>
      <w:r>
        <w:rPr>
          <w:rFonts w:ascii="Arial" w:cs="Arial" w:eastAsia="Arial" w:hAnsi="Arial"/>
          <w:sz w:val="18"/>
          <w:szCs w:val="18"/>
          <w:color w:val="4F565D"/>
        </w:rPr>
        <w:t>eligi</w:t>
      </w:r>
      <w:r>
        <w:rPr>
          <w:rFonts w:ascii="Arial" w:cs="Arial" w:eastAsia="Arial" w:hAnsi="Arial"/>
          <w:sz w:val="18"/>
          <w:szCs w:val="18"/>
          <w:color w:val="2A313A"/>
        </w:rPr>
        <w:t>bl</w:t>
      </w:r>
      <w:r>
        <w:rPr>
          <w:rFonts w:ascii="Arial" w:cs="Arial" w:eastAsia="Arial" w:hAnsi="Arial"/>
          <w:sz w:val="18"/>
          <w:szCs w:val="18"/>
          <w:color w:val="4F565D"/>
        </w:rPr>
        <w:t xml:space="preserve">e </w:t>
      </w:r>
      <w:r>
        <w:rPr>
          <w:rFonts w:ascii="Arial" w:cs="Arial" w:eastAsia="Arial" w:hAnsi="Arial"/>
          <w:sz w:val="18"/>
          <w:szCs w:val="18"/>
          <w:color w:val="3B444B"/>
        </w:rPr>
        <w:t>for local</w:t>
      </w:r>
      <w:r>
        <w:rPr>
          <w:rFonts w:ascii="Arial" w:cs="Arial" w:eastAsia="Arial" w:hAnsi="Arial"/>
          <w:sz w:val="18"/>
          <w:szCs w:val="18"/>
          <w:color w:val="4F565D"/>
        </w:rPr>
        <w:t xml:space="preserve"> standard </w:t>
      </w:r>
      <w:r>
        <w:rPr>
          <w:rFonts w:ascii="Arial" w:cs="Arial" w:eastAsia="Arial" w:hAnsi="Arial"/>
          <w:sz w:val="18"/>
          <w:szCs w:val="18"/>
          <w:color w:val="2A313A"/>
        </w:rPr>
        <w:t>benefit</w:t>
      </w:r>
      <w:r>
        <w:rPr>
          <w:rFonts w:ascii="Arial" w:cs="Arial" w:eastAsia="Arial" w:hAnsi="Arial"/>
          <w:sz w:val="18"/>
          <w:szCs w:val="18"/>
          <w:color w:val="4F565D"/>
        </w:rPr>
        <w:t>s.</w:t>
      </w:r>
    </w:p>
    <w:p>
      <w:pPr>
        <w:spacing w:after="0" w:line="152" w:lineRule="exact"/>
        <w:rPr>
          <w:rFonts w:ascii="Arial" w:cs="Arial" w:eastAsia="Arial" w:hAnsi="Arial"/>
          <w:sz w:val="18"/>
          <w:szCs w:val="18"/>
          <w:color w:val="0000FF"/>
        </w:rPr>
      </w:pPr>
    </w:p>
    <w:p>
      <w:pPr>
        <w:ind w:left="260" w:hanging="252"/>
        <w:spacing w:after="0"/>
        <w:tabs>
          <w:tab w:leader="none" w:pos="260" w:val="left"/>
        </w:tabs>
        <w:numPr>
          <w:ilvl w:val="0"/>
          <w:numId w:val="36"/>
        </w:numPr>
        <w:rPr>
          <w:rFonts w:ascii="Arial" w:cs="Arial" w:eastAsia="Arial" w:hAnsi="Arial"/>
          <w:sz w:val="18"/>
          <w:szCs w:val="18"/>
          <w:color w:val="0000FF"/>
        </w:rPr>
      </w:pPr>
      <w:r>
        <w:rPr>
          <w:rFonts w:ascii="Arial" w:cs="Arial" w:eastAsia="Arial" w:hAnsi="Arial"/>
          <w:sz w:val="18"/>
          <w:szCs w:val="18"/>
          <w:color w:val="495059"/>
        </w:rPr>
        <w:t xml:space="preserve">You </w:t>
      </w:r>
      <w:r>
        <w:rPr>
          <w:rFonts w:ascii="Arial" w:cs="Arial" w:eastAsia="Arial" w:hAnsi="Arial"/>
          <w:sz w:val="18"/>
          <w:szCs w:val="18"/>
          <w:color w:val="343D46"/>
        </w:rPr>
        <w:t>will be</w:t>
      </w:r>
      <w:r>
        <w:rPr>
          <w:rFonts w:ascii="Arial" w:cs="Arial" w:eastAsia="Arial" w:hAnsi="Arial"/>
          <w:sz w:val="18"/>
          <w:szCs w:val="18"/>
          <w:color w:val="495059"/>
        </w:rPr>
        <w:t xml:space="preserve"> elig</w:t>
      </w:r>
      <w:r>
        <w:rPr>
          <w:rFonts w:ascii="Arial" w:cs="Arial" w:eastAsia="Arial" w:hAnsi="Arial"/>
          <w:sz w:val="18"/>
          <w:szCs w:val="18"/>
          <w:color w:val="242D36"/>
        </w:rPr>
        <w:t>ibl</w:t>
      </w:r>
      <w:r>
        <w:rPr>
          <w:rFonts w:ascii="Arial" w:cs="Arial" w:eastAsia="Arial" w:hAnsi="Arial"/>
          <w:sz w:val="18"/>
          <w:szCs w:val="18"/>
          <w:color w:val="495059"/>
        </w:rPr>
        <w:t xml:space="preserve">e </w:t>
      </w:r>
      <w:r>
        <w:rPr>
          <w:rFonts w:ascii="Arial" w:cs="Arial" w:eastAsia="Arial" w:hAnsi="Arial"/>
          <w:sz w:val="18"/>
          <w:szCs w:val="18"/>
          <w:color w:val="343D46"/>
        </w:rPr>
        <w:t>to part</w:t>
      </w:r>
      <w:r>
        <w:rPr>
          <w:rFonts w:ascii="Arial" w:cs="Arial" w:eastAsia="Arial" w:hAnsi="Arial"/>
          <w:sz w:val="18"/>
          <w:szCs w:val="18"/>
          <w:color w:val="5B666B"/>
        </w:rPr>
        <w:t>ici</w:t>
      </w:r>
      <w:r>
        <w:rPr>
          <w:rFonts w:ascii="Arial" w:cs="Arial" w:eastAsia="Arial" w:hAnsi="Arial"/>
          <w:sz w:val="18"/>
          <w:szCs w:val="18"/>
          <w:color w:val="242D36"/>
        </w:rPr>
        <w:t>pate</w:t>
      </w:r>
      <w:r>
        <w:rPr>
          <w:rFonts w:ascii="Arial" w:cs="Arial" w:eastAsia="Arial" w:hAnsi="Arial"/>
          <w:sz w:val="18"/>
          <w:szCs w:val="18"/>
          <w:color w:val="495059"/>
        </w:rPr>
        <w:t xml:space="preserve"> </w:t>
      </w:r>
      <w:r>
        <w:rPr>
          <w:rFonts w:ascii="Arial" w:cs="Arial" w:eastAsia="Arial" w:hAnsi="Arial"/>
          <w:sz w:val="18"/>
          <w:szCs w:val="18"/>
          <w:color w:val="5B666B"/>
        </w:rPr>
        <w:t>i</w:t>
      </w:r>
      <w:r>
        <w:rPr>
          <w:rFonts w:ascii="Arial" w:cs="Arial" w:eastAsia="Arial" w:hAnsi="Arial"/>
          <w:sz w:val="18"/>
          <w:szCs w:val="18"/>
          <w:color w:val="343D46"/>
        </w:rPr>
        <w:t>n the ESPP Program</w:t>
      </w:r>
      <w:r>
        <w:rPr>
          <w:rFonts w:ascii="Arial" w:cs="Arial" w:eastAsia="Arial" w:hAnsi="Arial"/>
          <w:sz w:val="18"/>
          <w:szCs w:val="18"/>
          <w:color w:val="495059"/>
        </w:rPr>
        <w:t xml:space="preserve"> so </w:t>
      </w:r>
      <w:r>
        <w:rPr>
          <w:rFonts w:ascii="Arial" w:cs="Arial" w:eastAsia="Arial" w:hAnsi="Arial"/>
          <w:sz w:val="18"/>
          <w:szCs w:val="18"/>
          <w:color w:val="242D36"/>
        </w:rPr>
        <w:t>lon</w:t>
      </w:r>
      <w:r>
        <w:rPr>
          <w:rFonts w:ascii="Arial" w:cs="Arial" w:eastAsia="Arial" w:hAnsi="Arial"/>
          <w:sz w:val="18"/>
          <w:szCs w:val="18"/>
          <w:color w:val="495059"/>
        </w:rPr>
        <w:t xml:space="preserve">g as </w:t>
      </w:r>
      <w:r>
        <w:rPr>
          <w:rFonts w:ascii="Arial" w:cs="Arial" w:eastAsia="Arial" w:hAnsi="Arial"/>
          <w:sz w:val="18"/>
          <w:szCs w:val="18"/>
          <w:color w:val="343D46"/>
        </w:rPr>
        <w:t>you</w:t>
      </w:r>
      <w:r>
        <w:rPr>
          <w:rFonts w:ascii="Arial" w:cs="Arial" w:eastAsia="Arial" w:hAnsi="Arial"/>
          <w:sz w:val="18"/>
          <w:szCs w:val="18"/>
          <w:color w:val="495059"/>
        </w:rPr>
        <w:t xml:space="preserve"> are a </w:t>
      </w:r>
      <w:r>
        <w:rPr>
          <w:rFonts w:ascii="Arial" w:cs="Arial" w:eastAsia="Arial" w:hAnsi="Arial"/>
          <w:sz w:val="18"/>
          <w:szCs w:val="18"/>
          <w:color w:val="343D46"/>
        </w:rPr>
        <w:t>U.S.</w:t>
      </w:r>
      <w:r>
        <w:rPr>
          <w:rFonts w:ascii="Arial" w:cs="Arial" w:eastAsia="Arial" w:hAnsi="Arial"/>
          <w:sz w:val="18"/>
          <w:szCs w:val="18"/>
          <w:color w:val="495059"/>
        </w:rPr>
        <w:t xml:space="preserve"> employee</w:t>
      </w:r>
      <w:r>
        <w:rPr>
          <w:rFonts w:ascii="Arial" w:cs="Arial" w:eastAsia="Arial" w:hAnsi="Arial"/>
          <w:sz w:val="18"/>
          <w:szCs w:val="18"/>
          <w:color w:val="8C8E8C"/>
        </w:rPr>
        <w:t>.</w:t>
      </w:r>
    </w:p>
    <w:p>
      <w:pPr>
        <w:sectPr>
          <w:pgSz w:w="11900" w:h="16838" w:orient="portrait"/>
          <w:cols w:equalWidth="0" w:num="1">
            <w:col w:w="11240"/>
          </w:cols>
          <w:pgMar w:left="320" w:top="141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Wenbin Jiang, Ph.D., certify that:</w:t>
      </w:r>
    </w:p>
    <w:p>
      <w:pPr>
        <w:spacing w:after="0" w:line="252"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spacing w:after="0" w:line="27" w:lineRule="exact"/>
        <w:rPr>
          <w:rFonts w:ascii="Times New Roman" w:cs="Times New Roman" w:eastAsia="Times New Roman" w:hAnsi="Times New Roman"/>
          <w:sz w:val="18"/>
          <w:szCs w:val="18"/>
          <w:color w:val="auto"/>
        </w:rPr>
      </w:pPr>
    </w:p>
    <w:p>
      <w:pPr>
        <w:ind w:left="260" w:right="20" w:hanging="252"/>
        <w:spacing w:after="0" w:line="265" w:lineRule="auto"/>
        <w:tabs>
          <w:tab w:leader="none" w:pos="2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480" w:hanging="252"/>
        <w:spacing w:after="0" w:line="250"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00" w:hanging="252"/>
        <w:spacing w:after="0" w:line="255"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77" w:lineRule="exact"/>
        <w:rPr>
          <w:rFonts w:ascii="Times New Roman" w:cs="Times New Roman" w:eastAsia="Times New Roman" w:hAnsi="Times New Roman"/>
          <w:sz w:val="18"/>
          <w:szCs w:val="18"/>
          <w:color w:val="auto"/>
        </w:rPr>
      </w:pPr>
    </w:p>
    <w:p>
      <w:pPr>
        <w:ind w:left="1800" w:right="60" w:hanging="820"/>
        <w:spacing w:after="0" w:line="266" w:lineRule="auto"/>
        <w:tabs>
          <w:tab w:leader="none" w:pos="17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800" w:right="380" w:hanging="820"/>
        <w:spacing w:after="0" w:line="266" w:lineRule="auto"/>
        <w:tabs>
          <w:tab w:leader="none" w:pos="17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800" w:right="20" w:hanging="820"/>
        <w:spacing w:after="0" w:line="266" w:lineRule="auto"/>
        <w:tabs>
          <w:tab w:leader="none" w:pos="17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800" w:right="120" w:hanging="820"/>
        <w:spacing w:after="0" w:line="266" w:lineRule="auto"/>
        <w:tabs>
          <w:tab w:leader="none" w:pos="17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420" w:hanging="252"/>
        <w:spacing w:after="0" w:line="282"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right="60" w:hanging="820"/>
        <w:spacing w:after="0" w:line="312" w:lineRule="auto"/>
        <w:tabs>
          <w:tab w:leader="none" w:pos="179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800" w:right="260" w:hanging="820"/>
        <w:spacing w:after="0" w:line="282" w:lineRule="auto"/>
        <w:tabs>
          <w:tab w:leader="none" w:pos="17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1860" w:type="dxa"/>
            <w:vAlign w:val="bottom"/>
            <w:vMerge w:val="restart"/>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1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/s/ Wenbin Jiang, Ph.D.</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Wenbin Jiang, Ph.D.</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7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5"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McCombe, certify that:</w:t>
      </w:r>
    </w:p>
    <w:p>
      <w:pPr>
        <w:spacing w:after="0" w:line="252"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spacing w:after="0" w:line="27" w:lineRule="exact"/>
        <w:rPr>
          <w:rFonts w:ascii="Times New Roman" w:cs="Times New Roman" w:eastAsia="Times New Roman" w:hAnsi="Times New Roman"/>
          <w:sz w:val="18"/>
          <w:szCs w:val="18"/>
          <w:color w:val="auto"/>
        </w:rPr>
      </w:pPr>
    </w:p>
    <w:p>
      <w:pPr>
        <w:ind w:left="260" w:right="20" w:hanging="252"/>
        <w:spacing w:after="0" w:line="265" w:lineRule="auto"/>
        <w:tabs>
          <w:tab w:leader="none" w:pos="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480" w:hanging="252"/>
        <w:spacing w:after="0" w:line="250"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00" w:hanging="252"/>
        <w:spacing w:after="0" w:line="255"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77" w:lineRule="exact"/>
        <w:rPr>
          <w:rFonts w:ascii="Times New Roman" w:cs="Times New Roman" w:eastAsia="Times New Roman" w:hAnsi="Times New Roman"/>
          <w:sz w:val="18"/>
          <w:szCs w:val="18"/>
          <w:color w:val="auto"/>
        </w:rPr>
      </w:pPr>
    </w:p>
    <w:p>
      <w:pPr>
        <w:ind w:left="1800" w:right="60" w:hanging="820"/>
        <w:spacing w:after="0" w:line="266" w:lineRule="auto"/>
        <w:tabs>
          <w:tab w:leader="none" w:pos="17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800" w:right="380" w:hanging="820"/>
        <w:spacing w:after="0" w:line="266" w:lineRule="auto"/>
        <w:tabs>
          <w:tab w:leader="none" w:pos="17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800" w:right="20" w:hanging="820"/>
        <w:spacing w:after="0" w:line="266" w:lineRule="auto"/>
        <w:tabs>
          <w:tab w:leader="none" w:pos="17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800" w:right="120" w:hanging="820"/>
        <w:spacing w:after="0" w:line="266" w:lineRule="auto"/>
        <w:tabs>
          <w:tab w:leader="none" w:pos="17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420" w:hanging="252"/>
        <w:spacing w:after="0" w:line="282"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right="60" w:hanging="820"/>
        <w:spacing w:after="0" w:line="312" w:lineRule="auto"/>
        <w:tabs>
          <w:tab w:leader="none" w:pos="179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800" w:right="260" w:hanging="820"/>
        <w:spacing w:after="0" w:line="282" w:lineRule="auto"/>
        <w:tabs>
          <w:tab w:leader="none" w:pos="17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16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McCombe</w:t>
            </w:r>
          </w:p>
        </w:tc>
      </w:tr>
      <w:tr>
        <w:trPr>
          <w:trHeight w:val="20"/>
        </w:trPr>
        <w:tc>
          <w:tcPr>
            <w:tcW w:w="2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5"/>
        </w:trPr>
        <w:tc>
          <w:tcPr>
            <w:tcW w:w="2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William McCombe</w:t>
            </w:r>
          </w:p>
        </w:tc>
      </w:tr>
      <w:tr>
        <w:trPr>
          <w:trHeight w:val="230"/>
        </w:trPr>
        <w:tc>
          <w:tcPr>
            <w:tcW w:w="2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ectPr>
          <w:pgSz w:w="11900" w:h="16838" w:orient="portrait"/>
          <w:cols w:equalWidth="0" w:num="1">
            <w:col w:w="11240"/>
          </w:cols>
          <w:pgMar w:left="320" w:top="1035"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March 31, 2025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72" w:lineRule="exact"/>
        <w:rPr>
          <w:sz w:val="20"/>
          <w:szCs w:val="20"/>
          <w:color w:val="auto"/>
        </w:rPr>
      </w:pPr>
    </w:p>
    <w:p>
      <w:pPr>
        <w:ind w:left="1620" w:hanging="1045"/>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1620" w:hanging="1045"/>
        <w:spacing w:after="0" w:line="282" w:lineRule="auto"/>
        <w:tabs>
          <w:tab w:leader="none" w:pos="16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ind w:left="20"/>
        <w:spacing w:after="0"/>
        <w:tabs>
          <w:tab w:leader="none" w:pos="3320" w:val="left"/>
          <w:tab w:leader="none" w:pos="400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Wenbin Jiang, Ph.D.</w:t>
      </w:r>
    </w:p>
    <w:p>
      <w:pPr>
        <w:spacing w:after="0" w:line="6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96" w:name="page97"/>
    <w:bookmarkEnd w:id="96"/>
    <w:p>
      <w:pPr>
        <w:ind w:left="1020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March 31, 2025 as filed with the Securities and Exchange Commission on the date hereof (the “Report”), the undersigned, William McCombe, Chief Financial Officer of the Company, hereby certifies, pursuant to requirements set forth in Rule 13a-14(b) of the Securities Exchange Act of 1934, as amended (the “Exchange Act”), and 18 U.S.C. Section 1350, that to his knowledge:</w:t>
      </w:r>
    </w:p>
    <w:p>
      <w:pPr>
        <w:spacing w:after="0" w:line="72" w:lineRule="exact"/>
        <w:rPr>
          <w:sz w:val="20"/>
          <w:szCs w:val="20"/>
          <w:color w:val="auto"/>
        </w:rPr>
      </w:pPr>
    </w:p>
    <w:p>
      <w:pPr>
        <w:ind w:left="1620" w:hanging="1045"/>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1620" w:hanging="1045"/>
        <w:spacing w:after="0" w:line="282" w:lineRule="auto"/>
        <w:tabs>
          <w:tab w:leader="none" w:pos="16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ind w:left="700"/>
        <w:spacing w:after="0"/>
        <w:tabs>
          <w:tab w:leader="none" w:pos="3320" w:val="left"/>
          <w:tab w:leader="none" w:pos="378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William McCombe</w:t>
      </w:r>
    </w:p>
    <w:p>
      <w:pPr>
        <w:spacing w:after="0" w:line="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William McCombe</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20"/>
      </w:cols>
      <w:pgMar w:left="320" w:top="103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2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lvl w:ilvl="1">
      <w:lvlJc w:val="left"/>
      <w:lvlText w:val="(%2)"/>
      <w:numFmt w:val="lowerRoman"/>
      <w:start w:val="2"/>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lowerRoman"/>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jpeg"/><Relationship Id="rId117" Type="http://schemas.openxmlformats.org/officeDocument/2006/relationships/image" Target="media/image108.jpeg"/><Relationship Id="rId118" Type="http://schemas.openxmlformats.org/officeDocument/2006/relationships/image" Target="media/image109.jpeg"/><Relationship Id="rId111" Type="http://schemas.openxmlformats.org/officeDocument/2006/relationships/hyperlink" Target="https://www.sec.gov/Archives/edgar/data/1831915/000119312521225716/d183956dex31.htm" TargetMode="External"/><Relationship Id="rId112" Type="http://schemas.openxmlformats.org/officeDocument/2006/relationships/hyperlink" Target="https://www.sec.gov/Archives/edgar/data/1831915/000119312521225716/d1839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2025-05-08T16:34:02Z</dcterms:created>
  <dcterms:modified xsi:type="dcterms:W3CDTF">2025-05-08T16:34:02Z</dcterms:modified>
</cp:coreProperties>
</file>