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460" w:hanging="434"/>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460" w:right="780" w:hanging="434"/>
        <w:spacing w:after="0" w:line="282"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001-40632</w:t>
      </w:r>
    </w:p>
    <w:p>
      <w:pPr>
        <w:spacing w:after="0" w:line="2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CYTEK BIOSCIENCES,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5020" w:type="dxa"/>
            <w:vAlign w:val="bottom"/>
          </w:tcPr>
          <w:p>
            <w:pPr>
              <w:jc w:val="center"/>
              <w:ind w:right="1666"/>
              <w:spacing w:after="0"/>
              <w:rPr>
                <w:sz w:val="20"/>
                <w:szCs w:val="20"/>
                <w:color w:val="auto"/>
              </w:rPr>
            </w:pPr>
            <w:r>
              <w:rPr>
                <w:rFonts w:ascii="Arial" w:cs="Arial" w:eastAsia="Arial" w:hAnsi="Arial"/>
                <w:sz w:val="18"/>
                <w:szCs w:val="18"/>
                <w:b w:val="1"/>
                <w:bCs w:val="1"/>
                <w:color w:val="auto"/>
                <w:w w:val="91"/>
              </w:rPr>
              <w:t>Delaware</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47-2547526</w:t>
            </w:r>
          </w:p>
        </w:tc>
      </w:tr>
      <w:tr>
        <w:trPr>
          <w:trHeight w:val="200"/>
        </w:trPr>
        <w:tc>
          <w:tcPr>
            <w:tcW w:w="5020" w:type="dxa"/>
            <w:vAlign w:val="bottom"/>
          </w:tcPr>
          <w:p>
            <w:pPr>
              <w:jc w:val="center"/>
              <w:ind w:right="1686"/>
              <w:spacing w:after="0"/>
              <w:rPr>
                <w:sz w:val="20"/>
                <w:szCs w:val="20"/>
                <w:color w:val="auto"/>
              </w:rPr>
            </w:pPr>
            <w:r>
              <w:rPr>
                <w:rFonts w:ascii="Arial" w:cs="Arial" w:eastAsia="Arial" w:hAnsi="Arial"/>
                <w:sz w:val="13"/>
                <w:szCs w:val="13"/>
                <w:color w:val="auto"/>
                <w:w w:val="89"/>
              </w:rPr>
              <w:t>(State or other jurisdiction of</w:t>
            </w:r>
          </w:p>
        </w:tc>
        <w:tc>
          <w:tcPr>
            <w:tcW w:w="2700" w:type="dxa"/>
            <w:vAlign w:val="bottom"/>
          </w:tcPr>
          <w:p>
            <w:pPr>
              <w:jc w:val="center"/>
              <w:ind w:left="1686"/>
              <w:spacing w:after="0"/>
              <w:rPr>
                <w:sz w:val="20"/>
                <w:szCs w:val="20"/>
                <w:color w:val="auto"/>
              </w:rPr>
            </w:pPr>
            <w:r>
              <w:rPr>
                <w:rFonts w:ascii="Arial" w:cs="Arial" w:eastAsia="Arial" w:hAnsi="Arial"/>
                <w:sz w:val="13"/>
                <w:szCs w:val="13"/>
                <w:color w:val="auto"/>
                <w:w w:val="90"/>
              </w:rPr>
              <w:t>(I.R.S. Employer</w:t>
            </w:r>
          </w:p>
        </w:tc>
      </w:tr>
      <w:tr>
        <w:trPr>
          <w:trHeight w:val="162"/>
        </w:trPr>
        <w:tc>
          <w:tcPr>
            <w:tcW w:w="5020" w:type="dxa"/>
            <w:vAlign w:val="bottom"/>
          </w:tcPr>
          <w:p>
            <w:pPr>
              <w:jc w:val="center"/>
              <w:ind w:right="1666"/>
              <w:spacing w:after="0"/>
              <w:rPr>
                <w:sz w:val="20"/>
                <w:szCs w:val="20"/>
                <w:color w:val="auto"/>
              </w:rPr>
            </w:pPr>
            <w:r>
              <w:rPr>
                <w:rFonts w:ascii="Arial" w:cs="Arial" w:eastAsia="Arial" w:hAnsi="Arial"/>
                <w:sz w:val="13"/>
                <w:szCs w:val="13"/>
                <w:color w:val="auto"/>
                <w:w w:val="89"/>
              </w:rPr>
              <w:t>incorporation or organization)</w:t>
            </w:r>
          </w:p>
        </w:tc>
        <w:tc>
          <w:tcPr>
            <w:tcW w:w="2700" w:type="dxa"/>
            <w:vAlign w:val="bottom"/>
          </w:tcPr>
          <w:p>
            <w:pPr>
              <w:jc w:val="center"/>
              <w:ind w:left="1686"/>
              <w:spacing w:after="0"/>
              <w:rPr>
                <w:sz w:val="20"/>
                <w:szCs w:val="20"/>
                <w:color w:val="auto"/>
              </w:rPr>
            </w:pPr>
            <w:r>
              <w:rPr>
                <w:rFonts w:ascii="Arial" w:cs="Arial" w:eastAsia="Arial" w:hAnsi="Arial"/>
                <w:sz w:val="13"/>
                <w:szCs w:val="13"/>
                <w:color w:val="auto"/>
                <w:w w:val="92"/>
              </w:rPr>
              <w:t>Identification No.)</w:t>
            </w:r>
          </w:p>
        </w:tc>
      </w:tr>
      <w:tr>
        <w:trPr>
          <w:trHeight w:val="259"/>
        </w:trPr>
        <w:tc>
          <w:tcPr>
            <w:tcW w:w="5020" w:type="dxa"/>
            <w:vAlign w:val="bottom"/>
          </w:tcPr>
          <w:p>
            <w:pPr>
              <w:jc w:val="center"/>
              <w:ind w:right="1666"/>
              <w:spacing w:after="0"/>
              <w:rPr>
                <w:sz w:val="20"/>
                <w:szCs w:val="20"/>
                <w:color w:val="auto"/>
              </w:rPr>
            </w:pPr>
            <w:r>
              <w:rPr>
                <w:rFonts w:ascii="Arial" w:cs="Arial" w:eastAsia="Arial" w:hAnsi="Arial"/>
                <w:sz w:val="18"/>
                <w:szCs w:val="18"/>
                <w:b w:val="1"/>
                <w:bCs w:val="1"/>
                <w:color w:val="auto"/>
                <w:w w:val="92"/>
              </w:rPr>
              <w:t>47215 Lakeview Blvd. Fremont, California</w:t>
            </w:r>
          </w:p>
        </w:tc>
        <w:tc>
          <w:tcPr>
            <w:tcW w:w="2700" w:type="dxa"/>
            <w:vAlign w:val="bottom"/>
          </w:tcPr>
          <w:p>
            <w:pPr>
              <w:jc w:val="right"/>
              <w:ind w:right="166"/>
              <w:spacing w:after="0"/>
              <w:rPr>
                <w:sz w:val="20"/>
                <w:szCs w:val="20"/>
                <w:color w:val="auto"/>
              </w:rPr>
            </w:pPr>
            <w:r>
              <w:rPr>
                <w:rFonts w:ascii="Arial" w:cs="Arial" w:eastAsia="Arial" w:hAnsi="Arial"/>
                <w:sz w:val="18"/>
                <w:szCs w:val="18"/>
                <w:b w:val="1"/>
                <w:bCs w:val="1"/>
                <w:color w:val="auto"/>
              </w:rPr>
              <w:t>94538</w:t>
            </w:r>
          </w:p>
        </w:tc>
      </w:tr>
      <w:tr>
        <w:trPr>
          <w:trHeight w:val="186"/>
        </w:trPr>
        <w:tc>
          <w:tcPr>
            <w:tcW w:w="5020" w:type="dxa"/>
            <w:vAlign w:val="bottom"/>
          </w:tcPr>
          <w:p>
            <w:pPr>
              <w:jc w:val="center"/>
              <w:ind w:right="1666"/>
              <w:spacing w:after="0"/>
              <w:rPr>
                <w:sz w:val="20"/>
                <w:szCs w:val="20"/>
                <w:color w:val="auto"/>
              </w:rPr>
            </w:pPr>
            <w:r>
              <w:rPr>
                <w:rFonts w:ascii="Arial" w:cs="Arial" w:eastAsia="Arial" w:hAnsi="Arial"/>
                <w:sz w:val="13"/>
                <w:szCs w:val="13"/>
                <w:color w:val="auto"/>
                <w:w w:val="89"/>
              </w:rPr>
              <w:t>(Address of principal executive offices)</w:t>
            </w:r>
          </w:p>
        </w:tc>
        <w:tc>
          <w:tcPr>
            <w:tcW w:w="2700" w:type="dxa"/>
            <w:vAlign w:val="bottom"/>
          </w:tcPr>
          <w:p>
            <w:pPr>
              <w:jc w:val="center"/>
              <w:ind w:left="1706"/>
              <w:spacing w:after="0"/>
              <w:rPr>
                <w:sz w:val="20"/>
                <w:szCs w:val="20"/>
                <w:color w:val="auto"/>
              </w:rPr>
            </w:pPr>
            <w:r>
              <w:rPr>
                <w:rFonts w:ascii="Arial" w:cs="Arial" w:eastAsia="Arial" w:hAnsi="Arial"/>
                <w:sz w:val="13"/>
                <w:szCs w:val="13"/>
                <w:color w:val="auto"/>
                <w:w w:val="91"/>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(877) 922-9835</w:t>
      </w:r>
    </w:p>
    <w:p>
      <w:pPr>
        <w:spacing w:after="0" w:line="3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04"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420" w:type="dxa"/>
            <w:vAlign w:val="bottom"/>
            <w:gridSpan w:val="2"/>
          </w:tcPr>
          <w:p>
            <w:pPr>
              <w:ind w:left="1640"/>
              <w:spacing w:after="0"/>
              <w:rPr>
                <w:sz w:val="20"/>
                <w:szCs w:val="20"/>
                <w:color w:val="auto"/>
              </w:rPr>
            </w:pPr>
            <w:r>
              <w:rPr>
                <w:rFonts w:ascii="Arial" w:cs="Arial" w:eastAsia="Arial" w:hAnsi="Arial"/>
                <w:sz w:val="14"/>
                <w:szCs w:val="14"/>
                <w:color w:val="auto"/>
              </w:rPr>
              <w:t>Title of each class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Trading Symbol(s)</w:t>
            </w:r>
          </w:p>
        </w:tc>
        <w:tc>
          <w:tcPr>
            <w:tcW w:w="434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5"/>
        </w:trPr>
        <w:tc>
          <w:tcPr>
            <w:tcW w:w="4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02"/>
        </w:trPr>
        <w:tc>
          <w:tcPr>
            <w:tcW w:w="4420" w:type="dxa"/>
            <w:vAlign w:val="bottom"/>
            <w:gridSpan w:val="2"/>
          </w:tcPr>
          <w:p>
            <w:pPr>
              <w:ind w:left="60"/>
              <w:spacing w:after="0"/>
              <w:rPr>
                <w:sz w:val="20"/>
                <w:szCs w:val="20"/>
                <w:color w:val="auto"/>
              </w:rPr>
            </w:pPr>
            <w:r>
              <w:rPr>
                <w:rFonts w:ascii="Arial" w:cs="Arial" w:eastAsia="Arial" w:hAnsi="Arial"/>
                <w:sz w:val="15"/>
                <w:szCs w:val="15"/>
                <w:b w:val="1"/>
                <w:bCs w:val="1"/>
                <w:color w:val="auto"/>
              </w:rPr>
              <w:t>Common Stock, par value $0.001 per share</w:t>
            </w:r>
          </w:p>
        </w:tc>
        <w:tc>
          <w:tcPr>
            <w:tcW w:w="24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rPr>
              <w:t>CTKB</w:t>
            </w:r>
          </w:p>
        </w:tc>
        <w:tc>
          <w:tcPr>
            <w:tcW w:w="4340" w:type="dxa"/>
            <w:vAlign w:val="bottom"/>
          </w:tcPr>
          <w:p>
            <w:pPr>
              <w:jc w:val="center"/>
              <w:spacing w:after="0"/>
              <w:rPr>
                <w:sz w:val="20"/>
                <w:szCs w:val="20"/>
                <w:color w:val="auto"/>
              </w:rPr>
            </w:pPr>
            <w:r>
              <w:rPr>
                <w:rFonts w:ascii="Arial" w:cs="Arial" w:eastAsia="Arial" w:hAnsi="Arial"/>
                <w:sz w:val="15"/>
                <w:szCs w:val="15"/>
                <w:b w:val="1"/>
                <w:bCs w:val="1"/>
                <w:color w:val="auto"/>
                <w:w w:val="93"/>
              </w:rPr>
              <w:t>The Nasdaq Global Select Market</w:t>
            </w:r>
          </w:p>
        </w:tc>
      </w:tr>
    </w:tbl>
    <w:p>
      <w:pPr>
        <w:spacing w:after="0" w:line="97" w:lineRule="exact"/>
        <w:rPr>
          <w:sz w:val="24"/>
          <w:szCs w:val="24"/>
          <w:color w:val="auto"/>
        </w:rPr>
      </w:pPr>
    </w:p>
    <w:p>
      <w:pPr>
        <w:ind w:right="120"/>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27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194"/>
        </w:trPr>
        <w:tc>
          <w:tcPr>
            <w:tcW w:w="23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480" w:type="dxa"/>
            <w:vAlign w:val="bottom"/>
            <w:vMerge w:val="restart"/>
          </w:tcPr>
          <w:p>
            <w:pPr>
              <w:jc w:val="right"/>
              <w:ind w:right="1464"/>
              <w:spacing w:after="0"/>
              <w:rPr>
                <w:sz w:val="20"/>
                <w:szCs w:val="20"/>
                <w:color w:val="auto"/>
              </w:rPr>
            </w:pPr>
            <w:r>
              <w:rPr>
                <w:rFonts w:ascii="Arial" w:cs="Arial" w:eastAsia="Arial" w:hAnsi="Arial"/>
                <w:sz w:val="15"/>
                <w:szCs w:val="15"/>
                <w:color w:val="auto"/>
              </w:rPr>
              <w:t>x</w:t>
            </w:r>
          </w:p>
        </w:tc>
        <w:tc>
          <w:tcPr>
            <w:tcW w:w="4780" w:type="dxa"/>
            <w:vAlign w:val="bottom"/>
          </w:tcPr>
          <w:p>
            <w:pPr>
              <w:ind w:left="1560"/>
              <w:spacing w:after="0"/>
              <w:rPr>
                <w:sz w:val="20"/>
                <w:szCs w:val="20"/>
                <w:color w:val="auto"/>
              </w:rPr>
            </w:pPr>
            <w:r>
              <w:rPr>
                <w:rFonts w:ascii="Arial" w:cs="Arial" w:eastAsia="Arial" w:hAnsi="Arial"/>
                <w:sz w:val="15"/>
                <w:szCs w:val="15"/>
                <w:color w:val="auto"/>
              </w:rPr>
              <w:t>Accelerated filer</w:t>
            </w:r>
          </w:p>
        </w:tc>
        <w:tc>
          <w:tcPr>
            <w:tcW w:w="1620" w:type="dxa"/>
            <w:vAlign w:val="bottom"/>
            <w:vMerge w:val="restart"/>
          </w:tcPr>
          <w:p>
            <w:pPr>
              <w:ind w:left="15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478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2320" w:type="dxa"/>
            <w:vAlign w:val="bottom"/>
          </w:tcPr>
          <w:p>
            <w:pPr>
              <w:spacing w:after="0"/>
              <w:rPr>
                <w:sz w:val="20"/>
                <w:szCs w:val="20"/>
                <w:color w:val="auto"/>
              </w:rPr>
            </w:pPr>
            <w:r>
              <w:rPr>
                <w:rFonts w:ascii="Arial" w:cs="Arial" w:eastAsia="Arial" w:hAnsi="Arial"/>
                <w:sz w:val="15"/>
                <w:szCs w:val="15"/>
                <w:color w:val="auto"/>
              </w:rPr>
              <w:t>Non-accelerated filer</w:t>
            </w:r>
          </w:p>
        </w:tc>
        <w:tc>
          <w:tcPr>
            <w:tcW w:w="2480" w:type="dxa"/>
            <w:vAlign w:val="bottom"/>
            <w:vMerge w:val="restart"/>
          </w:tcPr>
          <w:p>
            <w:pPr>
              <w:jc w:val="right"/>
              <w:ind w:right="1464"/>
              <w:spacing w:after="0"/>
              <w:rPr>
                <w:sz w:val="20"/>
                <w:szCs w:val="20"/>
                <w:color w:val="auto"/>
              </w:rPr>
            </w:pPr>
            <w:r>
              <w:rPr>
                <w:rFonts w:ascii="Arial" w:cs="Arial" w:eastAsia="Arial" w:hAnsi="Arial"/>
                <w:sz w:val="15"/>
                <w:szCs w:val="15"/>
                <w:color w:val="auto"/>
              </w:rPr>
              <w:t>o</w:t>
            </w:r>
          </w:p>
        </w:tc>
        <w:tc>
          <w:tcPr>
            <w:tcW w:w="4780" w:type="dxa"/>
            <w:vAlign w:val="bottom"/>
          </w:tcPr>
          <w:p>
            <w:pPr>
              <w:ind w:left="1560"/>
              <w:spacing w:after="0"/>
              <w:rPr>
                <w:sz w:val="20"/>
                <w:szCs w:val="20"/>
                <w:color w:val="auto"/>
              </w:rPr>
            </w:pPr>
            <w:r>
              <w:rPr>
                <w:rFonts w:ascii="Arial" w:cs="Arial" w:eastAsia="Arial" w:hAnsi="Arial"/>
                <w:sz w:val="15"/>
                <w:szCs w:val="15"/>
                <w:color w:val="auto"/>
              </w:rPr>
              <w:t>Smaller reporting company</w:t>
            </w:r>
          </w:p>
        </w:tc>
        <w:tc>
          <w:tcPr>
            <w:tcW w:w="1620" w:type="dxa"/>
            <w:vAlign w:val="bottom"/>
            <w:vMerge w:val="restart"/>
          </w:tcPr>
          <w:p>
            <w:pPr>
              <w:ind w:left="15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478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20"/>
        <w:spacing w:after="0"/>
        <w:rPr>
          <w:sz w:val="20"/>
          <w:szCs w:val="20"/>
          <w:color w:val="auto"/>
        </w:rPr>
      </w:pPr>
      <w:r>
        <w:rPr>
          <w:rFonts w:ascii="Arial" w:cs="Arial" w:eastAsia="Arial" w:hAnsi="Arial"/>
          <w:sz w:val="15"/>
          <w:szCs w:val="15"/>
          <w:color w:val="auto"/>
        </w:rPr>
        <w:t>Emerging growth company</w:t>
      </w:r>
    </w:p>
    <w:p>
      <w:pPr>
        <w:ind w:left="3200"/>
        <w:spacing w:after="0"/>
        <w:rPr>
          <w:sz w:val="20"/>
          <w:szCs w:val="20"/>
          <w:color w:val="auto"/>
        </w:rPr>
      </w:pPr>
      <w:r>
        <w:rPr>
          <w:rFonts w:ascii="Arial" w:cs="Arial" w:eastAsia="Arial" w:hAnsi="Arial"/>
          <w:sz w:val="15"/>
          <w:szCs w:val="15"/>
          <w:color w:val="auto"/>
        </w:rPr>
        <w:t>o</w:t>
      </w:r>
    </w:p>
    <w:p>
      <w:pPr>
        <w:spacing w:after="0" w:line="123" w:lineRule="exact"/>
        <w:rPr>
          <w:sz w:val="24"/>
          <w:szCs w:val="24"/>
          <w:color w:val="auto"/>
        </w:rPr>
      </w:pPr>
    </w:p>
    <w:p>
      <w:pPr>
        <w:ind w:right="520"/>
        <w:spacing w:after="0" w:line="26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3760"/>
        <w:spacing w:after="0" w:line="18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Registrant’s Common Stock outstanding as of October 31, 2023 was 135,549,154.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80" w:type="dxa"/>
            <w:vAlign w:val="bottom"/>
            <w:gridSpan w:val="2"/>
          </w:tcPr>
          <w:p>
            <w:pPr>
              <w:ind w:lef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5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700" w:type="dxa"/>
            <w:vAlign w:val="bottom"/>
            <w:gridSpan w:val="17"/>
            <w:vMerge w:val="restart"/>
          </w:tcPr>
          <w:p>
            <w:pPr>
              <w:spacing w:after="0"/>
              <w:rPr>
                <w:sz w:val="20"/>
                <w:szCs w:val="20"/>
                <w:color w:val="auto"/>
              </w:rPr>
            </w:pPr>
            <w:r>
              <w:rPr>
                <w:rFonts w:ascii="Arial" w:cs="Arial" w:eastAsia="Arial" w:hAnsi="Arial"/>
                <w:sz w:val="18"/>
                <w:szCs w:val="18"/>
                <w:color w:val="auto"/>
              </w:rPr>
              <w:t>FINANCIAL INFORMATION</w:t>
            </w: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60" w:type="dxa"/>
            <w:vAlign w:val="bottom"/>
            <w:gridSpan w:val="3"/>
            <w:vMerge w:val="continue"/>
          </w:tcPr>
          <w:p>
            <w:pPr>
              <w:spacing w:after="0"/>
              <w:rPr>
                <w:sz w:val="19"/>
                <w:szCs w:val="19"/>
                <w:color w:val="auto"/>
              </w:rPr>
            </w:pPr>
          </w:p>
        </w:tc>
        <w:tc>
          <w:tcPr>
            <w:tcW w:w="8700" w:type="dxa"/>
            <w:vAlign w:val="bottom"/>
            <w:gridSpan w:val="17"/>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00" w:type="dxa"/>
            <w:vAlign w:val="bottom"/>
            <w:gridSpan w:val="17"/>
          </w:tcPr>
          <w:p>
            <w:pPr>
              <w:spacing w:after="0"/>
              <w:rPr>
                <w:sz w:val="20"/>
                <w:szCs w:val="20"/>
                <w:color w:val="auto"/>
              </w:rPr>
            </w:pPr>
            <w:r>
              <w:rPr>
                <w:rFonts w:ascii="Arial" w:cs="Arial" w:eastAsia="Arial" w:hAnsi="Arial"/>
                <w:sz w:val="18"/>
                <w:szCs w:val="18"/>
                <w:color w:val="0000FF"/>
              </w:rPr>
              <w:t>Consolidated Financial Statements (Unaudited)</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Consolidated Balance Sheets</w:t>
            </w:r>
          </w:p>
        </w:tc>
        <w:tc>
          <w:tcPr>
            <w:tcW w:w="5300" w:type="dxa"/>
            <w:vAlign w:val="bottom"/>
            <w:gridSpan w:val="6"/>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Consolidated Statements of Operations and Comprehensive Income (Loss)</w:t>
            </w:r>
          </w:p>
        </w:tc>
        <w:tc>
          <w:tcPr>
            <w:tcW w:w="3320" w:type="dxa"/>
            <w:vAlign w:val="bottom"/>
            <w:gridSpan w:val="3"/>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Consolidated Statements of Stockholders' Equity</w:t>
            </w:r>
          </w:p>
        </w:tc>
        <w:tc>
          <w:tcPr>
            <w:tcW w:w="5180" w:type="dxa"/>
            <w:vAlign w:val="bottom"/>
            <w:gridSpan w:val="5"/>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00" w:type="dxa"/>
            <w:vAlign w:val="bottom"/>
            <w:gridSpan w:val="17"/>
          </w:tcPr>
          <w:p>
            <w:pPr>
              <w:spacing w:after="0"/>
              <w:rPr>
                <w:sz w:val="20"/>
                <w:szCs w:val="20"/>
                <w:color w:val="auto"/>
              </w:rPr>
            </w:pPr>
            <w:r>
              <w:rPr>
                <w:rFonts w:ascii="Arial" w:cs="Arial" w:eastAsia="Arial" w:hAnsi="Arial"/>
                <w:sz w:val="18"/>
                <w:szCs w:val="18"/>
                <w:color w:val="0000FF"/>
              </w:rPr>
              <w:t>Consolidated Statements of Cash Flows</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5560" w:type="dxa"/>
            <w:vAlign w:val="bottom"/>
            <w:gridSpan w:val="7"/>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0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260" w:type="dxa"/>
            <w:vAlign w:val="bottom"/>
            <w:gridSpan w:val="2"/>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2560" w:type="dxa"/>
            <w:vAlign w:val="bottom"/>
            <w:tcBorders>
              <w:top w:val="single" w:sz="8" w:color="0000FF"/>
            </w:tcBorders>
            <w:gridSpan w:val="7"/>
          </w:tcPr>
          <w:p>
            <w:pPr>
              <w:spacing w:after="0"/>
              <w:rPr>
                <w:sz w:val="20"/>
                <w:szCs w:val="20"/>
                <w:color w:val="auto"/>
              </w:rPr>
            </w:pPr>
          </w:p>
        </w:tc>
        <w:tc>
          <w:tcPr>
            <w:tcW w:w="4360" w:type="dxa"/>
            <w:vAlign w:val="bottom"/>
            <w:gridSpan w:val="4"/>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8700" w:type="dxa"/>
            <w:vAlign w:val="bottom"/>
            <w:gridSpan w:val="17"/>
          </w:tcPr>
          <w:p>
            <w:pPr>
              <w:spacing w:after="0"/>
              <w:rPr>
                <w:sz w:val="20"/>
                <w:szCs w:val="20"/>
                <w:color w:val="auto"/>
              </w:rPr>
            </w:pPr>
            <w:r>
              <w:rPr>
                <w:rFonts w:ascii="Arial" w:cs="Arial" w:eastAsia="Arial" w:hAnsi="Arial"/>
                <w:sz w:val="18"/>
                <w:szCs w:val="18"/>
                <w:color w:val="auto"/>
              </w:rPr>
              <w:t>OTHER INFORMATION</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0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2"/>
          </w:tcPr>
          <w:p>
            <w:pPr>
              <w:spacing w:after="0"/>
              <w:rPr>
                <w:sz w:val="20"/>
                <w:szCs w:val="20"/>
                <w:color w:val="auto"/>
              </w:rPr>
            </w:pPr>
          </w:p>
        </w:tc>
        <w:tc>
          <w:tcPr>
            <w:tcW w:w="7380" w:type="dxa"/>
            <w:vAlign w:val="bottom"/>
            <w:gridSpan w:val="13"/>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1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Unregistered Sales of Equity Securities, Use of Proceeds and Issuer Purchases of Equity Securities</w:t>
            </w:r>
          </w:p>
        </w:tc>
        <w:tc>
          <w:tcPr>
            <w:tcW w:w="1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Defaults Upon Senior Securities</w:t>
            </w:r>
          </w:p>
        </w:tc>
        <w:tc>
          <w:tcPr>
            <w:tcW w:w="6380" w:type="dxa"/>
            <w:vAlign w:val="bottom"/>
            <w:gridSpan w:val="9"/>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0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Other Information</w:t>
            </w:r>
          </w:p>
        </w:tc>
        <w:tc>
          <w:tcPr>
            <w:tcW w:w="6940" w:type="dxa"/>
            <w:vAlign w:val="bottom"/>
            <w:gridSpan w:val="12"/>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7400" w:type="dxa"/>
            <w:vAlign w:val="bottom"/>
            <w:gridSpan w:val="14"/>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1"/>
        </w:trPr>
        <w:tc>
          <w:tcPr>
            <w:tcW w:w="10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3"/>
          </w:tcPr>
          <w:p>
            <w:pPr>
              <w:ind w:left="402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16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8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December 31,</w:t>
            </w:r>
          </w:p>
        </w:tc>
      </w:tr>
      <w:tr>
        <w:trPr>
          <w:trHeight w:val="200"/>
        </w:trPr>
        <w:tc>
          <w:tcPr>
            <w:tcW w:w="74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20" w:type="dxa"/>
            <w:vAlign w:val="bottom"/>
          </w:tcPr>
          <w:p>
            <w:pPr>
              <w:spacing w:after="0"/>
              <w:rPr>
                <w:sz w:val="17"/>
                <w:szCs w:val="17"/>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96"/>
              </w:rPr>
              <w:t>2022</w:t>
            </w:r>
          </w:p>
        </w:tc>
      </w:tr>
      <w:tr>
        <w:trPr>
          <w:trHeight w:val="26"/>
        </w:trPr>
        <w:tc>
          <w:tcPr>
            <w:tcW w:w="7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7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91"/>
              </w:rPr>
              <w:t>(unaudited)</w:t>
            </w:r>
          </w:p>
        </w:tc>
        <w:tc>
          <w:tcPr>
            <w:tcW w:w="220" w:type="dxa"/>
            <w:vAlign w:val="bottom"/>
          </w:tcPr>
          <w:p>
            <w:pPr>
              <w:spacing w:after="0"/>
              <w:rPr>
                <w:sz w:val="16"/>
                <w:szCs w:val="16"/>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i w:val="1"/>
                <w:iCs w:val="1"/>
                <w:color w:val="auto"/>
                <w:w w:val="91"/>
              </w:rPr>
              <w:t>(audited)</w:t>
            </w:r>
          </w:p>
        </w:tc>
      </w:tr>
      <w:tr>
        <w:trPr>
          <w:trHeight w:val="26"/>
        </w:trPr>
        <w:tc>
          <w:tcPr>
            <w:tcW w:w="7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296,601</w:t>
            </w:r>
          </w:p>
        </w:tc>
      </w:tr>
      <w:tr>
        <w:trPr>
          <w:trHeight w:val="250"/>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2,899</w:t>
            </w:r>
          </w:p>
        </w:tc>
      </w:tr>
      <w:tr>
        <w:trPr>
          <w:trHeight w:val="263"/>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44,548</w:t>
            </w:r>
          </w:p>
        </w:tc>
      </w:tr>
      <w:tr>
        <w:trPr>
          <w:trHeight w:val="250"/>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Trade accounts receivable,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48,864</w:t>
            </w:r>
          </w:p>
        </w:tc>
      </w:tr>
      <w:tr>
        <w:trPr>
          <w:trHeight w:val="263"/>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48,154</w:t>
            </w:r>
          </w:p>
        </w:tc>
      </w:tr>
      <w:tr>
        <w:trPr>
          <w:trHeight w:val="250"/>
        </w:trPr>
        <w:tc>
          <w:tcPr>
            <w:tcW w:w="7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12,954</w:t>
            </w:r>
          </w:p>
        </w:tc>
      </w:tr>
      <w:tr>
        <w:trPr>
          <w:trHeight w:val="25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454,020</w:t>
            </w:r>
          </w:p>
        </w:tc>
      </w:tr>
      <w:tr>
        <w:trPr>
          <w:trHeight w:val="25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Deferred income tax assets, noncurrent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20,459</w:t>
            </w:r>
          </w:p>
        </w:tc>
      </w:tr>
      <w:tr>
        <w:trPr>
          <w:trHeight w:val="26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r>
      <w:tr>
        <w:trPr>
          <w:trHeight w:val="25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13,883</w:t>
            </w:r>
          </w:p>
        </w:tc>
      </w:tr>
      <w:tr>
        <w:trPr>
          <w:trHeight w:val="26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w:t>
            </w:r>
          </w:p>
        </w:tc>
      </w:tr>
      <w:tr>
        <w:trPr>
          <w:trHeight w:val="25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4,331</w:t>
            </w:r>
          </w:p>
        </w:tc>
      </w:tr>
      <w:tr>
        <w:trPr>
          <w:trHeight w:val="25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r>
      <w:tr>
        <w:trPr>
          <w:trHeight w:val="250"/>
        </w:trPr>
        <w:tc>
          <w:tcPr>
            <w:tcW w:w="748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519,430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519,476</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r>
      <w:tr>
        <w:trPr>
          <w:trHeight w:val="250"/>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Legal settlement liability, 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63"/>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21,126</w:t>
            </w:r>
          </w:p>
        </w:tc>
      </w:tr>
      <w:tr>
        <w:trPr>
          <w:trHeight w:val="250"/>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7,960</w:t>
            </w:r>
          </w:p>
        </w:tc>
      </w:tr>
      <w:tr>
        <w:trPr>
          <w:trHeight w:val="263"/>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current</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12,986</w:t>
            </w:r>
          </w:p>
        </w:tc>
      </w:tr>
      <w:tr>
        <w:trPr>
          <w:trHeight w:val="243"/>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49,040</w:t>
            </w:r>
          </w:p>
        </w:tc>
      </w:tr>
      <w:tr>
        <w:trPr>
          <w:trHeight w:val="26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Legal settlement liability, noncurrent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15,596</w:t>
            </w:r>
          </w:p>
        </w:tc>
      </w:tr>
      <w:tr>
        <w:trPr>
          <w:trHeight w:val="25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13,124</w:t>
            </w:r>
          </w:p>
        </w:tc>
      </w:tr>
      <w:tr>
        <w:trPr>
          <w:trHeight w:val="26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r>
      <w:tr>
        <w:trPr>
          <w:trHeight w:val="25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Long term debt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2,271</w:t>
            </w:r>
          </w:p>
        </w:tc>
      </w:tr>
      <w:tr>
        <w:trPr>
          <w:trHeight w:val="26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r>
      <w:tr>
        <w:trPr>
          <w:trHeight w:val="243"/>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103,906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93,930</w:t>
            </w:r>
          </w:p>
        </w:tc>
      </w:tr>
      <w:tr>
        <w:trPr>
          <w:trHeight w:val="24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2"/>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Common stock, $0.001 par value; 1,000,000,000 authorized shares as of September 30, 2023 and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3"/>
        </w:trPr>
        <w:tc>
          <w:tcPr>
            <w:tcW w:w="7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2"/>
              </w:rPr>
              <w:t>December 31, 2022, respectively; 135,545,663 and 135,365,381 issued and outstanding shares as of</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2023 and December 31, 2022, respectively.</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5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442,887</w:t>
            </w:r>
          </w:p>
        </w:tc>
      </w:tr>
      <w:tr>
        <w:trPr>
          <w:trHeight w:val="26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(17,030)</w:t>
            </w:r>
          </w:p>
        </w:tc>
      </w:tr>
      <w:tr>
        <w:trPr>
          <w:trHeight w:val="25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(697)</w:t>
            </w:r>
          </w:p>
        </w:tc>
      </w:tr>
      <w:tr>
        <w:trPr>
          <w:trHeight w:val="26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 in consolidated subsidiary</w:t>
            </w: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4"/>
        </w:trPr>
        <w:tc>
          <w:tcPr>
            <w:tcW w:w="7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415,524</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425,546</w:t>
            </w:r>
          </w:p>
        </w:tc>
      </w:tr>
      <w:tr>
        <w:trPr>
          <w:trHeight w:val="275"/>
        </w:trPr>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519,476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ectPr>
          <w:pgSz w:w="11900" w:h="16838" w:orient="portrait"/>
          <w:cols w:equalWidth="0" w:num="1">
            <w:col w:w="10920"/>
          </w:cols>
          <w:pgMar w:left="320" w:top="125" w:right="6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1"/>
              <w:spacing w:after="0"/>
              <w:rPr>
                <w:sz w:val="20"/>
                <w:szCs w:val="20"/>
                <w:color w:val="auto"/>
              </w:rPr>
            </w:pPr>
            <w:r>
              <w:rPr>
                <w:rFonts w:ascii="Arial" w:cs="Arial" w:eastAsia="Arial" w:hAnsi="Arial"/>
                <w:sz w:val="16"/>
                <w:szCs w:val="16"/>
                <w:b w:val="1"/>
                <w:bCs w:val="1"/>
                <w:color w:val="auto"/>
                <w:w w:val="93"/>
              </w:rPr>
              <w:t>September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1"/>
              <w:spacing w:after="0"/>
              <w:rPr>
                <w:sz w:val="20"/>
                <w:szCs w:val="20"/>
                <w:color w:val="auto"/>
              </w:rPr>
            </w:pPr>
            <w:r>
              <w:rPr>
                <w:rFonts w:ascii="Arial" w:cs="Arial" w:eastAsia="Arial" w:hAnsi="Arial"/>
                <w:sz w:val="16"/>
                <w:szCs w:val="16"/>
                <w:b w:val="1"/>
                <w:bCs w:val="1"/>
                <w:color w:val="auto"/>
                <w:w w:val="93"/>
              </w:rPr>
              <w:t>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1"/>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6"/>
        </w:trPr>
        <w:tc>
          <w:tcPr>
            <w:tcW w:w="5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60" w:type="dxa"/>
            <w:vAlign w:val="bottom"/>
          </w:tcPr>
          <w:p>
            <w:pPr>
              <w:ind w:left="180"/>
              <w:spacing w:after="0"/>
              <w:rPr>
                <w:sz w:val="20"/>
                <w:szCs w:val="20"/>
                <w:color w:val="auto"/>
              </w:rPr>
            </w:pPr>
            <w:r>
              <w:rPr>
                <w:rFonts w:ascii="Arial" w:cs="Arial" w:eastAsia="Arial" w:hAnsi="Arial"/>
                <w:sz w:val="18"/>
                <w:szCs w:val="18"/>
                <w:color w:val="auto"/>
              </w:rPr>
              <w:t>Product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38,441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36,389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110,065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104,963</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 net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134,782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115,700</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60" w:type="dxa"/>
            <w:vAlign w:val="bottom"/>
          </w:tcPr>
          <w:p>
            <w:pPr>
              <w:ind w:left="180"/>
              <w:spacing w:after="0"/>
              <w:rPr>
                <w:sz w:val="20"/>
                <w:szCs w:val="20"/>
                <w:color w:val="auto"/>
              </w:rPr>
            </w:pPr>
            <w:r>
              <w:rPr>
                <w:rFonts w:ascii="Arial" w:cs="Arial" w:eastAsia="Arial" w:hAnsi="Arial"/>
                <w:sz w:val="18"/>
                <w:szCs w:val="18"/>
                <w:color w:val="auto"/>
              </w:rPr>
              <w:t>Product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45,557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34,153</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cost of sales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44,100</w:t>
            </w: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71,600</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25,111</w:t>
            </w:r>
          </w:p>
        </w:tc>
        <w:tc>
          <w:tcPr>
            <w:tcW w:w="0" w:type="dxa"/>
            <w:vAlign w:val="bottom"/>
          </w:tcPr>
          <w:p>
            <w:pPr>
              <w:spacing w:after="0"/>
              <w:rPr>
                <w:sz w:val="1"/>
                <w:szCs w:val="1"/>
                <w:color w:val="auto"/>
              </w:rPr>
            </w:pPr>
          </w:p>
        </w:tc>
      </w:tr>
      <w:tr>
        <w:trPr>
          <w:trHeight w:val="250"/>
        </w:trPr>
        <w:tc>
          <w:tcPr>
            <w:tcW w:w="53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24,201</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24,176</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73,488</w:t>
            </w: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50"/>
        </w:trPr>
        <w:tc>
          <w:tcPr>
            <w:tcW w:w="53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5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allocated to noncontrolling interests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Net income (loss) attributable to common stockholders, basic and diluted</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(17,651)</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w w:val="93"/>
              </w:rPr>
              <w:t>Net income (loss) attributable to common stockholders per share, basic</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vMerge w:val="continue"/>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Net income (loss) attributable to common stockholders per share, diluted</w:t>
            </w:r>
          </w:p>
        </w:tc>
        <w:tc>
          <w:tcPr>
            <w:tcW w:w="100" w:type="dxa"/>
            <w:vAlign w:val="bottom"/>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0"/>
              </w:rPr>
              <w:t>Weighted-average shares used in calculating net income (loss) per share,</w:t>
            </w: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136,173,278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134,711,701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135,862,905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134,342,059</w:t>
            </w:r>
          </w:p>
        </w:tc>
        <w:tc>
          <w:tcPr>
            <w:tcW w:w="0" w:type="dxa"/>
            <w:vAlign w:val="bottom"/>
          </w:tcPr>
          <w:p>
            <w:pPr>
              <w:spacing w:after="0"/>
              <w:rPr>
                <w:sz w:val="1"/>
                <w:szCs w:val="1"/>
                <w:color w:val="auto"/>
              </w:rPr>
            </w:pPr>
          </w:p>
        </w:tc>
      </w:tr>
      <w:tr>
        <w:trPr>
          <w:trHeight w:val="217"/>
        </w:trPr>
        <w:tc>
          <w:tcPr>
            <w:tcW w:w="5360" w:type="dxa"/>
            <w:vAlign w:val="bottom"/>
          </w:tcPr>
          <w:p>
            <w:pPr>
              <w:ind w:left="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0"/>
              </w:rPr>
              <w:t>Weighted-average shares used in calculating net income (loss) per share,</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136,173,278</w:t>
            </w:r>
          </w:p>
        </w:tc>
        <w:tc>
          <w:tcPr>
            <w:tcW w:w="1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138,709,335</w:t>
            </w:r>
          </w:p>
        </w:tc>
        <w:tc>
          <w:tcPr>
            <w:tcW w:w="10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135,862,905</w:t>
            </w:r>
          </w:p>
        </w:tc>
        <w:tc>
          <w:tcPr>
            <w:tcW w:w="1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134,342,059</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 net of tax</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 on marketable securities</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Net comprehensive income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(18,533)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Cytek Biosciences,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Borders>
              <w:left w:val="single" w:sz="8" w:color="auto"/>
            </w:tcBorders>
            <w:gridSpan w:val="2"/>
          </w:tcPr>
          <w:p>
            <w:pPr>
              <w:jc w:val="right"/>
              <w:ind w:right="37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lef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lef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120" w:type="dxa"/>
            <w:vAlign w:val="bottom"/>
          </w:tcPr>
          <w:p>
            <w:pPr>
              <w:spacing w:after="0"/>
              <w:rPr>
                <w:sz w:val="12"/>
                <w:szCs w:val="12"/>
                <w:color w:val="auto"/>
              </w:rPr>
            </w:pPr>
          </w:p>
        </w:tc>
        <w:tc>
          <w:tcPr>
            <w:tcW w:w="104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interest in</w:t>
            </w:r>
          </w:p>
        </w:tc>
        <w:tc>
          <w:tcPr>
            <w:tcW w:w="160" w:type="dxa"/>
            <w:vAlign w:val="bottom"/>
          </w:tcPr>
          <w:p>
            <w:pPr>
              <w:spacing w:after="0"/>
              <w:rPr>
                <w:sz w:val="12"/>
                <w:szCs w:val="12"/>
                <w:color w:val="auto"/>
              </w:rPr>
            </w:pPr>
          </w:p>
        </w:tc>
        <w:tc>
          <w:tcPr>
            <w:tcW w:w="100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3200" w:type="dxa"/>
            <w:vAlign w:val="bottom"/>
            <w:gridSpan w:val="2"/>
            <w:vMerge w:val="restart"/>
          </w:tcPr>
          <w:p>
            <w:pPr>
              <w:ind w:left="700"/>
              <w:spacing w:after="0"/>
              <w:rPr>
                <w:sz w:val="20"/>
                <w:szCs w:val="20"/>
                <w:color w:val="auto"/>
              </w:rPr>
            </w:pPr>
            <w:r>
              <w:rPr>
                <w:rFonts w:ascii="Arial" w:cs="Arial" w:eastAsia="Arial" w:hAnsi="Arial"/>
                <w:sz w:val="13"/>
                <w:szCs w:val="13"/>
                <w:b w:val="1"/>
                <w:bCs w:val="1"/>
                <w:color w:val="auto"/>
              </w:rPr>
              <w:t>(In thousands, except share data)</w:t>
            </w:r>
          </w:p>
        </w:tc>
        <w:tc>
          <w:tcPr>
            <w:tcW w:w="1120" w:type="dxa"/>
            <w:vAlign w:val="bottom"/>
            <w:tcBorders>
              <w:left w:val="single" w:sz="8" w:color="auto"/>
            </w:tcBorders>
            <w:vMerge w:val="restart"/>
          </w:tcPr>
          <w:p>
            <w:pPr>
              <w:jc w:val="right"/>
              <w:ind w:right="317"/>
              <w:spacing w:after="0"/>
              <w:rPr>
                <w:sz w:val="20"/>
                <w:szCs w:val="20"/>
                <w:color w:val="auto"/>
              </w:rPr>
            </w:pPr>
            <w:r>
              <w:rPr>
                <w:rFonts w:ascii="Arial" w:cs="Arial" w:eastAsia="Arial" w:hAnsi="Arial"/>
                <w:sz w:val="13"/>
                <w:szCs w:val="13"/>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paid-in</w:t>
            </w:r>
          </w:p>
        </w:tc>
        <w:tc>
          <w:tcPr>
            <w:tcW w:w="160" w:type="dxa"/>
            <w:vAlign w:val="bottom"/>
          </w:tcPr>
          <w:p>
            <w:pPr>
              <w:spacing w:after="0"/>
              <w:rPr>
                <w:sz w:val="12"/>
                <w:szCs w:val="12"/>
                <w:color w:val="auto"/>
              </w:rPr>
            </w:pP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2"/>
                <w:szCs w:val="12"/>
                <w:color w:val="auto"/>
              </w:rPr>
            </w:pPr>
          </w:p>
        </w:tc>
        <w:tc>
          <w:tcPr>
            <w:tcW w:w="1020" w:type="dxa"/>
            <w:vAlign w:val="bottom"/>
          </w:tcPr>
          <w:p>
            <w:pPr>
              <w:jc w:val="center"/>
              <w:ind w:right="77"/>
              <w:spacing w:after="0"/>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2"/>
                <w:szCs w:val="12"/>
                <w:color w:val="auto"/>
              </w:rPr>
            </w:pPr>
          </w:p>
        </w:tc>
        <w:tc>
          <w:tcPr>
            <w:tcW w:w="104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consolidated</w:t>
            </w:r>
          </w:p>
        </w:tc>
        <w:tc>
          <w:tcPr>
            <w:tcW w:w="160" w:type="dxa"/>
            <w:vAlign w:val="bottom"/>
          </w:tcPr>
          <w:p>
            <w:pPr>
              <w:spacing w:after="0"/>
              <w:rPr>
                <w:sz w:val="12"/>
                <w:szCs w:val="12"/>
                <w:color w:val="auto"/>
              </w:rPr>
            </w:pPr>
          </w:p>
        </w:tc>
        <w:tc>
          <w:tcPr>
            <w:tcW w:w="1000" w:type="dxa"/>
            <w:vAlign w:val="bottom"/>
          </w:tcPr>
          <w:p>
            <w:pPr>
              <w:jc w:val="center"/>
              <w:ind w:right="97"/>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gridSpan w:val="2"/>
            <w:vMerge w:val="continue"/>
          </w:tcPr>
          <w:p>
            <w:pPr>
              <w:spacing w:after="0"/>
              <w:rPr>
                <w:sz w:val="15"/>
                <w:szCs w:val="15"/>
                <w:color w:val="auto"/>
              </w:rPr>
            </w:pPr>
          </w:p>
        </w:tc>
        <w:tc>
          <w:tcPr>
            <w:tcW w:w="1120" w:type="dxa"/>
            <w:vAlign w:val="bottom"/>
            <w:tcBorders>
              <w:left w:val="single" w:sz="8" w:color="auto"/>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subsidiary</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Balances at December 31, 2022</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135,365,381</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442,887</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425,546</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w w:val="98"/>
              </w:rPr>
              <w:t>Shares issued in connection with employee stock plans</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283,856</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203</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Shares of Common Stock withheld related to net share</w:t>
            </w:r>
          </w:p>
        </w:tc>
        <w:tc>
          <w:tcPr>
            <w:tcW w:w="1120" w:type="dxa"/>
            <w:vAlign w:val="bottom"/>
            <w:tcBorders>
              <w:lef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(5,182)</w:t>
            </w:r>
          </w:p>
        </w:tc>
        <w:tc>
          <w:tcPr>
            <w:tcW w:w="86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settlement</w:t>
            </w:r>
          </w:p>
        </w:tc>
        <w:tc>
          <w:tcPr>
            <w:tcW w:w="1120" w:type="dxa"/>
            <w:vAlign w:val="bottom"/>
            <w:tcBorders>
              <w:left w:val="single" w:sz="8" w:color="auto"/>
            </w:tcBorders>
            <w:vMerge w:val="continue"/>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4,699</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4,699</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Unrealized gain on marketable securities</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 adjustment, net of tax</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(6,807)</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(6,807)</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Noncontrolling interest</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(251)</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29"/>
        </w:trPr>
        <w:tc>
          <w:tcPr>
            <w:tcW w:w="3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2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Balances at March 31, 2023</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135,644,055</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447,748</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(23,837)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423,460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3"/>
                <w:szCs w:val="13"/>
                <w:color w:val="auto"/>
                <w:w w:val="98"/>
              </w:rPr>
              <w:t>Shares issued in connection with employee stock plans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gridSpan w:val="2"/>
            <w:vMerge w:val="continue"/>
          </w:tcPr>
          <w:p>
            <w:pPr>
              <w:spacing w:after="0"/>
              <w:rPr>
                <w:sz w:val="12"/>
                <w:szCs w:val="12"/>
                <w:color w:val="auto"/>
              </w:rPr>
            </w:pPr>
          </w:p>
        </w:tc>
        <w:tc>
          <w:tcPr>
            <w:tcW w:w="1120" w:type="dxa"/>
            <w:vAlign w:val="bottom"/>
            <w:tcBorders>
              <w:left w:val="single" w:sz="8" w:color="auto"/>
            </w:tcBorders>
          </w:tcPr>
          <w:p>
            <w:pPr>
              <w:jc w:val="right"/>
              <w:spacing w:after="0" w:line="147" w:lineRule="exact"/>
              <w:rPr>
                <w:sz w:val="20"/>
                <w:szCs w:val="20"/>
                <w:color w:val="auto"/>
              </w:rPr>
            </w:pPr>
            <w:r>
              <w:rPr>
                <w:rFonts w:ascii="Arial" w:cs="Arial" w:eastAsia="Arial" w:hAnsi="Arial"/>
                <w:sz w:val="13"/>
                <w:szCs w:val="13"/>
                <w:color w:val="auto"/>
              </w:rPr>
              <w:t>697,670</w:t>
            </w:r>
          </w:p>
        </w:tc>
        <w:tc>
          <w:tcPr>
            <w:tcW w:w="860" w:type="dxa"/>
            <w:vAlign w:val="bottom"/>
          </w:tcPr>
          <w:p>
            <w:pPr>
              <w:spacing w:after="0"/>
              <w:rPr>
                <w:sz w:val="12"/>
                <w:szCs w:val="12"/>
                <w:color w:val="auto"/>
              </w:rPr>
            </w:pPr>
          </w:p>
        </w:tc>
        <w:tc>
          <w:tcPr>
            <w:tcW w:w="3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483</w:t>
            </w:r>
          </w:p>
        </w:tc>
        <w:tc>
          <w:tcPr>
            <w:tcW w:w="16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Proceeds from Employee Stock Purchase Plan</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145,569</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0" w:type="dxa"/>
            <w:vAlign w:val="bottom"/>
          </w:tcPr>
          <w:p>
            <w:pPr>
              <w:spacing w:after="0"/>
              <w:rPr>
                <w:sz w:val="1"/>
                <w:szCs w:val="1"/>
                <w:color w:val="auto"/>
              </w:rPr>
            </w:pPr>
          </w:p>
        </w:tc>
      </w:tr>
      <w:tr>
        <w:trPr>
          <w:trHeight w:val="161"/>
        </w:trPr>
        <w:tc>
          <w:tcPr>
            <w:tcW w:w="3200" w:type="dxa"/>
            <w:vAlign w:val="bottom"/>
            <w:gridSpan w:val="2"/>
          </w:tcPr>
          <w:p>
            <w:pPr>
              <w:ind w:left="20"/>
              <w:spacing w:after="0"/>
              <w:rPr>
                <w:sz w:val="20"/>
                <w:szCs w:val="20"/>
                <w:color w:val="auto"/>
              </w:rPr>
            </w:pPr>
            <w:r>
              <w:rPr>
                <w:rFonts w:ascii="Arial" w:cs="Arial" w:eastAsia="Arial" w:hAnsi="Arial"/>
                <w:sz w:val="13"/>
                <w:szCs w:val="13"/>
                <w:color w:val="auto"/>
                <w:w w:val="99"/>
              </w:rPr>
              <w:t>Shares of Common Stock withheld related to net share</w:t>
            </w:r>
          </w:p>
        </w:tc>
        <w:tc>
          <w:tcPr>
            <w:tcW w:w="1120" w:type="dxa"/>
            <w:vAlign w:val="bottom"/>
            <w:tcBorders>
              <w:left w:val="single" w:sz="8" w:color="auto"/>
            </w:tcBorders>
            <w:vMerge w:val="restart"/>
          </w:tcPr>
          <w:p>
            <w:pPr>
              <w:jc w:val="right"/>
              <w:spacing w:after="0"/>
              <w:rPr>
                <w:sz w:val="20"/>
                <w:szCs w:val="20"/>
                <w:color w:val="auto"/>
              </w:rPr>
            </w:pPr>
            <w:r>
              <w:rPr>
                <w:rFonts w:ascii="Arial" w:cs="Arial" w:eastAsia="Arial" w:hAnsi="Arial"/>
                <w:sz w:val="13"/>
                <w:szCs w:val="13"/>
                <w:color w:val="auto"/>
              </w:rPr>
              <w:t>(16,604)</w:t>
            </w:r>
          </w:p>
        </w:tc>
        <w:tc>
          <w:tcPr>
            <w:tcW w:w="86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(111)</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68"/>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settlement</w:t>
            </w:r>
          </w:p>
        </w:tc>
        <w:tc>
          <w:tcPr>
            <w:tcW w:w="1120" w:type="dxa"/>
            <w:vAlign w:val="bottom"/>
            <w:tcBorders>
              <w:left w:val="single" w:sz="8" w:color="auto"/>
            </w:tcBorders>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Repurchase of shares</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(125,782)</w:t>
            </w: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(981)</w:t>
            </w: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(981)</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5,922</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5,922</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Unrealized loss on marketable securities</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 adjustment, net of tax</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(980)</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(980)</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(4,388)</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(4,388)</w:t>
            </w:r>
          </w:p>
        </w:tc>
        <w:tc>
          <w:tcPr>
            <w:tcW w:w="0" w:type="dxa"/>
            <w:vAlign w:val="bottom"/>
          </w:tcPr>
          <w:p>
            <w:pPr>
              <w:spacing w:after="0"/>
              <w:rPr>
                <w:sz w:val="1"/>
                <w:szCs w:val="1"/>
                <w:color w:val="auto"/>
              </w:rPr>
            </w:pPr>
          </w:p>
        </w:tc>
      </w:tr>
      <w:tr>
        <w:trPr>
          <w:trHeight w:val="167"/>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Balances at June 30, 2023</w:t>
            </w:r>
          </w:p>
        </w:tc>
        <w:tc>
          <w:tcPr>
            <w:tcW w:w="11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3"/>
                <w:szCs w:val="13"/>
                <w:color w:val="auto"/>
              </w:rPr>
              <w:t>136,344,908</w:t>
            </w:r>
          </w:p>
        </w:tc>
        <w:tc>
          <w:tcPr>
            <w:tcW w:w="860" w:type="dxa"/>
            <w:vAlign w:val="bottom"/>
            <w:tcBorders>
              <w:top w:val="single" w:sz="8" w:color="auto"/>
            </w:tcBorders>
          </w:tcPr>
          <w:p>
            <w:pPr>
              <w:jc w:val="right"/>
              <w:ind w:right="71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136</w:t>
            </w: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454,027</w:t>
            </w: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(28,225)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(1,759)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424,179</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8"/>
              </w:rPr>
              <w:t>Shares issued in connection with employee stock plans</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373,649</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61"/>
        </w:trPr>
        <w:tc>
          <w:tcPr>
            <w:tcW w:w="3200" w:type="dxa"/>
            <w:vAlign w:val="bottom"/>
            <w:gridSpan w:val="2"/>
          </w:tcPr>
          <w:p>
            <w:pPr>
              <w:ind w:left="20"/>
              <w:spacing w:after="0"/>
              <w:rPr>
                <w:sz w:val="20"/>
                <w:szCs w:val="20"/>
                <w:color w:val="auto"/>
              </w:rPr>
            </w:pPr>
            <w:r>
              <w:rPr>
                <w:rFonts w:ascii="Arial" w:cs="Arial" w:eastAsia="Arial" w:hAnsi="Arial"/>
                <w:sz w:val="13"/>
                <w:szCs w:val="13"/>
                <w:color w:val="auto"/>
                <w:w w:val="99"/>
              </w:rPr>
              <w:t>Shares of Common Stock withheld related to net share</w:t>
            </w:r>
          </w:p>
        </w:tc>
        <w:tc>
          <w:tcPr>
            <w:tcW w:w="1120" w:type="dxa"/>
            <w:vAlign w:val="bottom"/>
            <w:tcBorders>
              <w:left w:val="single" w:sz="8" w:color="auto"/>
            </w:tcBorders>
            <w:vMerge w:val="restart"/>
          </w:tcPr>
          <w:p>
            <w:pPr>
              <w:jc w:val="right"/>
              <w:spacing w:after="0"/>
              <w:rPr>
                <w:sz w:val="20"/>
                <w:szCs w:val="20"/>
                <w:color w:val="auto"/>
              </w:rPr>
            </w:pPr>
            <w:r>
              <w:rPr>
                <w:rFonts w:ascii="Arial" w:cs="Arial" w:eastAsia="Arial" w:hAnsi="Arial"/>
                <w:sz w:val="13"/>
                <w:szCs w:val="13"/>
                <w:color w:val="auto"/>
              </w:rPr>
              <w:t>(17,665)</w:t>
            </w:r>
          </w:p>
        </w:tc>
        <w:tc>
          <w:tcPr>
            <w:tcW w:w="86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(149)</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68"/>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settlement</w:t>
            </w:r>
          </w:p>
        </w:tc>
        <w:tc>
          <w:tcPr>
            <w:tcW w:w="1120" w:type="dxa"/>
            <w:vAlign w:val="bottom"/>
            <w:tcBorders>
              <w:left w:val="single" w:sz="8" w:color="auto"/>
            </w:tcBorders>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Repurchase of shares</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(1,155,229)</w:t>
            </w: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(8,428)</w:t>
            </w: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(8,428)</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5,758</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5,758</w:t>
            </w:r>
          </w:p>
        </w:tc>
        <w:tc>
          <w:tcPr>
            <w:tcW w:w="0" w:type="dxa"/>
            <w:vAlign w:val="bottom"/>
          </w:tcPr>
          <w:p>
            <w:pPr>
              <w:spacing w:after="0"/>
              <w:rPr>
                <w:sz w:val="1"/>
                <w:szCs w:val="1"/>
                <w:color w:val="auto"/>
              </w:rPr>
            </w:pPr>
          </w:p>
        </w:tc>
      </w:tr>
      <w:tr>
        <w:trPr>
          <w:trHeight w:val="30"/>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Unrealized gain on marketable securities</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 adjustment, net of tax</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30"/>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(6,456)</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(6,456)</w:t>
            </w:r>
          </w:p>
        </w:tc>
        <w:tc>
          <w:tcPr>
            <w:tcW w:w="0" w:type="dxa"/>
            <w:vAlign w:val="bottom"/>
          </w:tcPr>
          <w:p>
            <w:pPr>
              <w:spacing w:after="0"/>
              <w:rPr>
                <w:sz w:val="1"/>
                <w:szCs w:val="1"/>
                <w:color w:val="auto"/>
              </w:rPr>
            </w:pPr>
          </w:p>
        </w:tc>
      </w:tr>
      <w:tr>
        <w:trPr>
          <w:trHeight w:val="167"/>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Balances at September 30, 2023</w:t>
            </w:r>
          </w:p>
        </w:tc>
        <w:tc>
          <w:tcPr>
            <w:tcW w:w="11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3"/>
                <w:szCs w:val="13"/>
                <w:color w:val="auto"/>
              </w:rPr>
              <w:t>135,545,663</w:t>
            </w:r>
          </w:p>
        </w:tc>
        <w:tc>
          <w:tcPr>
            <w:tcW w:w="860" w:type="dxa"/>
            <w:vAlign w:val="bottom"/>
            <w:tcBorders>
              <w:top w:val="single" w:sz="8" w:color="auto"/>
            </w:tcBorders>
          </w:tcPr>
          <w:p>
            <w:pPr>
              <w:jc w:val="right"/>
              <w:ind w:right="71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136</w:t>
            </w: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451,648</w:t>
            </w: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(34,681)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415,524</w:t>
            </w:r>
          </w:p>
        </w:tc>
        <w:tc>
          <w:tcPr>
            <w:tcW w:w="0" w:type="dxa"/>
            <w:vAlign w:val="bottom"/>
          </w:tcPr>
          <w:p>
            <w:pPr>
              <w:spacing w:after="0"/>
              <w:rPr>
                <w:sz w:val="1"/>
                <w:szCs w:val="1"/>
                <w:color w:val="auto"/>
              </w:rPr>
            </w:pPr>
          </w:p>
        </w:tc>
      </w:tr>
      <w:tr>
        <w:trPr>
          <w:trHeight w:val="30"/>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left w:val="single" w:sz="8" w:color="auto"/>
              <w:bottom w:val="single" w:sz="8" w:color="auto"/>
            </w:tcBorders>
            <w:gridSpan w:val="2"/>
          </w:tcPr>
          <w:p>
            <w:pPr>
              <w:jc w:val="right"/>
              <w:ind w:right="37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lef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117"/>
              <w:spacing w:after="0" w:line="144" w:lineRule="exact"/>
              <w:rPr>
                <w:sz w:val="20"/>
                <w:szCs w:val="20"/>
                <w:color w:val="auto"/>
              </w:rPr>
            </w:pPr>
            <w:r>
              <w:rPr>
                <w:rFonts w:ascii="Arial" w:cs="Arial" w:eastAsia="Arial" w:hAnsi="Arial"/>
                <w:sz w:val="13"/>
                <w:szCs w:val="13"/>
                <w:b w:val="1"/>
                <w:bCs w:val="1"/>
                <w:color w:val="auto"/>
                <w:w w:val="90"/>
              </w:rPr>
              <w:t>Noncontrolling</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lef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Accumulated other</w:t>
            </w:r>
          </w:p>
        </w:tc>
        <w:tc>
          <w:tcPr>
            <w:tcW w:w="120" w:type="dxa"/>
            <w:vAlign w:val="bottom"/>
          </w:tcPr>
          <w:p>
            <w:pPr>
              <w:spacing w:after="0"/>
              <w:rPr>
                <w:sz w:val="11"/>
                <w:szCs w:val="11"/>
                <w:color w:val="auto"/>
              </w:rPr>
            </w:pPr>
          </w:p>
        </w:tc>
        <w:tc>
          <w:tcPr>
            <w:tcW w:w="10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interest in</w:t>
            </w:r>
          </w:p>
        </w:tc>
        <w:tc>
          <w:tcPr>
            <w:tcW w:w="160" w:type="dxa"/>
            <w:vAlign w:val="bottom"/>
          </w:tcPr>
          <w:p>
            <w:pPr>
              <w:spacing w:after="0"/>
              <w:rPr>
                <w:sz w:val="11"/>
                <w:szCs w:val="11"/>
                <w:color w:val="auto"/>
              </w:rPr>
            </w:pPr>
          </w:p>
        </w:tc>
        <w:tc>
          <w:tcPr>
            <w:tcW w:w="10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lef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37"/>
              <w:spacing w:after="0"/>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2"/>
                <w:szCs w:val="12"/>
                <w:color w:val="auto"/>
              </w:rPr>
            </w:pP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2"/>
                <w:szCs w:val="12"/>
                <w:color w:val="auto"/>
              </w:rPr>
            </w:pPr>
          </w:p>
        </w:tc>
        <w:tc>
          <w:tcPr>
            <w:tcW w:w="1040" w:type="dxa"/>
            <w:vAlign w:val="bottom"/>
          </w:tcPr>
          <w:p>
            <w:pPr>
              <w:jc w:val="center"/>
              <w:ind w:right="97"/>
              <w:spacing w:after="0"/>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2"/>
                <w:szCs w:val="12"/>
                <w:color w:val="auto"/>
              </w:rPr>
            </w:pPr>
          </w:p>
        </w:tc>
        <w:tc>
          <w:tcPr>
            <w:tcW w:w="104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consolidated</w:t>
            </w:r>
          </w:p>
        </w:tc>
        <w:tc>
          <w:tcPr>
            <w:tcW w:w="160" w:type="dxa"/>
            <w:vAlign w:val="bottom"/>
          </w:tcPr>
          <w:p>
            <w:pPr>
              <w:spacing w:after="0"/>
              <w:rPr>
                <w:sz w:val="12"/>
                <w:szCs w:val="12"/>
                <w:color w:val="auto"/>
              </w:rPr>
            </w:pPr>
          </w:p>
        </w:tc>
        <w:tc>
          <w:tcPr>
            <w:tcW w:w="1000" w:type="dxa"/>
            <w:vAlign w:val="bottom"/>
          </w:tcPr>
          <w:p>
            <w:pPr>
              <w:jc w:val="center"/>
              <w:ind w:right="97"/>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87"/>
        </w:trPr>
        <w:tc>
          <w:tcPr>
            <w:tcW w:w="3200" w:type="dxa"/>
            <w:vAlign w:val="bottom"/>
            <w:tcBorders>
              <w:bottom w:val="single" w:sz="8" w:color="CCEEFF"/>
            </w:tcBorders>
            <w:gridSpan w:val="2"/>
          </w:tcPr>
          <w:p>
            <w:pPr>
              <w:ind w:left="700"/>
              <w:spacing w:after="0"/>
              <w:rPr>
                <w:sz w:val="20"/>
                <w:szCs w:val="20"/>
                <w:color w:val="auto"/>
              </w:rPr>
            </w:pPr>
            <w:r>
              <w:rPr>
                <w:rFonts w:ascii="Arial" w:cs="Arial" w:eastAsia="Arial" w:hAnsi="Arial"/>
                <w:sz w:val="13"/>
                <w:szCs w:val="13"/>
                <w:b w:val="1"/>
                <w:bCs w:val="1"/>
                <w:color w:val="auto"/>
              </w:rPr>
              <w:t>(In thousands, except share data)</w:t>
            </w:r>
          </w:p>
        </w:tc>
        <w:tc>
          <w:tcPr>
            <w:tcW w:w="1120" w:type="dxa"/>
            <w:vAlign w:val="bottom"/>
            <w:tcBorders>
              <w:left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Shares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subsidiary</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Balances at December 31, 2021</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133,749,663</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423,625</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(19,606)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405,385</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Exercise of stock options</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493,267</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356</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3,837</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3,837</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 adjustment, net of tax</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Noncontrolling interest</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9"/>
        </w:trPr>
        <w:tc>
          <w:tcPr>
            <w:tcW w:w="3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2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Balances at March 31, 2022</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134,242,930</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427,818</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(21,627)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407,442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3"/>
                <w:szCs w:val="13"/>
                <w:color w:val="auto"/>
                <w:w w:val="98"/>
              </w:rPr>
              <w:t>Shares issued in connection with employee stock plans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gridSpan w:val="2"/>
            <w:vMerge w:val="continue"/>
          </w:tcPr>
          <w:p>
            <w:pPr>
              <w:spacing w:after="0"/>
              <w:rPr>
                <w:sz w:val="12"/>
                <w:szCs w:val="12"/>
                <w:color w:val="auto"/>
              </w:rPr>
            </w:pPr>
          </w:p>
        </w:tc>
        <w:tc>
          <w:tcPr>
            <w:tcW w:w="1120" w:type="dxa"/>
            <w:vAlign w:val="bottom"/>
            <w:tcBorders>
              <w:left w:val="single" w:sz="8" w:color="auto"/>
            </w:tcBorders>
          </w:tcPr>
          <w:p>
            <w:pPr>
              <w:jc w:val="right"/>
              <w:spacing w:after="0" w:line="147" w:lineRule="exact"/>
              <w:rPr>
                <w:sz w:val="20"/>
                <w:szCs w:val="20"/>
                <w:color w:val="auto"/>
              </w:rPr>
            </w:pPr>
            <w:r>
              <w:rPr>
                <w:rFonts w:ascii="Arial" w:cs="Arial" w:eastAsia="Arial" w:hAnsi="Arial"/>
                <w:sz w:val="13"/>
                <w:szCs w:val="13"/>
                <w:color w:val="auto"/>
              </w:rPr>
              <w:t>365,649</w:t>
            </w:r>
          </w:p>
        </w:tc>
        <w:tc>
          <w:tcPr>
            <w:tcW w:w="860" w:type="dxa"/>
            <w:vAlign w:val="bottom"/>
          </w:tcPr>
          <w:p>
            <w:pPr>
              <w:spacing w:after="0"/>
              <w:rPr>
                <w:sz w:val="12"/>
                <w:szCs w:val="12"/>
                <w:color w:val="auto"/>
              </w:rPr>
            </w:pPr>
          </w:p>
        </w:tc>
        <w:tc>
          <w:tcPr>
            <w:tcW w:w="300" w:type="dxa"/>
            <w:vAlign w:val="bottom"/>
          </w:tcPr>
          <w:p>
            <w:pPr>
              <w:jc w:val="right"/>
              <w:spacing w:after="0" w:line="147" w:lineRule="exact"/>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1,204</w:t>
            </w:r>
          </w:p>
        </w:tc>
        <w:tc>
          <w:tcPr>
            <w:tcW w:w="16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Shares of Common Stock withheld related to net share</w:t>
            </w:r>
          </w:p>
        </w:tc>
        <w:tc>
          <w:tcPr>
            <w:tcW w:w="1120" w:type="dxa"/>
            <w:vAlign w:val="bottom"/>
            <w:tcBorders>
              <w:lef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(6,908)</w:t>
            </w:r>
          </w:p>
        </w:tc>
        <w:tc>
          <w:tcPr>
            <w:tcW w:w="86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settlement</w:t>
            </w:r>
          </w:p>
        </w:tc>
        <w:tc>
          <w:tcPr>
            <w:tcW w:w="1120" w:type="dxa"/>
            <w:vAlign w:val="bottom"/>
            <w:tcBorders>
              <w:left w:val="single" w:sz="8" w:color="auto"/>
            </w:tcBorders>
            <w:vMerge w:val="continue"/>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3,934</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3,934</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Foreign currency translation adjustment, net of tax</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(683)</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(598)</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67"/>
        </w:trPr>
        <w:tc>
          <w:tcPr>
            <w:tcW w:w="3200" w:type="dxa"/>
            <w:vAlign w:val="bottom"/>
            <w:tcBorders>
              <w:top w:val="single" w:sz="8" w:color="CCEEFF"/>
            </w:tcBorders>
            <w:gridSpan w:val="2"/>
          </w:tcPr>
          <w:p>
            <w:pPr>
              <w:ind w:left="20"/>
              <w:spacing w:after="0"/>
              <w:rPr>
                <w:sz w:val="20"/>
                <w:szCs w:val="20"/>
                <w:color w:val="auto"/>
              </w:rPr>
            </w:pPr>
            <w:r>
              <w:rPr>
                <w:rFonts w:ascii="Arial" w:cs="Arial" w:eastAsia="Arial" w:hAnsi="Arial"/>
                <w:sz w:val="13"/>
                <w:szCs w:val="13"/>
                <w:color w:val="auto"/>
              </w:rPr>
              <w:t>Balances at June 30, 2022</w:t>
            </w:r>
          </w:p>
        </w:tc>
        <w:tc>
          <w:tcPr>
            <w:tcW w:w="11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3"/>
                <w:szCs w:val="13"/>
                <w:color w:val="auto"/>
              </w:rPr>
              <w:t>134,601,671</w:t>
            </w:r>
          </w:p>
        </w:tc>
        <w:tc>
          <w:tcPr>
            <w:tcW w:w="860" w:type="dxa"/>
            <w:vAlign w:val="bottom"/>
            <w:tcBorders>
              <w:top w:val="single" w:sz="8" w:color="auto"/>
            </w:tcBorders>
          </w:tcPr>
          <w:p>
            <w:pPr>
              <w:jc w:val="right"/>
              <w:ind w:right="71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432,889</w:t>
            </w: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(22,225)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411,129</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8"/>
              </w:rPr>
              <w:t>Shares issued in connection with employee stock plans</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252,496</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61"/>
        </w:trPr>
        <w:tc>
          <w:tcPr>
            <w:tcW w:w="3200" w:type="dxa"/>
            <w:vAlign w:val="bottom"/>
            <w:gridSpan w:val="2"/>
          </w:tcPr>
          <w:p>
            <w:pPr>
              <w:ind w:left="20"/>
              <w:spacing w:after="0"/>
              <w:rPr>
                <w:sz w:val="20"/>
                <w:szCs w:val="20"/>
                <w:color w:val="auto"/>
              </w:rPr>
            </w:pPr>
            <w:r>
              <w:rPr>
                <w:rFonts w:ascii="Arial" w:cs="Arial" w:eastAsia="Arial" w:hAnsi="Arial"/>
                <w:sz w:val="13"/>
                <w:szCs w:val="13"/>
                <w:color w:val="auto"/>
                <w:w w:val="99"/>
              </w:rPr>
              <w:t>Shares of Common Stock withheld related to net share</w:t>
            </w:r>
          </w:p>
        </w:tc>
        <w:tc>
          <w:tcPr>
            <w:tcW w:w="1120" w:type="dxa"/>
            <w:vAlign w:val="bottom"/>
            <w:tcBorders>
              <w:left w:val="single" w:sz="8" w:color="auto"/>
            </w:tcBorders>
            <w:vMerge w:val="restart"/>
          </w:tcPr>
          <w:p>
            <w:pPr>
              <w:jc w:val="right"/>
              <w:spacing w:after="0"/>
              <w:rPr>
                <w:sz w:val="20"/>
                <w:szCs w:val="20"/>
                <w:color w:val="auto"/>
              </w:rPr>
            </w:pPr>
            <w:r>
              <w:rPr>
                <w:rFonts w:ascii="Arial" w:cs="Arial" w:eastAsia="Arial" w:hAnsi="Arial"/>
                <w:sz w:val="13"/>
                <w:szCs w:val="13"/>
                <w:color w:val="auto"/>
              </w:rPr>
              <w:t>(5,028)</w:t>
            </w:r>
          </w:p>
        </w:tc>
        <w:tc>
          <w:tcPr>
            <w:tcW w:w="86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68"/>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settlement</w:t>
            </w:r>
          </w:p>
        </w:tc>
        <w:tc>
          <w:tcPr>
            <w:tcW w:w="1120" w:type="dxa"/>
            <w:vAlign w:val="bottom"/>
            <w:tcBorders>
              <w:left w:val="single" w:sz="8" w:color="auto"/>
            </w:tcBorders>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4,359</w:t>
            </w: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4,359</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 adjustment, net of tax</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(758)</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1,666</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1,666</w:t>
            </w:r>
          </w:p>
        </w:tc>
        <w:tc>
          <w:tcPr>
            <w:tcW w:w="0" w:type="dxa"/>
            <w:vAlign w:val="bottom"/>
          </w:tcPr>
          <w:p>
            <w:pPr>
              <w:spacing w:after="0"/>
              <w:rPr>
                <w:sz w:val="1"/>
                <w:szCs w:val="1"/>
                <w:color w:val="auto"/>
              </w:rPr>
            </w:pPr>
          </w:p>
        </w:tc>
      </w:tr>
      <w:tr>
        <w:trPr>
          <w:trHeight w:val="17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Noncontrolling interest</w:t>
            </w:r>
          </w:p>
        </w:tc>
        <w:tc>
          <w:tcPr>
            <w:tcW w:w="112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9"/>
        </w:trPr>
        <w:tc>
          <w:tcPr>
            <w:tcW w:w="3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2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Balances at September 30, 2022</w:t>
            </w:r>
          </w:p>
        </w:tc>
        <w:tc>
          <w:tcPr>
            <w:tcW w:w="112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134,849,139</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437,401</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(20,559)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416,509</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548"/>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29"/>
        </w:trPr>
        <w:tc>
          <w:tcPr>
            <w:tcW w:w="81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7"/>
        </w:trPr>
        <w:tc>
          <w:tcPr>
            <w:tcW w:w="81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Arial" w:cs="Arial" w:eastAsia="Arial" w:hAnsi="Arial"/>
                <w:sz w:val="13"/>
                <w:szCs w:val="13"/>
                <w:b w:val="1"/>
                <w:bCs w:val="1"/>
                <w:color w:val="auto"/>
              </w:rPr>
              <w:t>2022</w:t>
            </w:r>
          </w:p>
        </w:tc>
      </w:tr>
      <w:tr>
        <w:trPr>
          <w:trHeight w:val="29"/>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0"/>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(17,651)</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(1,234)</w:t>
            </w: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1"/>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1,731</w:t>
            </w: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Amortization of operating lease-right-of use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2,064</w:t>
            </w:r>
          </w:p>
        </w:tc>
      </w:tr>
      <w:tr>
        <w:trPr>
          <w:trHeight w:val="190"/>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12,130</w:t>
            </w: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Loss on disposal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Increase in accounts receivable allowance for credit losses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Provision for excess and obsolete inventory</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w:t>
            </w:r>
          </w:p>
        </w:tc>
      </w:tr>
      <w:tr>
        <w:trPr>
          <w:trHeight w:val="190"/>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Gain on investments, accretion, and amortization,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Interest expenses for accretion of the legal settlement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1,611</w:t>
            </w:r>
          </w:p>
        </w:tc>
      </w:tr>
      <w:tr>
        <w:trPr>
          <w:trHeight w:val="190"/>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Change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Trade accounts receivable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(11,780)</w:t>
            </w:r>
          </w:p>
        </w:tc>
      </w:tr>
      <w:tr>
        <w:trPr>
          <w:trHeight w:val="190"/>
        </w:trPr>
        <w:tc>
          <w:tcPr>
            <w:tcW w:w="8180" w:type="dxa"/>
            <w:vAlign w:val="bottom"/>
            <w:gridSpan w:val="2"/>
          </w:tcPr>
          <w:p>
            <w:pPr>
              <w:ind w:left="36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(19,537)</w:t>
            </w: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(15,035)</w:t>
            </w:r>
          </w:p>
        </w:tc>
      </w:tr>
      <w:tr>
        <w:trPr>
          <w:trHeight w:val="190"/>
        </w:trPr>
        <w:tc>
          <w:tcPr>
            <w:tcW w:w="8180" w:type="dxa"/>
            <w:vAlign w:val="bottom"/>
            <w:gridSpan w:val="2"/>
          </w:tcPr>
          <w:p>
            <w:pPr>
              <w:ind w:left="360"/>
              <w:spacing w:after="0"/>
              <w:rPr>
                <w:sz w:val="20"/>
                <w:szCs w:val="20"/>
                <w:color w:val="auto"/>
              </w:rPr>
            </w:pPr>
            <w:r>
              <w:rPr>
                <w:rFonts w:ascii="Arial" w:cs="Arial" w:eastAsia="Arial" w:hAnsi="Arial"/>
                <w:sz w:val="14"/>
                <w:szCs w:val="14"/>
                <w:color w:val="auto"/>
              </w:rPr>
              <w:t>Trade 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2,770</w:t>
            </w: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2,828</w:t>
            </w:r>
          </w:p>
        </w:tc>
      </w:tr>
      <w:tr>
        <w:trPr>
          <w:trHeight w:val="190"/>
        </w:trPr>
        <w:tc>
          <w:tcPr>
            <w:tcW w:w="8180" w:type="dxa"/>
            <w:vAlign w:val="bottom"/>
            <w:gridSpan w:val="2"/>
          </w:tcPr>
          <w:p>
            <w:pPr>
              <w:ind w:left="360"/>
              <w:spacing w:after="0"/>
              <w:rPr>
                <w:sz w:val="20"/>
                <w:szCs w:val="20"/>
                <w:color w:val="auto"/>
              </w:rPr>
            </w:pPr>
            <w:r>
              <w:rPr>
                <w:rFonts w:ascii="Arial" w:cs="Arial" w:eastAsia="Arial" w:hAnsi="Arial"/>
                <w:sz w:val="14"/>
                <w:szCs w:val="14"/>
                <w:color w:val="auto"/>
              </w:rPr>
              <w:t>Legal settlement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478</w:t>
            </w: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Operating lease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r>
      <w:tr>
        <w:trPr>
          <w:trHeight w:val="191"/>
        </w:trPr>
        <w:tc>
          <w:tcPr>
            <w:tcW w:w="8180" w:type="dxa"/>
            <w:vAlign w:val="bottom"/>
            <w:gridSpan w:val="2"/>
          </w:tcPr>
          <w:p>
            <w:pPr>
              <w:ind w:left="360"/>
              <w:spacing w:after="0"/>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6,496</w:t>
            </w:r>
          </w:p>
        </w:tc>
      </w:tr>
      <w:tr>
        <w:trPr>
          <w:trHeight w:val="25"/>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(18,424)</w:t>
            </w:r>
          </w:p>
        </w:tc>
      </w:tr>
      <w:tr>
        <w:trPr>
          <w:trHeight w:val="190"/>
        </w:trPr>
        <w:tc>
          <w:tcPr>
            <w:tcW w:w="818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Purchases of marketable securities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(152,563)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Proceeds from maturities of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Purchase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(3,218)</w:t>
            </w:r>
          </w:p>
        </w:tc>
      </w:tr>
      <w:tr>
        <w:trPr>
          <w:trHeight w:val="191"/>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Acquisition of business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(44,896)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Purchase of intangible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90"/>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Payment of investment</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(1,587)</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Payment for additional investment in Cytek Japan</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180" w:type="dxa"/>
            <w:vAlign w:val="bottom"/>
            <w:gridSpan w:val="2"/>
          </w:tcPr>
          <w:p>
            <w:pPr>
              <w:ind w:left="5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(122,960)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(4,845)</w:t>
            </w:r>
          </w:p>
        </w:tc>
      </w:tr>
      <w:tr>
        <w:trPr>
          <w:trHeight w:val="25"/>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0"/>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Repayment of loan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Employee Stock Purchase Plan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765</w:t>
            </w:r>
          </w:p>
        </w:tc>
      </w:tr>
      <w:tr>
        <w:trPr>
          <w:trHeight w:val="191"/>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issuance of common stock under employee stock plans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1,036</w:t>
            </w:r>
          </w:p>
        </w:tc>
      </w:tr>
      <w:tr>
        <w:trPr>
          <w:trHeight w:val="191"/>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Payments for repurchase of shares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(8,058)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1,663</w:t>
            </w: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 of exchange rate changes on cash, cash equivalents and restricted cash</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(1,489)</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1"/>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(135,871)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(23,095)</w:t>
            </w:r>
          </w:p>
        </w:tc>
      </w:tr>
      <w:tr>
        <w:trPr>
          <w:trHeight w:val="25"/>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299,500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364,618</w:t>
            </w: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163,629</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341,523</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CCEEFF"/>
            </w:tcBorders>
            <w:gridSpan w:val="2"/>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210"/>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Cash paid for taxes</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9,930</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84"/>
        </w:trPr>
        <w:tc>
          <w:tcPr>
            <w:tcW w:w="8180" w:type="dxa"/>
            <w:vAlign w:val="bottom"/>
            <w:gridSpan w:val="2"/>
          </w:tcPr>
          <w:p>
            <w:pPr>
              <w:ind w:left="180"/>
              <w:spacing w:after="0"/>
              <w:rPr>
                <w:sz w:val="20"/>
                <w:szCs w:val="20"/>
                <w:color w:val="auto"/>
              </w:rPr>
            </w:pPr>
            <w:r>
              <w:rPr>
                <w:rFonts w:ascii="Arial" w:cs="Arial" w:eastAsia="Arial" w:hAnsi="Arial"/>
                <w:sz w:val="14"/>
                <w:szCs w:val="14"/>
                <w:color w:val="auto"/>
              </w:rPr>
              <w:t>Fixed asset purchases in accounts payable at period end</w:t>
            </w: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w:t>
            </w: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Intangible asset in accrued expenses at period end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w:t>
      </w:r>
    </w:p>
    <w:p>
      <w:pPr>
        <w:spacing w:after="0" w:line="121"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Cytek Biosciences, Inc. (“Cytek” or the “Company”) is a leading cell analysis solutions company advancing the next generation of cell analysis tools by leveraging novel technical approaches. The Company has focused on becoming the premier cell analysis company through continued innovation that facilitates scientific advances in biomedical research and clinical applications.</w:t>
      </w:r>
    </w:p>
    <w:p>
      <w:pPr>
        <w:spacing w:after="0" w:line="76" w:lineRule="exact"/>
        <w:rPr>
          <w:sz w:val="20"/>
          <w:szCs w:val="20"/>
          <w:color w:val="auto"/>
        </w:rPr>
      </w:pPr>
    </w:p>
    <w:p>
      <w:pPr>
        <w:jc w:val="both"/>
        <w:ind w:firstLine="1134"/>
        <w:spacing w:after="0"/>
        <w:rPr>
          <w:sz w:val="20"/>
          <w:szCs w:val="20"/>
          <w:color w:val="auto"/>
        </w:rPr>
      </w:pPr>
      <w:r>
        <w:rPr>
          <w:rFonts w:ascii="Arial" w:cs="Arial" w:eastAsia="Arial" w:hAnsi="Arial"/>
          <w:sz w:val="17"/>
          <w:szCs w:val="17"/>
          <w:color w:val="auto"/>
        </w:rPr>
        <w:t>The Company has successfully developed and manufactured its full spectrum flow cytometry platform (“instrument(s)” or “product(s)”). The Company believes its core instruments, the Aurora and Northern Lights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w:t>
      </w:r>
      <w:r>
        <w:rPr>
          <w:rFonts w:ascii="Arial" w:cs="Arial" w:eastAsia="Arial" w:hAnsi="Arial"/>
          <w:sz w:val="22"/>
          <w:szCs w:val="22"/>
          <w:color w:val="auto"/>
          <w:vertAlign w:val="superscript"/>
        </w:rPr>
        <w:t>TM</w:t>
      </w:r>
      <w:r>
        <w:rPr>
          <w:rFonts w:ascii="Arial" w:cs="Arial" w:eastAsia="Arial" w:hAnsi="Arial"/>
          <w:sz w:val="17"/>
          <w:szCs w:val="17"/>
          <w:color w:val="auto"/>
        </w:rPr>
        <w:t>” or “FSP</w:t>
      </w:r>
      <w:r>
        <w:rPr>
          <w:rFonts w:ascii="Arial" w:cs="Arial" w:eastAsia="Arial" w:hAnsi="Arial"/>
          <w:sz w:val="22"/>
          <w:szCs w:val="22"/>
          <w:color w:val="auto"/>
          <w:vertAlign w:val="superscript"/>
        </w:rPr>
        <w:t>TM</w:t>
      </w:r>
      <w:r>
        <w:rPr>
          <w:rFonts w:ascii="Arial" w:cs="Arial" w:eastAsia="Arial" w:hAnsi="Arial"/>
          <w:sz w:val="17"/>
          <w:szCs w:val="17"/>
          <w:color w:val="auto"/>
        </w:rPr>
        <w:t>”). The Company’s FSP platform includes instruments, accessories, reagents, software, and services to provide a comprehensive and integrated suite of solutions for its customers.</w:t>
      </w:r>
    </w:p>
    <w:p>
      <w:pPr>
        <w:spacing w:after="0" w:line="96" w:lineRule="exact"/>
        <w:rPr>
          <w:sz w:val="20"/>
          <w:szCs w:val="20"/>
          <w:color w:val="auto"/>
        </w:rPr>
      </w:pPr>
    </w:p>
    <w:p>
      <w:pPr>
        <w:jc w:val="both"/>
        <w:ind w:firstLine="1134"/>
        <w:spacing w:after="0" w:line="215" w:lineRule="auto"/>
        <w:rPr>
          <w:sz w:val="20"/>
          <w:szCs w:val="20"/>
          <w:color w:val="auto"/>
        </w:rPr>
      </w:pPr>
      <w:r>
        <w:rPr>
          <w:rFonts w:ascii="Arial" w:cs="Arial" w:eastAsia="Arial" w:hAnsi="Arial"/>
          <w:sz w:val="18"/>
          <w:szCs w:val="18"/>
          <w:color w:val="auto"/>
        </w:rPr>
        <w:t>On February 28, 2023, the Company completed the acquisition of the flow cytometry and imaging (“FCI”) business unit of Luminex Corporation ("Luminex"), including relating to the business of manufacturing, marketing, selling, servicing and maintaining Amnis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Guava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instruments, and flow cytometry reagent products and services.</w:t>
      </w:r>
    </w:p>
    <w:p>
      <w:pPr>
        <w:spacing w:after="0" w:line="9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Basis of presentation and summary of significant accounting policies</w:t>
      </w:r>
    </w:p>
    <w:p>
      <w:pPr>
        <w:spacing w:after="0" w:line="121"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1134"/>
        <w:spacing w:after="0" w:line="301" w:lineRule="auto"/>
        <w:rPr>
          <w:sz w:val="20"/>
          <w:szCs w:val="20"/>
          <w:color w:val="auto"/>
        </w:rPr>
      </w:pPr>
      <w:r>
        <w:rPr>
          <w:rFonts w:ascii="Arial" w:cs="Arial" w:eastAsia="Arial" w:hAnsi="Arial"/>
          <w:sz w:val="16"/>
          <w:szCs w:val="16"/>
          <w:color w:val="auto"/>
        </w:rPr>
        <w:t>The unaudited interim consolidated financial statements include the accounts of Cytek Biosciences, Inc., its wholly-owned subsidiaries, Cytek Limited (HK), Cytek Biosciences B.V. (Europe), Cytek (Shanghai) Biosciences Co., Ltd., Cytek Biosciences (Wuxi) Co., Ltd., Cytoville Biosciences Shanghai Co., Ltd., Cytek (Shanghai) Software Development Technology Co., Ltd., Cytek Japan Kabushiki Kaisha (“Cytek Japan”), Cytek Biosciences Ltd (UK), and Cytek Biosciences GmbH (Germany). All intercompany accounts and transactions have been eliminated in consolidation.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1134"/>
        <w:spacing w:after="0" w:line="293" w:lineRule="auto"/>
        <w:rPr>
          <w:sz w:val="20"/>
          <w:szCs w:val="20"/>
          <w:color w:val="auto"/>
        </w:rPr>
      </w:pPr>
      <w:r>
        <w:rPr>
          <w:rFonts w:ascii="Arial" w:cs="Arial" w:eastAsia="Arial" w:hAnsi="Arial"/>
          <w:sz w:val="16"/>
          <w:szCs w:val="16"/>
          <w:color w:val="auto"/>
        </w:rPr>
        <w:t>The preparation of the unaudited interim consolidated financial statements in conformity with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17"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17" w:lineRule="exact"/>
        <w:rPr>
          <w:sz w:val="20"/>
          <w:szCs w:val="20"/>
          <w:color w:val="auto"/>
        </w:rPr>
      </w:pPr>
    </w:p>
    <w:p>
      <w:pPr>
        <w:jc w:val="both"/>
        <w:ind w:firstLine="1134"/>
        <w:spacing w:after="0" w:line="301" w:lineRule="auto"/>
        <w:rPr>
          <w:sz w:val="20"/>
          <w:szCs w:val="20"/>
          <w:color w:val="auto"/>
        </w:rPr>
      </w:pPr>
      <w:r>
        <w:rPr>
          <w:rFonts w:ascii="Arial" w:cs="Arial" w:eastAsia="Arial" w:hAnsi="Arial"/>
          <w:sz w:val="16"/>
          <w:szCs w:val="16"/>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income have been translated at the average exchange rate for the year or the reporting period. Translation gains and losses are recorded in accumulated other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62"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The Company’s cash and cash equivalents consist of money held in demand depositary accounts and money market funds. The carrying amount of cash and cash equivalents was $163.6 million and $299.5 million as of September 30, 2023 and December 31, 2022, respectively, which approximates fair value and was determined based upon Level 1 inputs. As of December 31, 2022, the $2.9 million of restricted cash which related to the Wuxi building purchase was released in April 2023.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September 30, 2023.</w:t>
      </w:r>
    </w:p>
    <w:p>
      <w:pPr>
        <w:spacing w:after="0" w:line="87"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The Company classifies restricted cash as current on the accompanying unaudited interim consolidated balance sheets based upon the term of the remaining restrictions.</w:t>
      </w:r>
    </w:p>
    <w:p>
      <w:pPr>
        <w:spacing w:after="0" w:line="6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is a summary of cash, cash equivalents and restricted cash on the consolidated balance sheets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123,371</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U.S. Treasury</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29,930</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19,908</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5,955</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Total cash, cash equivalents and restricted cash as presented on the consolidated statements of cash flows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i w:val="1"/>
          <w:iCs w:val="1"/>
          <w:color w:val="auto"/>
        </w:rPr>
        <w:t xml:space="preserve">Available-for-sale investments. </w:t>
      </w:r>
      <w:r>
        <w:rPr>
          <w:rFonts w:ascii="Arial" w:cs="Arial" w:eastAsia="Arial" w:hAnsi="Arial"/>
          <w:sz w:val="18"/>
          <w:szCs w:val="18"/>
          <w:color w:val="auto"/>
        </w:rPr>
        <w:t>The Company's investments may consist of U.S. treasury and U.S. government agency securities,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notes and bonds, commercial paper, and money market funds. The Company has designated all investments as available-for-sale and, therefore, such investments are reported at fair value, with unrealized gains and losses recorded in accumulated other comprehensive loss.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consolidated statements of operations.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spacing w:after="0" w:line="84"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i w:val="1"/>
          <w:iCs w:val="1"/>
          <w:color w:val="auto"/>
        </w:rPr>
        <w:t xml:space="preserve">Equity Investment. </w:t>
      </w:r>
      <w:r>
        <w:rPr>
          <w:rFonts w:ascii="Arial" w:cs="Arial" w:eastAsia="Arial" w:hAnsi="Arial"/>
          <w:sz w:val="17"/>
          <w:szCs w:val="17"/>
          <w:color w:val="auto"/>
        </w:rPr>
        <w:t>The Company's investment consists of non-marketable equity investments in a privately held company.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consolidated balance sheets and adjustments to their carrying amounts are recorded in other income (expense), net in the consolidated statements of operations. There were no material events or circumstances impacting the carrying amount of our strategic investments during the three months ended September 30,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net</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 Company’s accounts receivable consists principally of amounts due related to product sales of instrument systems and accessories, as well as installation and repair services. These receivables are generally due within 30 to 90 days of the period in which the corresponding sales occur and do not bear interest are classified as trade accounts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20"/>
        <w:spacing w:after="0" w:line="375" w:lineRule="auto"/>
        <w:rPr>
          <w:sz w:val="20"/>
          <w:szCs w:val="20"/>
          <w:color w:val="auto"/>
        </w:rPr>
      </w:pPr>
      <w:r>
        <w:rPr>
          <w:rFonts w:ascii="Arial" w:cs="Arial" w:eastAsia="Arial" w:hAnsi="Arial"/>
          <w:sz w:val="18"/>
          <w:szCs w:val="18"/>
          <w:color w:val="auto"/>
        </w:rPr>
        <w:t xml:space="preserve">receivable, net on the consolidated balance sheets. Trade accounts receivable are reported at their estimated net realizable value. </w:t>
      </w:r>
      <w:r>
        <w:rPr>
          <w:rFonts w:ascii="Arial" w:cs="Arial" w:eastAsia="Arial" w:hAnsi="Arial"/>
          <w:sz w:val="18"/>
          <w:szCs w:val="18"/>
          <w:b w:val="1"/>
          <w:bCs w:val="1"/>
          <w:i w:val="1"/>
          <w:iCs w:val="1"/>
          <w:color w:val="auto"/>
        </w:rPr>
        <w:t>Allowance for uncollectible receivables</w:t>
      </w:r>
    </w:p>
    <w:p>
      <w:pPr>
        <w:spacing w:after="0" w:line="1"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 xml:space="preserve">The Company adopted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Financial Instruments - Credit Losses “), on December 31, 2022, which was retroactively applied as of the first day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84"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79"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Company is not party to any off-balance sheet arrangements that would require an allowance for credit losses in accordance with this accounting standard.</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changes in the allowance for uncollectible receivables for the nine months ended September 30, 2023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Allowance for uncollectible receivables</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3"/>
        </w:trPr>
        <w:tc>
          <w:tcPr>
            <w:tcW w:w="976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63"/>
        </w:trPr>
        <w:tc>
          <w:tcPr>
            <w:tcW w:w="9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Utilization of allowance for uncollectible receivables</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9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credit losses</w:t>
            </w:r>
          </w:p>
        </w:tc>
        <w:tc>
          <w:tcPr>
            <w:tcW w:w="6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75"/>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firstLine="1134"/>
        <w:spacing w:after="0" w:line="291" w:lineRule="auto"/>
        <w:rPr>
          <w:sz w:val="20"/>
          <w:szCs w:val="20"/>
          <w:color w:val="auto"/>
        </w:rPr>
      </w:pPr>
      <w:r>
        <w:rPr>
          <w:rFonts w:ascii="Arial" w:cs="Arial" w:eastAsia="Arial" w:hAnsi="Arial"/>
          <w:sz w:val="16"/>
          <w:szCs w:val="16"/>
          <w:color w:val="auto"/>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7"/>
          <w:szCs w:val="17"/>
          <w:color w:val="auto"/>
        </w:rPr>
        <w:t>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20" w:type="dxa"/>
            <w:vAlign w:val="bottom"/>
          </w:tcPr>
          <w:p>
            <w:pPr>
              <w:spacing w:after="0"/>
              <w:rPr>
                <w:sz w:val="20"/>
                <w:szCs w:val="20"/>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Lives</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Building</w:t>
            </w:r>
          </w:p>
        </w:tc>
        <w:tc>
          <w:tcPr>
            <w:tcW w:w="5220" w:type="dxa"/>
            <w:vAlign w:val="bottom"/>
          </w:tcPr>
          <w:p>
            <w:pPr>
              <w:jc w:val="center"/>
              <w:spacing w:after="0"/>
              <w:rPr>
                <w:sz w:val="20"/>
                <w:szCs w:val="20"/>
                <w:color w:val="auto"/>
              </w:rPr>
            </w:pPr>
            <w:r>
              <w:rPr>
                <w:rFonts w:ascii="Arial" w:cs="Arial" w:eastAsia="Arial" w:hAnsi="Arial"/>
                <w:sz w:val="18"/>
                <w:szCs w:val="18"/>
                <w:color w:val="auto"/>
                <w:w w:val="89"/>
              </w:rPr>
              <w:t>20 years</w:t>
            </w:r>
          </w:p>
        </w:tc>
      </w:tr>
      <w:tr>
        <w:trPr>
          <w:trHeight w:val="26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5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 years</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522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6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and computer equipment</w:t>
            </w:r>
          </w:p>
        </w:tc>
        <w:tc>
          <w:tcPr>
            <w:tcW w:w="5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Shorter of expected lease term or estimated useful life</w:t>
            </w:r>
          </w:p>
        </w:tc>
      </w:tr>
    </w:tbl>
    <w:p>
      <w:pPr>
        <w:spacing w:after="0" w:line="188"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Upon sale or retirement of the assets, the cost and related accumulated depreciation are removed from the accounts and the resulting gain or loss is recognized in the consolidated statement of operations and comprehensive loss. Expenditures for general maintenance and repairs are expensed as incurred.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117"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20" w:type="dxa"/>
            <w:vAlign w:val="bottom"/>
            <w:tcBorders>
              <w:bottom w:val="single" w:sz="8" w:color="CCEEFF"/>
            </w:tcBorders>
          </w:tcPr>
          <w:p>
            <w:pPr>
              <w:spacing w:after="0"/>
              <w:rPr>
                <w:sz w:val="20"/>
                <w:szCs w:val="20"/>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Lives</w:t>
            </w: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w:t>
            </w:r>
          </w:p>
        </w:tc>
        <w:tc>
          <w:tcPr>
            <w:tcW w:w="5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 years</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5220" w:type="dxa"/>
            <w:vAlign w:val="bottom"/>
          </w:tcPr>
          <w:p>
            <w:pPr>
              <w:jc w:val="center"/>
              <w:spacing w:after="0"/>
              <w:rPr>
                <w:sz w:val="20"/>
                <w:szCs w:val="20"/>
                <w:color w:val="auto"/>
              </w:rPr>
            </w:pPr>
            <w:r>
              <w:rPr>
                <w:rFonts w:ascii="Arial" w:cs="Arial" w:eastAsia="Arial" w:hAnsi="Arial"/>
                <w:sz w:val="18"/>
                <w:szCs w:val="18"/>
                <w:color w:val="auto"/>
                <w:w w:val="89"/>
              </w:rPr>
              <w:t>10 years</w:t>
            </w:r>
          </w:p>
        </w:tc>
      </w:tr>
      <w:tr>
        <w:trPr>
          <w:trHeight w:val="26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5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3 - 15 years</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FCI developed technology</w:t>
            </w:r>
          </w:p>
        </w:tc>
        <w:tc>
          <w:tcPr>
            <w:tcW w:w="5220" w:type="dxa"/>
            <w:vAlign w:val="bottom"/>
          </w:tcPr>
          <w:p>
            <w:pPr>
              <w:jc w:val="center"/>
              <w:spacing w:after="0"/>
              <w:rPr>
                <w:sz w:val="20"/>
                <w:szCs w:val="20"/>
                <w:color w:val="auto"/>
              </w:rPr>
            </w:pPr>
            <w:r>
              <w:rPr>
                <w:rFonts w:ascii="Arial" w:cs="Arial" w:eastAsia="Arial" w:hAnsi="Arial"/>
                <w:sz w:val="18"/>
                <w:szCs w:val="18"/>
                <w:color w:val="auto"/>
                <w:w w:val="86"/>
              </w:rPr>
              <w:t>1 - 6 years</w:t>
            </w:r>
          </w:p>
        </w:tc>
      </w:tr>
      <w:tr>
        <w:trPr>
          <w:trHeight w:val="26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5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7 - 8 years</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Reagent licenses</w:t>
            </w:r>
          </w:p>
        </w:tc>
        <w:tc>
          <w:tcPr>
            <w:tcW w:w="5220" w:type="dxa"/>
            <w:vAlign w:val="bottom"/>
          </w:tcPr>
          <w:p>
            <w:pPr>
              <w:jc w:val="center"/>
              <w:spacing w:after="0"/>
              <w:rPr>
                <w:sz w:val="20"/>
                <w:szCs w:val="20"/>
                <w:color w:val="auto"/>
              </w:rPr>
            </w:pPr>
            <w:r>
              <w:rPr>
                <w:rFonts w:ascii="Arial" w:cs="Arial" w:eastAsia="Arial" w:hAnsi="Arial"/>
                <w:sz w:val="18"/>
                <w:szCs w:val="18"/>
                <w:color w:val="auto"/>
                <w:w w:val="84"/>
              </w:rPr>
              <w:t>7 years</w:t>
            </w:r>
          </w:p>
        </w:tc>
      </w:tr>
      <w:tr>
        <w:trPr>
          <w:trHeight w:val="26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 license</w:t>
            </w:r>
          </w:p>
        </w:tc>
        <w:tc>
          <w:tcPr>
            <w:tcW w:w="5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Impairment of Long-Lived Assets</w:t>
      </w:r>
    </w:p>
    <w:p>
      <w:pPr>
        <w:spacing w:after="0" w:line="117" w:lineRule="exact"/>
        <w:rPr>
          <w:sz w:val="20"/>
          <w:szCs w:val="20"/>
          <w:color w:val="auto"/>
        </w:rPr>
      </w:pPr>
    </w:p>
    <w:p>
      <w:pPr>
        <w:jc w:val="both"/>
        <w:ind w:firstLine="1134"/>
        <w:spacing w:after="0" w:line="296" w:lineRule="auto"/>
        <w:rPr>
          <w:sz w:val="20"/>
          <w:szCs w:val="20"/>
          <w:color w:val="auto"/>
        </w:rPr>
      </w:pPr>
      <w:r>
        <w:rPr>
          <w:rFonts w:ascii="Arial" w:cs="Arial" w:eastAsia="Arial" w:hAnsi="Arial"/>
          <w:sz w:val="16"/>
          <w:szCs w:val="16"/>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53"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6"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62"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76"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carrying amounts reflected in the unaudited interim consolidated balance sheets for cash and cash equivalents, trade accounts receivable, net, trade accounts payable and accrued expenses approximate their fair values.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Company’s product revenue consists of sales of its instrument systems and accessories. The Company recognizes product revenue at the point in time when control of the product is transferred to the customer.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76"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80"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Invoicing for products occurs upon delivery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79"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7"/>
          <w:szCs w:val="17"/>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73"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76"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spacing w:after="0" w:line="84"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As of the nine months ended September 30, 2023, $2.8 million was included in revenue for products that had not shipped. As of the nine months ended September 30, 2022, the Company had $6.1 million of revenue included under bill-and-hold arrangements.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62"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7"/>
          <w:szCs w:val="17"/>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Assurance-type product warranties</w:t>
      </w:r>
    </w:p>
    <w:p>
      <w:pPr>
        <w:spacing w:after="0" w:line="117"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 cost of advertising, marketing and media is expensed as incurred. For the three and nine months ended September 30, 2023, advertising, marketing and media expenses were $0.5 million and $2.7 million, respectively. For the three and nine months ended September 30, 2022, advertising, marketing and media expenses were $0.5 million and $1.6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1134"/>
        <w:spacing w:after="0" w:line="296" w:lineRule="auto"/>
        <w:rPr>
          <w:sz w:val="20"/>
          <w:szCs w:val="20"/>
          <w:color w:val="auto"/>
        </w:rPr>
      </w:pPr>
      <w:r>
        <w:rPr>
          <w:rFonts w:ascii="Arial" w:cs="Arial" w:eastAsia="Arial" w:hAnsi="Arial"/>
          <w:sz w:val="16"/>
          <w:szCs w:val="16"/>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53"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Expected Volatility—Expected volatility is estimated by studying the volatility of selected industry peers deemed to be comparable to the Company's business corresponding to the expected term of the awards.</w:t>
      </w:r>
    </w:p>
    <w:p>
      <w:pPr>
        <w:spacing w:after="0" w:line="62"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Expected Term—Expected term represents the period that the Company's stock-based awards are expected to be outstanding and is determined using the simplified method.</w:t>
      </w:r>
    </w:p>
    <w:p>
      <w:pPr>
        <w:spacing w:after="0" w:line="62"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Dividend Yield— The expected dividend yield is zero as the Company has never declared or paid cash dividends and has no current plans to do so in the foreseeable future.</w:t>
      </w:r>
    </w:p>
    <w:p>
      <w:pPr>
        <w:spacing w:after="0" w:line="62"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Risk-Free Interest Rate—The risk-free interest rate is based on the U.S. Treasury zero-coupon issued in effect at the time of grant for periods corresponding with the expected term of the option.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9"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Company determines whether a tax position is more likely than not to be sustained upon examination, including resolution of any related appeals or litigation processes, based on the technical merits of the position.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70"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9"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The Company intends to reinvest its undistributed earnings of its foreign operations. Following enactment of the 2017 Tax Cuts and Jobs Act (the "Tax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common stockholders per share</w:t>
      </w:r>
    </w:p>
    <w:p>
      <w:pPr>
        <w:spacing w:after="0" w:line="117"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Basic net income (loss) attributable to common stockholders per share and diluted net income (loss) attributable to common stockholders per share are computed using the weighted-average number of shares of common stock outstanding for the period. Net income (loss) per share attributable to common stockholders is calculated using the two-class method, which is an earnings allocation formula that determines net income (loss)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income (loss) per share in the periods in which net income (loss) is recorded.</w:t>
      </w:r>
    </w:p>
    <w:p>
      <w:pPr>
        <w:spacing w:after="0" w:line="8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Diluted net income (loss) attributable to common stockholders per share is computed using the more dilutive of (a) the two-class method or</w:t>
      </w:r>
    </w:p>
    <w:p>
      <w:pPr>
        <w:spacing w:after="0" w:line="46" w:lineRule="exact"/>
        <w:rPr>
          <w:sz w:val="20"/>
          <w:szCs w:val="20"/>
          <w:color w:val="auto"/>
        </w:rPr>
      </w:pPr>
    </w:p>
    <w:p>
      <w:pPr>
        <w:jc w:val="both"/>
        <w:ind w:firstLine="8"/>
        <w:spacing w:after="0" w:line="253"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income (loss) attributable to common stockholders per share gives effect to all potentially dilutive common stock equivalents, including outstanding options and redeemable convertible preferred stock.</w:t>
      </w:r>
    </w:p>
    <w:p>
      <w:pPr>
        <w:spacing w:after="0" w:line="85"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Common stock equivalents are excluded from the computation of diluted net loss attributable to common stockholders per share if their effect is antidilutive.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1134"/>
        <w:spacing w:after="0" w:line="301" w:lineRule="auto"/>
        <w:rPr>
          <w:sz w:val="20"/>
          <w:szCs w:val="20"/>
          <w:color w:val="auto"/>
        </w:rPr>
      </w:pPr>
      <w:r>
        <w:rPr>
          <w:rFonts w:ascii="Arial" w:cs="Arial" w:eastAsia="Arial" w:hAnsi="Arial"/>
          <w:sz w:val="16"/>
          <w:szCs w:val="16"/>
          <w:color w:val="auto"/>
        </w:rPr>
        <w:t xml:space="preserve">The Company uses the acquisition method of accounting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49"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Amounts allocated to assets and liabilities are based upon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There are no relevant recently issued accounting pronouncements that would materially impact the Company’s consolidated financial statements and related disclosures. There were no new accounting pronouncements adopted during the nine months ended September 30, 2023 that materially impacted the Company’s condensed consolidated financial statements and related disclosures.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Concentrations of credit risk and other risks and uncertainties</w:t>
      </w:r>
    </w:p>
    <w:p>
      <w:pPr>
        <w:spacing w:after="0" w:line="121" w:lineRule="exact"/>
        <w:rPr>
          <w:sz w:val="20"/>
          <w:szCs w:val="20"/>
          <w:color w:val="auto"/>
        </w:rPr>
      </w:pPr>
    </w:p>
    <w:p>
      <w:pPr>
        <w:jc w:val="both"/>
        <w:ind w:firstLine="1134"/>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pacing w:after="0" w:line="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following table depicts the disaggregation of revenue by sales channel mix and customer mix as defined by the nature of workflows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312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7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Arial" w:cs="Arial" w:eastAsia="Arial" w:hAnsi="Arial"/>
                <w:sz w:val="14"/>
                <w:szCs w:val="14"/>
                <w:b w:val="1"/>
                <w:bCs w:val="1"/>
                <w:color w:val="auto"/>
              </w:rPr>
              <w:t>2022</w:t>
            </w:r>
          </w:p>
        </w:tc>
      </w:tr>
      <w:tr>
        <w:trPr>
          <w:trHeight w:val="26"/>
        </w:trPr>
        <w:tc>
          <w:tcPr>
            <w:tcW w:w="4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 channel mix</w:t>
            </w: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4740" w:type="dxa"/>
            <w:vAlign w:val="bottom"/>
          </w:tcPr>
          <w:p>
            <w:pPr>
              <w:ind w:left="180"/>
              <w:spacing w:after="0"/>
              <w:rPr>
                <w:sz w:val="20"/>
                <w:szCs w:val="20"/>
                <w:color w:val="auto"/>
              </w:rPr>
            </w:pPr>
            <w:r>
              <w:rPr>
                <w:rFonts w:ascii="Arial" w:cs="Arial" w:eastAsia="Arial" w:hAnsi="Arial"/>
                <w:sz w:val="18"/>
                <w:szCs w:val="18"/>
                <w:color w:val="auto"/>
              </w:rPr>
              <w:t>Direct sales channel</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36,916</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30,204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100,223</w:t>
            </w:r>
          </w:p>
        </w:tc>
        <w:tc>
          <w:tcPr>
            <w:tcW w:w="16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94,725</w:t>
            </w:r>
          </w:p>
        </w:tc>
      </w:tr>
      <w:tr>
        <w:trPr>
          <w:trHeight w:val="263"/>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Distributor channel</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11,084</w:t>
            </w:r>
          </w:p>
        </w:tc>
        <w:tc>
          <w:tcPr>
            <w:tcW w:w="1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34,559</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20,975</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Total revenue, net</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48,000</w:t>
            </w:r>
          </w:p>
        </w:tc>
        <w:tc>
          <w:tcPr>
            <w:tcW w:w="16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134,782</w:t>
            </w:r>
          </w:p>
        </w:tc>
        <w:tc>
          <w:tcPr>
            <w:tcW w:w="16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115,700</w:t>
            </w:r>
          </w:p>
        </w:tc>
      </w:tr>
      <w:tr>
        <w:trPr>
          <w:trHeight w:val="21"/>
        </w:trPr>
        <w:tc>
          <w:tcPr>
            <w:tcW w:w="47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6"/>
        </w:trPr>
        <w:tc>
          <w:tcPr>
            <w:tcW w:w="47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Customer mix</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Academia and government</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20,118</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55,721</w:t>
            </w: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48,796</w:t>
            </w:r>
          </w:p>
        </w:tc>
      </w:tr>
      <w:tr>
        <w:trPr>
          <w:trHeight w:val="215"/>
        </w:trPr>
        <w:tc>
          <w:tcPr>
            <w:tcW w:w="4740" w:type="dxa"/>
            <w:vAlign w:val="bottom"/>
          </w:tcPr>
          <w:p>
            <w:pPr>
              <w:ind w:left="180"/>
              <w:spacing w:after="0"/>
              <w:rPr>
                <w:sz w:val="20"/>
                <w:szCs w:val="20"/>
                <w:color w:val="auto"/>
              </w:rPr>
            </w:pPr>
            <w:r>
              <w:rPr>
                <w:rFonts w:ascii="Arial" w:cs="Arial" w:eastAsia="Arial" w:hAnsi="Arial"/>
                <w:sz w:val="18"/>
                <w:szCs w:val="18"/>
                <w:color w:val="auto"/>
              </w:rPr>
              <w:t>Biotechnology, pharmaceutical, distributor and contract</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1"/>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research organizations</w:t>
            </w: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27,882</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79,061</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66,904</w:t>
            </w:r>
          </w:p>
        </w:tc>
      </w:tr>
      <w:tr>
        <w:trPr>
          <w:trHeight w:val="27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net</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48,000</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134,782</w:t>
            </w:r>
          </w:p>
        </w:tc>
        <w:tc>
          <w:tcPr>
            <w:tcW w:w="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115,700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Revenue by geographical markets is presented in Note 22, </w:t>
      </w:r>
      <w:r>
        <w:rPr>
          <w:rFonts w:ascii="Arial" w:cs="Arial" w:eastAsia="Arial" w:hAnsi="Arial"/>
          <w:sz w:val="18"/>
          <w:szCs w:val="18"/>
          <w:i w:val="1"/>
          <w:iCs w:val="1"/>
          <w:color w:val="auto"/>
        </w:rPr>
        <w:t>Geographic areas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following table includes estimated revenues expected to be recognized in the future related to performance obligations that are unsatisfied (or partially satisfied) as of September 30, 2023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 1 year</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Greater than 1 year</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5"/>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 revenue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36,999</w:t>
            </w:r>
          </w:p>
        </w:tc>
      </w:tr>
      <w:tr>
        <w:trPr>
          <w:trHeight w:val="275"/>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following table provides information about receivables, deferred revenue from contracts with customers, and customer deposits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
        </w:trPr>
        <w:tc>
          <w:tcPr>
            <w:tcW w:w="52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48,864</w:t>
            </w:r>
          </w:p>
        </w:tc>
        <w:tc>
          <w:tcPr>
            <w:tcW w:w="0" w:type="dxa"/>
            <w:vAlign w:val="bottom"/>
          </w:tcPr>
          <w:p>
            <w:pPr>
              <w:spacing w:after="0"/>
              <w:rPr>
                <w:sz w:val="1"/>
                <w:szCs w:val="1"/>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26,110</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7"/>
              </w:rPr>
              <w:t>Customer deposits, which are included in 'Other current liabilities'</w:t>
            </w:r>
          </w:p>
        </w:tc>
        <w:tc>
          <w:tcPr>
            <w:tcW w:w="29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liabilities</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52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9A9A9A"/>
            </w:tcBorders>
          </w:tcPr>
          <w:p>
            <w:pPr>
              <w:spacing w:after="0"/>
              <w:rPr>
                <w:sz w:val="18"/>
                <w:szCs w:val="18"/>
                <w:color w:val="auto"/>
              </w:rPr>
            </w:pPr>
          </w:p>
        </w:tc>
        <w:tc>
          <w:tcPr>
            <w:tcW w:w="29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8180" w:type="dxa"/>
            <w:vAlign w:val="bottom"/>
            <w:gridSpan w:val="2"/>
          </w:tcPr>
          <w:p>
            <w:pPr>
              <w:ind w:left="1140"/>
              <w:spacing w:after="0"/>
              <w:rPr>
                <w:sz w:val="20"/>
                <w:szCs w:val="20"/>
                <w:color w:val="auto"/>
              </w:rPr>
            </w:pPr>
            <w:r>
              <w:rPr>
                <w:rFonts w:ascii="Arial" w:cs="Arial" w:eastAsia="Arial" w:hAnsi="Arial"/>
                <w:sz w:val="18"/>
                <w:szCs w:val="18"/>
                <w:color w:val="auto"/>
              </w:rPr>
              <w:t>The following provides a roll-forward of the contract liabilities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w:t>
            </w: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Revenue recognized</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(24,686)</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 deferred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34,462</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27,665</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 recognized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Revenue deferred</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40,642</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5.  Balance sheet details</w:t>
            </w: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2"/>
          </w:tcPr>
          <w:p>
            <w:pPr>
              <w:ind w:left="1140"/>
              <w:spacing w:after="0"/>
              <w:rPr>
                <w:sz w:val="20"/>
                <w:szCs w:val="20"/>
                <w:color w:val="auto"/>
              </w:rPr>
            </w:pPr>
            <w:r>
              <w:rPr>
                <w:rFonts w:ascii="Arial" w:cs="Arial" w:eastAsia="Arial" w:hAnsi="Arial"/>
                <w:sz w:val="18"/>
                <w:szCs w:val="18"/>
                <w:color w:val="auto"/>
              </w:rPr>
              <w:t>The following table shows the components of inventory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16,332</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shows the components of prepaid expenses and other current assets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
        </w:trPr>
        <w:tc>
          <w:tcPr>
            <w:tcW w:w="448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3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63"/>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rent</w:t>
            </w:r>
          </w:p>
        </w:tc>
        <w:tc>
          <w:tcPr>
            <w:tcW w:w="3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Arial" w:cs="Arial" w:eastAsia="Arial" w:hAnsi="Arial"/>
                <w:sz w:val="18"/>
                <w:szCs w:val="18"/>
                <w:color w:val="auto"/>
              </w:rPr>
              <w:t>Prepaid insurance</w:t>
            </w:r>
          </w:p>
        </w:tc>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63"/>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3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Arial" w:cs="Arial" w:eastAsia="Arial" w:hAnsi="Arial"/>
                <w:sz w:val="18"/>
                <w:szCs w:val="18"/>
                <w:color w:val="auto"/>
              </w:rPr>
              <w:t>Prepaid VAT tax</w:t>
            </w:r>
          </w:p>
        </w:tc>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tradeshow</w:t>
            </w:r>
          </w:p>
        </w:tc>
        <w:tc>
          <w:tcPr>
            <w:tcW w:w="3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Arial" w:cs="Arial" w:eastAsia="Arial" w:hAnsi="Arial"/>
                <w:sz w:val="18"/>
                <w:szCs w:val="18"/>
                <w:color w:val="auto"/>
              </w:rPr>
              <w:t>Other</w:t>
            </w:r>
          </w:p>
        </w:tc>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6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tcPr>
          <w:p>
            <w:pPr>
              <w:ind w:left="180"/>
              <w:spacing w:after="0"/>
              <w:rPr>
                <w:sz w:val="20"/>
                <w:szCs w:val="20"/>
                <w:color w:val="auto"/>
              </w:rPr>
            </w:pPr>
            <w:r>
              <w:rPr>
                <w:rFonts w:ascii="Arial" w:cs="Arial" w:eastAsia="Arial" w:hAnsi="Arial"/>
                <w:sz w:val="18"/>
                <w:szCs w:val="18"/>
                <w:color w:val="auto"/>
              </w:rPr>
              <w:t>Tax refund receivable</w:t>
            </w:r>
          </w:p>
        </w:tc>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7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3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12,954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700" w:type="dxa"/>
            <w:vAlign w:val="bottom"/>
            <w:vMerge w:val="restart"/>
          </w:tcPr>
          <w:p>
            <w:pPr>
              <w:jc w:val="right"/>
              <w:ind w:right="2370"/>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4"/>
        </w:trPr>
        <w:tc>
          <w:tcPr>
            <w:tcW w:w="44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9A9A9A"/>
            </w:tcBorders>
          </w:tcPr>
          <w:p>
            <w:pPr>
              <w:spacing w:after="0"/>
              <w:rPr>
                <w:sz w:val="18"/>
                <w:szCs w:val="18"/>
                <w:color w:val="auto"/>
              </w:rPr>
            </w:pPr>
          </w:p>
        </w:tc>
        <w:tc>
          <w:tcPr>
            <w:tcW w:w="37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shows the components of accrued expenses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Accrued compensation and related benefits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13,690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 fees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warranty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1140"/>
              <w:spacing w:after="0"/>
              <w:rPr>
                <w:sz w:val="20"/>
                <w:szCs w:val="20"/>
                <w:color w:val="auto"/>
              </w:rPr>
            </w:pPr>
            <w:r>
              <w:rPr>
                <w:rFonts w:ascii="Arial" w:cs="Arial" w:eastAsia="Arial" w:hAnsi="Arial"/>
                <w:sz w:val="18"/>
                <w:szCs w:val="18"/>
                <w:color w:val="auto"/>
              </w:rPr>
              <w:t>For the product warranty analysis refer to Note 20.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1140"/>
              <w:spacing w:after="0"/>
              <w:rPr>
                <w:sz w:val="20"/>
                <w:szCs w:val="20"/>
                <w:color w:val="auto"/>
              </w:rPr>
            </w:pPr>
            <w:r>
              <w:rPr>
                <w:rFonts w:ascii="Arial" w:cs="Arial" w:eastAsia="Arial" w:hAnsi="Arial"/>
                <w:sz w:val="18"/>
                <w:szCs w:val="18"/>
                <w:color w:val="auto"/>
              </w:rPr>
              <w:t>The following table shows the components of other current liabilities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Sales and use tax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current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Current portion of loan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Fair value of financial instruments</w:t>
      </w:r>
    </w:p>
    <w:p>
      <w:pPr>
        <w:spacing w:after="0" w:line="121"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Quoted prices</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markets for</w:t>
            </w: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4"/>
                <w:szCs w:val="14"/>
                <w:color w:val="auto"/>
              </w:rPr>
            </w:pPr>
          </w:p>
        </w:tc>
        <w:tc>
          <w:tcPr>
            <w:tcW w:w="126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identical</w:t>
            </w:r>
          </w:p>
        </w:tc>
        <w:tc>
          <w:tcPr>
            <w:tcW w:w="28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5"/>
                <w:szCs w:val="15"/>
                <w:color w:val="auto"/>
              </w:rPr>
            </w:pPr>
          </w:p>
        </w:tc>
        <w:tc>
          <w:tcPr>
            <w:tcW w:w="126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4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2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4"/>
                <w:szCs w:val="14"/>
                <w:color w:val="auto"/>
              </w:rPr>
            </w:pPr>
          </w:p>
        </w:tc>
        <w:tc>
          <w:tcPr>
            <w:tcW w:w="126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05"/>
        </w:trPr>
        <w:tc>
          <w:tcPr>
            <w:tcW w:w="4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125,066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125,066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Treasury</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Treasury</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Federal agency securities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47,347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4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273,296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184,305</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88,991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3"/>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center"/>
              <w:ind w:right="94"/>
              <w:spacing w:after="0"/>
              <w:rPr>
                <w:sz w:val="20"/>
                <w:szCs w:val="20"/>
                <w:color w:val="auto"/>
              </w:rPr>
            </w:pPr>
            <w:r>
              <w:rPr>
                <w:rFonts w:ascii="Arial" w:cs="Arial" w:eastAsia="Arial" w:hAnsi="Arial"/>
                <w:sz w:val="18"/>
                <w:szCs w:val="18"/>
                <w:color w:val="auto"/>
                <w:w w:val="89"/>
              </w:rPr>
              <w:t>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Quoted prices</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active</w:t>
            </w:r>
          </w:p>
        </w:tc>
        <w:tc>
          <w:tcPr>
            <w:tcW w:w="2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markets for</w:t>
            </w:r>
          </w:p>
        </w:tc>
        <w:tc>
          <w:tcPr>
            <w:tcW w:w="2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other</w:t>
            </w:r>
          </w:p>
        </w:tc>
        <w:tc>
          <w:tcPr>
            <w:tcW w:w="240" w:type="dxa"/>
            <w:vAlign w:val="bottom"/>
          </w:tcPr>
          <w:p>
            <w:pPr>
              <w:spacing w:after="0"/>
              <w:rPr>
                <w:sz w:val="14"/>
                <w:szCs w:val="14"/>
                <w:color w:val="auto"/>
              </w:rPr>
            </w:pPr>
          </w:p>
        </w:tc>
        <w:tc>
          <w:tcPr>
            <w:tcW w:w="132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observable</w:t>
            </w:r>
          </w:p>
        </w:tc>
        <w:tc>
          <w:tcPr>
            <w:tcW w:w="240" w:type="dxa"/>
            <w:vAlign w:val="bottom"/>
          </w:tcPr>
          <w:p>
            <w:pPr>
              <w:spacing w:after="0"/>
              <w:rPr>
                <w:sz w:val="14"/>
                <w:szCs w:val="14"/>
                <w:color w:val="auto"/>
              </w:rPr>
            </w:pPr>
          </w:p>
        </w:tc>
        <w:tc>
          <w:tcPr>
            <w:tcW w:w="132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assets</w:t>
            </w:r>
          </w:p>
        </w:tc>
        <w:tc>
          <w:tcPr>
            <w:tcW w:w="2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4"/>
                <w:szCs w:val="14"/>
                <w:color w:val="auto"/>
              </w:rPr>
            </w:pPr>
          </w:p>
        </w:tc>
        <w:tc>
          <w:tcPr>
            <w:tcW w:w="132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(level 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5"/>
              </w:rPr>
              <w:t>(level 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5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U.S. Treasury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29,930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29,930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Federal agency securities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Treasury</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Federal agency securities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6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217,778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157,153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Company did not have any transfers of financial assets measured at fair value on a recurring basis to or from Level 1, Level 2 or Level 3 for any of the periods presented.</w:t>
      </w:r>
    </w:p>
    <w:p>
      <w:pPr>
        <w:spacing w:after="0" w:line="62"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The table above does not include the Company's investments in privately held equity securities. Non-marketable equity investments of $1.6 million are included within Other noncurrent assets on the consolidated balance sheet as of September 30, 2023.</w:t>
      </w:r>
    </w:p>
    <w:p>
      <w:pPr>
        <w:spacing w:after="0" w:line="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Investments</w:t>
      </w:r>
    </w:p>
    <w:p>
      <w:pPr>
        <w:spacing w:after="0" w:line="121" w:lineRule="exact"/>
        <w:rPr>
          <w:sz w:val="20"/>
          <w:szCs w:val="20"/>
          <w:color w:val="auto"/>
        </w:rPr>
      </w:pPr>
    </w:p>
    <w:p>
      <w:pPr>
        <w:ind w:right="180" w:firstLine="1134"/>
        <w:spacing w:after="0" w:line="277" w:lineRule="auto"/>
        <w:rPr>
          <w:sz w:val="20"/>
          <w:szCs w:val="20"/>
          <w:color w:val="auto"/>
        </w:rPr>
      </w:pPr>
      <w:r>
        <w:rPr>
          <w:rFonts w:ascii="Arial" w:cs="Arial" w:eastAsia="Arial" w:hAnsi="Arial"/>
          <w:sz w:val="18"/>
          <w:szCs w:val="18"/>
          <w:color w:val="auto"/>
        </w:rPr>
        <w:t>The following tables summarize the Company's investments in available-for-sale securities by significant investment category reported as short-term as of September 30, 2023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500" w:type="dxa"/>
            <w:vAlign w:val="bottom"/>
          </w:tcPr>
          <w:p>
            <w:pPr>
              <w:spacing w:after="0"/>
              <w:rPr>
                <w:sz w:val="13"/>
                <w:szCs w:val="13"/>
                <w:color w:val="auto"/>
              </w:rPr>
            </w:pPr>
          </w:p>
        </w:tc>
        <w:tc>
          <w:tcPr>
            <w:tcW w:w="14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3"/>
                <w:szCs w:val="13"/>
                <w:color w:val="auto"/>
              </w:rPr>
            </w:pPr>
          </w:p>
        </w:tc>
        <w:tc>
          <w:tcPr>
            <w:tcW w:w="1320" w:type="dxa"/>
            <w:vAlign w:val="bottom"/>
            <w:gridSpan w:val="3"/>
          </w:tcPr>
          <w:p>
            <w:pPr>
              <w:jc w:val="center"/>
              <w:ind w:right="220"/>
              <w:spacing w:after="0" w:line="160"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3"/>
                <w:szCs w:val="13"/>
                <w:color w:val="auto"/>
              </w:rPr>
            </w:pPr>
          </w:p>
        </w:tc>
        <w:tc>
          <w:tcPr>
            <w:tcW w:w="1220" w:type="dxa"/>
            <w:vAlign w:val="bottom"/>
            <w:gridSpan w:val="2"/>
          </w:tcPr>
          <w:p>
            <w:pPr>
              <w:jc w:val="right"/>
              <w:ind w:right="120"/>
              <w:spacing w:after="0" w:line="160" w:lineRule="exact"/>
              <w:rPr>
                <w:sz w:val="20"/>
                <w:szCs w:val="20"/>
                <w:color w:val="auto"/>
              </w:rPr>
            </w:pPr>
            <w:r>
              <w:rPr>
                <w:rFonts w:ascii="Arial" w:cs="Arial" w:eastAsia="Arial" w:hAnsi="Arial"/>
                <w:sz w:val="14"/>
                <w:szCs w:val="14"/>
                <w:b w:val="1"/>
                <w:bCs w:val="1"/>
                <w:color w:val="auto"/>
                <w:w w:val="93"/>
              </w:rPr>
              <w:t>Gross 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05"/>
        </w:trPr>
        <w:tc>
          <w:tcPr>
            <w:tcW w:w="550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9"/>
                <w:szCs w:val="9"/>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55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35,402</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Arial" w:cs="Arial" w:eastAsia="Arial" w:hAnsi="Arial"/>
                <w:sz w:val="18"/>
                <w:szCs w:val="18"/>
                <w:color w:val="auto"/>
              </w:rPr>
              <w:t>Federal agency securities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47,346</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41,644</w:t>
            </w:r>
          </w:p>
        </w:tc>
        <w:tc>
          <w:tcPr>
            <w:tcW w:w="0" w:type="dxa"/>
            <w:vAlign w:val="bottom"/>
          </w:tcPr>
          <w:p>
            <w:pPr>
              <w:spacing w:after="0"/>
              <w:rPr>
                <w:sz w:val="1"/>
                <w:szCs w:val="1"/>
                <w:color w:val="auto"/>
              </w:rPr>
            </w:pP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Total available-for-sale investments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124,404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124,392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4"/>
        </w:trPr>
        <w:tc>
          <w:tcPr>
            <w:tcW w:w="10580" w:type="dxa"/>
            <w:vAlign w:val="bottom"/>
            <w:gridSpan w:val="14"/>
          </w:tcPr>
          <w:p>
            <w:pPr>
              <w:ind w:left="1140"/>
              <w:spacing w:after="0"/>
              <w:rPr>
                <w:sz w:val="20"/>
                <w:szCs w:val="20"/>
                <w:color w:val="auto"/>
              </w:rPr>
            </w:pPr>
            <w:r>
              <w:rPr>
                <w:rFonts w:ascii="Arial" w:cs="Arial" w:eastAsia="Arial" w:hAnsi="Arial"/>
                <w:sz w:val="18"/>
                <w:szCs w:val="18"/>
                <w:color w:val="auto"/>
                <w:w w:val="90"/>
              </w:rPr>
              <w:t>The following table summarizes the contractual maturities of the Company's available-for-sale securities at September 30, 2023 (in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thousands):</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5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ind w:left="560"/>
              <w:spacing w:after="0"/>
              <w:rPr>
                <w:sz w:val="20"/>
                <w:szCs w:val="20"/>
                <w:color w:val="auto"/>
              </w:rPr>
            </w:pPr>
            <w:r>
              <w:rPr>
                <w:rFonts w:ascii="Arial" w:cs="Arial" w:eastAsia="Arial" w:hAnsi="Arial"/>
                <w:sz w:val="14"/>
                <w:szCs w:val="14"/>
                <w:b w:val="1"/>
                <w:bCs w:val="1"/>
                <w:color w:val="auto"/>
              </w:rPr>
              <w:t>September 30, 2023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Mature in less than one year</w:t>
            </w:r>
          </w:p>
        </w:tc>
        <w:tc>
          <w:tcPr>
            <w:tcW w:w="4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124,404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124,392</w:t>
            </w:r>
          </w:p>
        </w:tc>
        <w:tc>
          <w:tcPr>
            <w:tcW w:w="0" w:type="dxa"/>
            <w:vAlign w:val="bottom"/>
          </w:tcPr>
          <w:p>
            <w:pPr>
              <w:spacing w:after="0"/>
              <w:rPr>
                <w:sz w:val="1"/>
                <w:szCs w:val="1"/>
                <w:color w:val="auto"/>
              </w:rPr>
            </w:pPr>
          </w:p>
        </w:tc>
      </w:tr>
      <w:tr>
        <w:trPr>
          <w:trHeight w:val="27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124,404</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124,392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18</w:t>
            </w: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55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Property and equipment, net</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shows the components of property and equipment, net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3,481</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land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and computer equipment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r>
      <w:tr>
        <w:trPr>
          <w:trHeight w:val="25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60" w:firstLine="1134"/>
        <w:spacing w:after="0" w:line="308" w:lineRule="auto"/>
        <w:rPr>
          <w:sz w:val="20"/>
          <w:szCs w:val="20"/>
          <w:color w:val="auto"/>
        </w:rPr>
      </w:pPr>
      <w:r>
        <w:rPr>
          <w:rFonts w:ascii="Arial" w:cs="Arial" w:eastAsia="Arial" w:hAnsi="Arial"/>
          <w:sz w:val="17"/>
          <w:szCs w:val="17"/>
          <w:color w:val="auto"/>
        </w:rPr>
        <w:t>Total depreciation expense for the three and nine months ended September 30, 2023 was $0.9 million and $2.0 million, respectively. Total depreciation expense for three and nine months ended September 30, 2022 was $0.4 million and $1.2 million, respectively.</w:t>
      </w:r>
    </w:p>
    <w:p>
      <w:pPr>
        <w:spacing w:after="0" w:line="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Acquisition</w:t>
      </w:r>
    </w:p>
    <w:p>
      <w:pPr>
        <w:spacing w:after="0" w:line="121"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On February 28, 2023, the Company completed the acquisition of the Luminex FCI business unit, including relating to the business of manufacturing, marketing, selling, servicing and maintaining Amnis and Guava branded instruments, and flow cytometry reagent products and services, for an aggregate cash consideration of $44.9 million.</w:t>
      </w:r>
    </w:p>
    <w:p>
      <w:pPr>
        <w:spacing w:after="0" w:line="319"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7"/>
          <w:szCs w:val="17"/>
          <w:color w:val="auto"/>
        </w:rPr>
        <w:t>The acquisition was accounted for as a business combination in accordance with ASC 805. The tangible and intangible assets acquired were recorded at estimated fair value on the acquisition date. The purchase price allocation is based upon preliminary valuations and estimates and assumptions which are subject to change within the purchase price allocation period, generally one year from the acquisition date.</w:t>
      </w:r>
    </w:p>
    <w:p>
      <w:pPr>
        <w:spacing w:after="0" w:line="192" w:lineRule="exact"/>
        <w:rPr>
          <w:sz w:val="20"/>
          <w:szCs w:val="20"/>
          <w:color w:val="auto"/>
        </w:rPr>
      </w:pPr>
    </w:p>
    <w:p>
      <w:pPr>
        <w:ind w:right="220" w:firstLine="1134"/>
        <w:spacing w:after="0" w:line="274" w:lineRule="auto"/>
        <w:rPr>
          <w:sz w:val="20"/>
          <w:szCs w:val="20"/>
          <w:color w:val="auto"/>
        </w:rPr>
      </w:pPr>
      <w:r>
        <w:rPr>
          <w:rFonts w:ascii="Arial" w:cs="Arial" w:eastAsia="Arial" w:hAnsi="Arial"/>
          <w:sz w:val="17"/>
          <w:szCs w:val="17"/>
          <w:color w:val="auto"/>
        </w:rPr>
        <w:t>During the three months ended September 30, 2023, we recorded the following changes as a result of measurement period adjustments to the fair value of the initial assets related to inventory, property and equipment, customer relationships and trade names as follows: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decreased by $0.2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Property and equipment increased by $1.4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relationships increased by $1.7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Developed technologies decreased by a total $0.4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Trade names increased by a total of $0.2 million</w:t>
      </w:r>
    </w:p>
    <w:p>
      <w:pPr>
        <w:spacing w:after="0" w:line="23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measurement period adjustments noted above decreased goodwill by $2.7 million.</w:t>
      </w:r>
    </w:p>
    <w:p>
      <w:pPr>
        <w:spacing w:after="0" w:line="252"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 Company identified the following areas as subject to change within the purchase price allocation period: intangible asset and inventory fair values recognized and measured in accordance with ASC 820, Fair Value Measurement, deferred income tax assets acquired and liabilities assumed are recognized and measured in accordance with</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ASC 740 Income Taxes. The following table summarizes the preliminary estimated fair value of assets acquired and liabilities assumed at the date of the acquisition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(in thousands)</w:t>
            </w:r>
          </w:p>
        </w:tc>
      </w:tr>
      <w:tr>
        <w:trPr>
          <w:trHeight w:val="33"/>
        </w:trPr>
        <w:tc>
          <w:tcPr>
            <w:tcW w:w="9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18,491</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97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10,200</w:t>
            </w:r>
          </w:p>
        </w:tc>
      </w:tr>
      <w:tr>
        <w:trPr>
          <w:trHeight w:val="263"/>
        </w:trPr>
        <w:tc>
          <w:tcPr>
            <w:tcW w:w="9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Amnis ImageStream developed technology</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r>
      <w:tr>
        <w:trPr>
          <w:trHeight w:val="250"/>
        </w:trPr>
        <w:tc>
          <w:tcPr>
            <w:tcW w:w="9760" w:type="dxa"/>
            <w:vAlign w:val="bottom"/>
          </w:tcPr>
          <w:p>
            <w:pPr>
              <w:ind w:left="180"/>
              <w:spacing w:after="0"/>
              <w:rPr>
                <w:sz w:val="20"/>
                <w:szCs w:val="20"/>
                <w:color w:val="auto"/>
              </w:rPr>
            </w:pPr>
            <w:r>
              <w:rPr>
                <w:rFonts w:ascii="Arial" w:cs="Arial" w:eastAsia="Arial" w:hAnsi="Arial"/>
                <w:sz w:val="18"/>
                <w:szCs w:val="18"/>
                <w:color w:val="auto"/>
              </w:rPr>
              <w:t>Guava easyCyte and Muse developed technology</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63"/>
        </w:trPr>
        <w:tc>
          <w:tcPr>
            <w:tcW w:w="9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Amnis FlowSight and CellStream developed technology</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9760" w:type="dxa"/>
            <w:vAlign w:val="bottom"/>
          </w:tcPr>
          <w:p>
            <w:pPr>
              <w:ind w:left="180"/>
              <w:spacing w:after="0"/>
              <w:rPr>
                <w:sz w:val="20"/>
                <w:szCs w:val="20"/>
                <w:color w:val="auto"/>
              </w:rPr>
            </w:pPr>
            <w:r>
              <w:rPr>
                <w:rFonts w:ascii="Arial" w:cs="Arial" w:eastAsia="Arial" w:hAnsi="Arial"/>
                <w:sz w:val="18"/>
                <w:szCs w:val="18"/>
                <w:color w:val="auto"/>
              </w:rPr>
              <w:t>Amnis tradename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2,900</w:t>
            </w:r>
          </w:p>
        </w:tc>
      </w:tr>
      <w:tr>
        <w:trPr>
          <w:trHeight w:val="263"/>
        </w:trPr>
        <w:tc>
          <w:tcPr>
            <w:tcW w:w="9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Guava tradename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6,313</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81"/>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net assets acquired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7"/>
          <w:szCs w:val="17"/>
          <w:color w:val="auto"/>
        </w:rPr>
        <w:t>The $6.3 million of goodwill arising from the acquisition is primarily attributed to significant time-to-market advantages, as the Company gained immediate access to Luminex’s FCI products, existing relationships and business infrastructure and Luminex’s knowledgeable and experienced FCI workforce. The goodwill is expected to be deductible for tax purposes. The Company is currently evaluating the amount of goodwill which is expected to be deductible and will finalize this amount in future periods. Management plans to integrate the acquired FCI business into its existing business structure, which is comprised of a single reportable segment and a single reporting unit.</w:t>
      </w:r>
    </w:p>
    <w:p>
      <w:pPr>
        <w:spacing w:after="0" w:line="204" w:lineRule="exact"/>
        <w:rPr>
          <w:sz w:val="20"/>
          <w:szCs w:val="20"/>
          <w:color w:val="auto"/>
        </w:rPr>
      </w:pPr>
    </w:p>
    <w:p>
      <w:pPr>
        <w:jc w:val="both"/>
        <w:ind w:firstLine="1134"/>
        <w:spacing w:after="0" w:line="324" w:lineRule="auto"/>
        <w:rPr>
          <w:sz w:val="20"/>
          <w:szCs w:val="20"/>
          <w:color w:val="auto"/>
        </w:rPr>
      </w:pPr>
      <w:r>
        <w:rPr>
          <w:rFonts w:ascii="Arial" w:cs="Arial" w:eastAsia="Arial" w:hAnsi="Arial"/>
          <w:sz w:val="16"/>
          <w:szCs w:val="16"/>
          <w:color w:val="auto"/>
        </w:rPr>
        <w:t>Intangible assets identified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1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Fair Value</w:t>
            </w:r>
          </w:p>
        </w:tc>
        <w:tc>
          <w:tcPr>
            <w:tcW w:w="15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Useful life (years)</w:t>
            </w:r>
          </w:p>
        </w:tc>
      </w:tr>
      <w:tr>
        <w:trPr>
          <w:trHeight w:val="210"/>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ind w:left="280"/>
              <w:spacing w:after="0"/>
              <w:rPr>
                <w:sz w:val="20"/>
                <w:szCs w:val="20"/>
                <w:color w:val="auto"/>
              </w:rPr>
            </w:pPr>
            <w:r>
              <w:rPr>
                <w:rFonts w:ascii="Arial" w:cs="Arial" w:eastAsia="Arial" w:hAnsi="Arial"/>
                <w:sz w:val="16"/>
                <w:szCs w:val="16"/>
                <w:color w:val="auto"/>
              </w:rPr>
              <w:t>(In thousands, except for years)</w:t>
            </w:r>
          </w:p>
        </w:tc>
      </w:tr>
      <w:tr>
        <w:trPr>
          <w:trHeight w:val="33"/>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8</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Amnis ImageStream Developed Technology</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8,900</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79"/>
              </w:rPr>
              <w:t>6</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Guava easyCyte and Muse Developed Technology</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Amnis FlowSight and CellStream Developed Technology</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79"/>
              </w:rPr>
              <w:t>1</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Amnis Tradename</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Guava Tradename</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5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79"/>
              </w:rPr>
              <w:t>3</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1580" w:type="dxa"/>
            <w:vAlign w:val="bottom"/>
            <w:tcBorders>
              <w:bottom w:val="single" w:sz="8" w:color="CCEEFF"/>
            </w:tcBorders>
            <w:shd w:val="clear" w:color="auto" w:fill="CCEEFF"/>
          </w:tcPr>
          <w:p>
            <w:pPr>
              <w:spacing w:after="0"/>
              <w:rPr>
                <w:sz w:val="24"/>
                <w:szCs w:val="24"/>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7"/>
          <w:szCs w:val="17"/>
          <w:color w:val="auto"/>
        </w:rPr>
        <w:t>The customer relationships intangible asset represents the fair value of the underlying relationships with Luminex’s FCI customers. The tradename intangible asset represents the fair value of brand and name recognition associated with the marketing of the acquired Luminex FCI product lines. The FCI developed technology intangible asset represents the fair value of access to certain imaging and microcapillary technologies.</w:t>
      </w:r>
    </w:p>
    <w:p>
      <w:pPr>
        <w:spacing w:after="0" w:line="233"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The fair value of the intangible assets acquired were estimated using variations of the income approach. The fair value of the customer relationships intangible asset was determined based on the multi-period excess earnings method and the relief-from-royalty method was utilized to estimate the fair values of the tradename and FCI developed technology intangible assets. The key assumptions used in estimating the fair values of intangible assets included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forecasted financial information; customer retention rates; factors for technological obsolescence; royalty rates and discount rates. The cash flow projections were discounted using rates ranging from 29.0% to 39.0% The cash flows were based on estimates used to price the transaction, including market participant considerations, and the discount rates applied were benchmarked with reference to the implied rate of return from the transaction model and the weighted average cost of capital.</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acquired intangibles are being amortized over their estimated useful lives using the straight-line method of amortization.</w:t>
      </w:r>
    </w:p>
    <w:p>
      <w:pPr>
        <w:spacing w:after="0" w:line="117"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The fair value assigned to the assets acquired are based on reasonable assumptions and estimates that market participants would use. Actual results may differ from these estimates and assumptions.</w:t>
      </w:r>
    </w:p>
    <w:p>
      <w:pPr>
        <w:spacing w:after="0" w:line="62"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 results of operations for the acquisition are included in the consolidated financial statements of the Company from the date of the acquisition. For the three and nine months ended September 30, 2023 $6.8 million and $18.8 million of the Company's revenue were attributable to the acquired business unit.</w:t>
      </w:r>
    </w:p>
    <w:p>
      <w:pPr>
        <w:spacing w:after="0" w:line="76"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The following unaudited pro forma consolidated financial information reflects the results of operations of the Company for the three and nine months ended September 30, 2023 and 2022 as if the acquisition had occurred as of January 1, 2022, after giving effect to certain purchase accounting and financing adjustments. These amounts are based on financial information of the acquired business unit and are not necessarily indicative of what the Company’s operating results would have been had the acquisition taken place on January 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3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5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48,000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139,359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145,474</w:t>
            </w: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21"/>
                <w:szCs w:val="21"/>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w w:val="91"/>
              </w:rPr>
              <w:t>(4,185)</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540"/>
              <w:spacing w:after="0"/>
              <w:rPr>
                <w:sz w:val="20"/>
                <w:szCs w:val="20"/>
                <w:color w:val="auto"/>
              </w:rPr>
            </w:pPr>
            <w:r>
              <w:rPr>
                <w:rFonts w:ascii="Arial" w:cs="Arial" w:eastAsia="Arial" w:hAnsi="Arial"/>
                <w:sz w:val="18"/>
                <w:szCs w:val="18"/>
                <w:color w:val="auto"/>
                <w:w w:val="92"/>
              </w:rPr>
              <w:t>(19,180)</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(7,104)</w:t>
            </w: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(6,456)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(17,170)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r>
    </w:tbl>
    <w:p>
      <w:pPr>
        <w:spacing w:after="0" w:line="323"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Pro forma financial information is presented as if the operations of the acquired business unit had been included in the consolidated results of the Company since January 1, 2022 and gives effect to transactions that are directly attributable to the acquisition. Adjustments include additional depreciation and amortization expense related to the fair value of acquired property and equipment and intangible assets as if such assets were acquired on January 1, 2022. Transaction costs incurred by the Company related to the acquisition totaled approximately $1.5 million for the nine months ended September 30, 2023, respectively, which were expensed and recorded as a component of general and administrative expenses in the consolidated statement of operations.</w:t>
      </w:r>
    </w:p>
    <w:p>
      <w:pPr>
        <w:spacing w:after="0" w:line="3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Goodwill and intangible assets, net</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addition of goodwill for the nine months ended September 30, 2023 is discussed in Note 9.</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shows the components of intangible assets, net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100330</wp:posOffset>
            </wp:positionV>
            <wp:extent cx="19456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trademarks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Tradename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FCI developed technology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IP license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Reagent license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r>
      <w:tr>
        <w:trPr>
          <w:trHeight w:val="25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Total amortization expense for the three and nine months ended September 30, 2023 was approximately $0.9 million and $2.4 million, respectively. Total amortization expense for the three and nine months ended September 30, 2022 was approximately $0.2 million and $0.6 million, respectively.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Legal settlement liability</w:t>
      </w:r>
    </w:p>
    <w:p>
      <w:pPr>
        <w:spacing w:after="0" w:line="121" w:lineRule="exact"/>
        <w:rPr>
          <w:sz w:val="20"/>
          <w:szCs w:val="20"/>
          <w:color w:val="auto"/>
        </w:rPr>
      </w:pPr>
    </w:p>
    <w:p>
      <w:pPr>
        <w:jc w:val="both"/>
        <w:ind w:firstLine="1134"/>
        <w:spacing w:after="0" w:line="284" w:lineRule="auto"/>
        <w:rPr>
          <w:sz w:val="20"/>
          <w:szCs w:val="20"/>
          <w:color w:val="auto"/>
        </w:rPr>
      </w:pPr>
      <w:r>
        <w:rPr>
          <w:rFonts w:ascii="Arial" w:cs="Arial" w:eastAsia="Arial" w:hAnsi="Arial"/>
          <w:sz w:val="16"/>
          <w:szCs w:val="16"/>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w:t>
      </w:r>
    </w:p>
    <w:p>
      <w:pPr>
        <w:spacing w:after="0" w:line="1" w:lineRule="exact"/>
        <w:rPr>
          <w:sz w:val="20"/>
          <w:szCs w:val="20"/>
          <w:color w:val="auto"/>
        </w:rPr>
      </w:pPr>
    </w:p>
    <w:p>
      <w:pPr>
        <w:jc w:val="both"/>
        <w:ind w:firstLine="8"/>
        <w:spacing w:after="0" w:line="302" w:lineRule="auto"/>
        <w:tabs>
          <w:tab w:leader="none" w:pos="321" w:val="left"/>
        </w:tabs>
        <w:numPr>
          <w:ilvl w:val="0"/>
          <w:numId w:val="6"/>
        </w:numPr>
        <w:rPr>
          <w:rFonts w:ascii="Arial" w:cs="Arial" w:eastAsia="Arial" w:hAnsi="Arial"/>
          <w:sz w:val="16"/>
          <w:szCs w:val="16"/>
          <w:color w:val="auto"/>
        </w:rPr>
      </w:pPr>
      <w:r>
        <w:rPr>
          <w:rFonts w:ascii="Arial" w:cs="Arial" w:eastAsia="Arial" w:hAnsi="Arial"/>
          <w:sz w:val="16"/>
          <w:szCs w:val="16"/>
          <w:color w:val="auto"/>
        </w:rPr>
        <w:t>$6.0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spacing w:after="0" w:line="47" w:lineRule="exact"/>
        <w:rPr>
          <w:sz w:val="20"/>
          <w:szCs w:val="20"/>
          <w:color w:val="auto"/>
        </w:rPr>
      </w:pPr>
    </w:p>
    <w:p>
      <w:pPr>
        <w:jc w:val="both"/>
        <w:ind w:firstLine="1134"/>
        <w:spacing w:after="0" w:line="293" w:lineRule="auto"/>
        <w:rPr>
          <w:sz w:val="20"/>
          <w:szCs w:val="20"/>
          <w:color w:val="auto"/>
        </w:rPr>
      </w:pPr>
      <w:r>
        <w:rPr>
          <w:rFonts w:ascii="Arial" w:cs="Arial" w:eastAsia="Arial" w:hAnsi="Arial"/>
          <w:sz w:val="16"/>
          <w:szCs w:val="16"/>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56"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The patents in question were determined to have an average useful life of 18 months. Accordingly, beginning the third quarter of 2022, the remaining contractual payments will be classified as operating expenses as they are considered to be represented of deferred litigation settlement. The Company did not record any product cost of sales related to the royalty expense for the three and nine months ended September 30, 2023, and recorded $0.0 million and $0.8 million of product cost of sales related to royalty expense for the three and nine months ended September 30, 2022, respectively. The Company recorded $0.5 million and $1.3 million of interest expense for the three and nine months ended September 30, 2023, respectively, and $0.6 million and $1.6 million of interest expense for the three and nine months ended September 30, 2022,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$18.7 million and $17.8 million as of September 30, 2023 and December 31, 2022, respectively, and will record licensing expense in future periods.</w:t>
      </w:r>
    </w:p>
    <w:p>
      <w:pPr>
        <w:spacing w:after="0" w:line="7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shows the components of the legal settlement liability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100330</wp:posOffset>
            </wp:positionV>
            <wp:extent cx="19456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Legal settlement 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Legal settlement liability</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15,596</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legal settlement 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Debt</w:t>
      </w:r>
    </w:p>
    <w:p>
      <w:pPr>
        <w:spacing w:after="0" w:line="121"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On November 7, 2022, Cytek (Wuxi) Biosciences Co., Ltd, the Company’s China subsidiary (“Cytek Wuxi”), entered a fixed asset loan agreement with Bank of Communications, China. The loan is denominated in Chinese renminbi and collateralized by Cytek Wuxi's cash deposit to the bank. The deposit was in a separate account with Cytek Wuxi's name, but the use of such account is restricted. The Company presented the deposit as restricted cash on the audited consolidated balance sheets as of December 31, 2022 and unaudited interim consolidated balance sheets as of March 31, 2023. In April 2023, the restricted cash account was released. The total loan amount is $2.9 million and the loan term is five years. The current portion of the loan of $548,000 is included in other current liabilities. The fixed interest rate on the loan was 4.5% as of September 30, 2023.</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Common stock</w:t>
      </w:r>
    </w:p>
    <w:p>
      <w:pPr>
        <w:spacing w:after="0" w:line="121"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As of September 30, 2023, the Company has authorized 1,000,000,000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201" w:lineRule="exact"/>
        <w:rPr>
          <w:sz w:val="20"/>
          <w:szCs w:val="20"/>
          <w:color w:val="auto"/>
        </w:rPr>
      </w:pPr>
    </w:p>
    <w:p>
      <w:pPr>
        <w:ind w:right="100" w:firstLine="1134"/>
        <w:spacing w:after="0"/>
        <w:rPr>
          <w:sz w:val="20"/>
          <w:szCs w:val="20"/>
          <w:color w:val="auto"/>
        </w:rPr>
      </w:pPr>
      <w:r>
        <w:rPr>
          <w:rFonts w:ascii="Arial" w:cs="Arial" w:eastAsia="Arial" w:hAnsi="Arial"/>
          <w:sz w:val="18"/>
          <w:szCs w:val="18"/>
          <w:color w:val="auto"/>
        </w:rPr>
        <w:t>On July 16, 2021, the Board and the Company’s stockholders approved an amendment and restatement of the Company’s certificate of incorporation to effect a 1.3333-for-1 stock split of its common stock and redeemable convertible preferred stock, which became effective upon filing with the Secretary of State of the State of Delaware on July 16, 2021.</w:t>
      </w:r>
    </w:p>
    <w:p>
      <w:pPr>
        <w:spacing w:after="0" w:line="3" w:lineRule="exact"/>
        <w:rPr>
          <w:sz w:val="20"/>
          <w:szCs w:val="20"/>
          <w:color w:val="auto"/>
        </w:rPr>
      </w:pPr>
    </w:p>
    <w:p>
      <w:pPr>
        <w:jc w:val="both"/>
        <w:ind w:firstLine="1134"/>
        <w:spacing w:after="0" w:line="239" w:lineRule="auto"/>
        <w:rPr>
          <w:sz w:val="20"/>
          <w:szCs w:val="20"/>
          <w:color w:val="auto"/>
        </w:rPr>
      </w:pPr>
      <w:r>
        <w:rPr>
          <w:rFonts w:ascii="Arial" w:cs="Arial" w:eastAsia="Arial" w:hAnsi="Arial"/>
          <w:sz w:val="18"/>
          <w:szCs w:val="18"/>
          <w:color w:val="auto"/>
        </w:rPr>
        <w:t>On July 16, 2021, the Board and the Company’s stockholders approved an amendment and restatement of the Company’s certificate of incorporation, which became effective immediately following the closing of the Company's initial public offering (“IPO”) and filing with the Secretary of State of the State of Delaware on July 27, 2021</w:t>
      </w:r>
    </w:p>
    <w:p>
      <w:pPr>
        <w:spacing w:after="0" w:line="95" w:lineRule="exact"/>
        <w:rPr>
          <w:sz w:val="20"/>
          <w:szCs w:val="20"/>
          <w:color w:val="auto"/>
        </w:rPr>
      </w:pPr>
    </w:p>
    <w:p>
      <w:pPr>
        <w:jc w:val="both"/>
        <w:ind w:firstLine="1134"/>
        <w:spacing w:after="0" w:line="301" w:lineRule="auto"/>
        <w:rPr>
          <w:sz w:val="20"/>
          <w:szCs w:val="20"/>
          <w:color w:val="auto"/>
        </w:rPr>
      </w:pPr>
      <w:r>
        <w:rPr>
          <w:rFonts w:ascii="Arial" w:cs="Arial" w:eastAsia="Arial" w:hAnsi="Arial"/>
          <w:sz w:val="16"/>
          <w:szCs w:val="16"/>
          <w:color w:val="auto"/>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spacing w:after="0" w:line="49"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7"/>
          <w:szCs w:val="17"/>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September 30, 2023, the Company has not made any sales of common stock pursuant to the 2022 Sales Agreement.</w:t>
      </w:r>
    </w:p>
    <w:p>
      <w:pPr>
        <w:spacing w:after="0" w:line="63"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On May 17, 2023, the Board approved a program for the repurchase by the Company of up to an aggregate of $50 million of its outstanding common stock. During the three months ended September 30, 2023, the Company repurchased 1,155,229 shares of its outstanding common stock for a total cost of approximately $8.4 million at an average price per share of $7.42. During the nine months ended September 30, 2023, the Company repurchased 1,281,011 shares of its outstanding common stock for a total cost of approximately $9.4 million at an average price per share of $7.33. The repurchase program was used to return capital to shareholders and to minimize the dilutive impact of stock options and other share-based awards. The repurchased shares of common stock were retired.</w:t>
      </w:r>
    </w:p>
    <w:p>
      <w:pPr>
        <w:spacing w:after="0" w:line="200" w:lineRule="exact"/>
        <w:rPr>
          <w:sz w:val="20"/>
          <w:szCs w:val="20"/>
          <w:color w:val="auto"/>
        </w:rPr>
      </w:pPr>
    </w:p>
    <w:p>
      <w:pPr>
        <w:spacing w:after="0" w:line="2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Stock-based compensation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September 30, 2023, the Company had three stock-based compensation plans (the “Plans”) which are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Equity Incentive Plan</w:t>
      </w:r>
    </w:p>
    <w:p>
      <w:pPr>
        <w:spacing w:after="0" w:line="117"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Equity Incentive Plan</w:t>
      </w:r>
    </w:p>
    <w:p>
      <w:pPr>
        <w:spacing w:after="0" w:line="117"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Board of Directors elects to authorize a lesser number of shares prior to the applicable January 1. As of September 30, 2023, the total number of shares of common stock available for issuance under the 2021 Plan was 21,204,295 shares.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117" w:lineRule="exact"/>
        <w:rPr>
          <w:sz w:val="20"/>
          <w:szCs w:val="20"/>
          <w:color w:val="auto"/>
        </w:rPr>
      </w:pPr>
    </w:p>
    <w:p>
      <w:pPr>
        <w:jc w:val="both"/>
        <w:ind w:firstLine="1134"/>
        <w:spacing w:after="0" w:line="291" w:lineRule="auto"/>
        <w:rPr>
          <w:sz w:val="20"/>
          <w:szCs w:val="20"/>
          <w:color w:val="auto"/>
        </w:rPr>
      </w:pPr>
      <w:r>
        <w:rPr>
          <w:rFonts w:ascii="Arial" w:cs="Arial" w:eastAsia="Arial" w:hAnsi="Arial"/>
          <w:sz w:val="16"/>
          <w:szCs w:val="16"/>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During the nine months ended September 30, 2023, 145,569 shares were issued pursuant to purchases under the ESPP. As of September 30, 2023, the total number of shares of common stock available for issuance under the ESPP was 4,352,888 shares.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 assumptions</w:t>
      </w:r>
    </w:p>
    <w:p>
      <w:pPr>
        <w:spacing w:after="0" w:line="117" w:lineRule="exact"/>
        <w:rPr>
          <w:sz w:val="20"/>
          <w:szCs w:val="20"/>
          <w:color w:val="auto"/>
        </w:rPr>
      </w:pPr>
    </w:p>
    <w:p>
      <w:pPr>
        <w:ind w:right="240" w:firstLine="1134"/>
        <w:spacing w:after="0" w:line="272" w:lineRule="auto"/>
        <w:rPr>
          <w:sz w:val="20"/>
          <w:szCs w:val="20"/>
          <w:color w:val="auto"/>
        </w:rPr>
      </w:pPr>
      <w:r>
        <w:rPr>
          <w:rFonts w:ascii="Arial" w:cs="Arial" w:eastAsia="Arial" w:hAnsi="Arial"/>
          <w:sz w:val="17"/>
          <w:szCs w:val="17"/>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shows stock option activity during the periods indicated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remaining</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Number of options</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13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7"/>
              </w:rPr>
              <w:t>Aggregate intrinsic</w:t>
            </w:r>
          </w:p>
        </w:tc>
      </w:tr>
      <w:tr>
        <w:trPr>
          <w:trHeight w:val="200"/>
        </w:trPr>
        <w:tc>
          <w:tcPr>
            <w:tcW w:w="55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7"/>
                <w:szCs w:val="17"/>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value</w:t>
            </w:r>
          </w:p>
        </w:tc>
      </w:tr>
      <w:tr>
        <w:trPr>
          <w:trHeight w:val="25"/>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7,578,635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37,200</w:t>
            </w:r>
          </w:p>
        </w:tc>
      </w:tr>
      <w:tr>
        <w:trPr>
          <w:trHeight w:val="250"/>
        </w:trPr>
        <w:tc>
          <w:tcPr>
            <w:tcW w:w="550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1,295,948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50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(337,754)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500" w:type="dxa"/>
            <w:vAlign w:val="bottom"/>
          </w:tcPr>
          <w:p>
            <w:pPr>
              <w:ind w:left="20"/>
              <w:spacing w:after="0"/>
              <w:rPr>
                <w:sz w:val="20"/>
                <w:szCs w:val="20"/>
                <w:color w:val="auto"/>
              </w:rPr>
            </w:pPr>
            <w:r>
              <w:rPr>
                <w:rFonts w:ascii="Arial" w:cs="Arial" w:eastAsia="Arial" w:hAnsi="Arial"/>
                <w:sz w:val="18"/>
                <w:szCs w:val="18"/>
                <w:color w:val="auto"/>
              </w:rPr>
              <w:t>Balance as of September 30, 2023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7,528,165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12,753</w:t>
            </w:r>
          </w:p>
        </w:tc>
      </w:tr>
      <w:tr>
        <w:trPr>
          <w:trHeight w:val="21"/>
        </w:trPr>
        <w:tc>
          <w:tcPr>
            <w:tcW w:w="55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as of September 30,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4,533,451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 weighted-average grant date fair value of options granted during the three months ended September 30, 2023 was $4.91 and the company did not grant any stock options during the three months ended September, 2022. The weighted-average grant date fair value of options granted during the nine months ended September 30, 2023 and 2022 was $6.64 and $8.14 per share, respectively.</w:t>
      </w:r>
    </w:p>
    <w:p>
      <w:pPr>
        <w:spacing w:after="0" w:line="76"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There was $24.1 million and $31.6 million of unrecognized stock-based compensation expense related to unvested stock options as of September 30, 2023 and 2022, respectively. The unrecognized stock-based compensation expense is estimated to be recognized over a period of 2.12 years and 2.42 years as of September 30, 2023 and 2022, respectively.</w:t>
      </w:r>
    </w:p>
    <w:p>
      <w:pPr>
        <w:spacing w:after="0" w:line="7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Company currently uses authorized and unissued shares to satisfy option exercises.</w:t>
      </w:r>
    </w:p>
    <w:p>
      <w:pPr>
        <w:spacing w:after="0" w:line="11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aggregate intrinsic value is calculated as the difference between the exercise price and the estimated fair value of the Company’s common stock as of September 30, 2023.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shows RSU awards activity during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remaining</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grant date fair value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 (in</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7"/>
              </w:rPr>
              <w:t>Aggregate intrinsic</w:t>
            </w:r>
          </w:p>
        </w:tc>
      </w:tr>
      <w:tr>
        <w:trPr>
          <w:trHeight w:val="200"/>
        </w:trPr>
        <w:tc>
          <w:tcPr>
            <w:tcW w:w="5500" w:type="dxa"/>
            <w:vAlign w:val="bottom"/>
          </w:tcPr>
          <w:p>
            <w:pPr>
              <w:spacing w:after="0"/>
              <w:rPr>
                <w:sz w:val="17"/>
                <w:szCs w:val="17"/>
                <w:color w:val="auto"/>
              </w:rPr>
            </w:pP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 share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value (in thousands)</w:t>
            </w:r>
          </w:p>
        </w:tc>
      </w:tr>
      <w:tr>
        <w:trPr>
          <w:trHeight w:val="26"/>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1,169,508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w:t>
            </w:r>
          </w:p>
        </w:tc>
      </w:tr>
      <w:tr>
        <w:trPr>
          <w:trHeight w:val="250"/>
        </w:trPr>
        <w:tc>
          <w:tcPr>
            <w:tcW w:w="55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2,402,781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(313,399)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7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at September 30,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2,815,122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There was $29.0 million and $15.1 million of unrecognized stock-based compensation expense related to unvested RSU awards as of September 30, 2023 and 2022, respectively. The unrecognized stock-based compensation expense is estimated to be recognized over a period of 3.21 and 3.44 years as of September 30, 2023 and 2022,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shows the allocation of stock-based compensation expense related to the Company’s stock-based awards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304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92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5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6"/>
        </w:trPr>
        <w:tc>
          <w:tcPr>
            <w:tcW w:w="5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3,600</w:t>
            </w:r>
          </w:p>
        </w:tc>
      </w:tr>
      <w:tr>
        <w:trPr>
          <w:trHeight w:val="26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r>
      <w:tr>
        <w:trPr>
          <w:trHeight w:val="25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2,105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r>
      <w:tr>
        <w:trPr>
          <w:trHeight w:val="275"/>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following table shows the weighted-average valuation assumptions used in determining the fair value of employee stock options: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4"/>
        </w:trPr>
        <w:tc>
          <w:tcPr>
            <w:tcW w:w="6020" w:type="dxa"/>
            <w:vAlign w:val="bottom"/>
            <w:gridSpan w:val="2"/>
          </w:tcPr>
          <w:p>
            <w:pPr>
              <w:ind w:left="5640"/>
              <w:spacing w:after="0"/>
              <w:rPr>
                <w:sz w:val="20"/>
                <w:szCs w:val="20"/>
                <w:color w:val="auto"/>
              </w:rPr>
            </w:pPr>
            <w:r>
              <w:rPr>
                <w:rFonts w:ascii="Arial" w:cs="Arial" w:eastAsia="Arial" w:hAnsi="Arial"/>
                <w:sz w:val="14"/>
                <w:szCs w:val="14"/>
                <w:b w:val="1"/>
                <w:bCs w:val="1"/>
                <w:color w:val="auto"/>
              </w:rPr>
              <w:t>2023</w:t>
            </w:r>
          </w:p>
        </w:tc>
        <w:tc>
          <w:tcPr>
            <w:tcW w:w="1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2022</w:t>
            </w:r>
          </w:p>
        </w:tc>
      </w:tr>
      <w:tr>
        <w:trPr>
          <w:trHeight w:val="25"/>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5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73 %</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71 %</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6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5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300" w:firstLine="1134"/>
        <w:spacing w:after="0" w:line="277"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the ESPP for the current offering period using the Black-Scholes option-pricing model: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6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5940" w:type="dxa"/>
            <w:vAlign w:val="bottom"/>
            <w:gridSpan w:val="2"/>
          </w:tcPr>
          <w:p>
            <w:pPr>
              <w:ind w:left="5560"/>
              <w:spacing w:after="0"/>
              <w:rPr>
                <w:sz w:val="20"/>
                <w:szCs w:val="20"/>
                <w:color w:val="auto"/>
              </w:rPr>
            </w:pPr>
            <w:r>
              <w:rPr>
                <w:rFonts w:ascii="Arial" w:cs="Arial" w:eastAsia="Arial" w:hAnsi="Arial"/>
                <w:sz w:val="14"/>
                <w:szCs w:val="14"/>
                <w:b w:val="1"/>
                <w:bCs w:val="1"/>
                <w:color w:val="auto"/>
              </w:rPr>
              <w:t>2023</w:t>
            </w:r>
          </w:p>
        </w:tc>
        <w:tc>
          <w:tcPr>
            <w:tcW w:w="1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25"/>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67 %</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72 %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6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5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Employee benefit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retirement savings plan</w:t>
      </w:r>
    </w:p>
    <w:p>
      <w:pPr>
        <w:spacing w:after="0" w:line="11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Company currently maintains a 401(k) retirement savings plan that covers substantially all of its employees (“401(k) Plan”). The 401(k) Plan permits voluntary contributions by employees, a portion of which are matched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the Company. The Company’s contributions to the 401(k) Plan were approximately $469,000 and $1,238,000 for the three and nine months ended September 30, 2023, respectively. The Company’s contributions to the 401(k) Plan were approximately $273,000, and $791,000 for the three and nine months ended September 30, 2022, respectively.</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Income taxes</w:t>
      </w:r>
    </w:p>
    <w:p>
      <w:pPr>
        <w:spacing w:after="0" w:line="364" w:lineRule="exact"/>
        <w:rPr>
          <w:sz w:val="20"/>
          <w:szCs w:val="20"/>
          <w:color w:val="auto"/>
        </w:rPr>
      </w:pPr>
    </w:p>
    <w:p>
      <w:pPr>
        <w:ind w:right="80" w:firstLine="1134"/>
        <w:spacing w:after="0" w:line="261" w:lineRule="auto"/>
        <w:rPr>
          <w:sz w:val="20"/>
          <w:szCs w:val="20"/>
          <w:color w:val="auto"/>
        </w:rPr>
      </w:pPr>
      <w:r>
        <w:rPr>
          <w:rFonts w:ascii="Arial" w:cs="Arial" w:eastAsia="Arial" w:hAnsi="Arial"/>
          <w:sz w:val="17"/>
          <w:szCs w:val="17"/>
          <w:color w:val="auto"/>
        </w:rPr>
        <w:t>The Company's effective income tax rate from continuing operations was 11.0% and 56.8% for the nine months ended September 30, 2023 and 2022, respectively. The Company’s effective income tax rate for the nine months ended September 30, 2023 is lower than the US federal statutory tax rate due to a loss projected for the year and the impact of state income taxes, non-deductible stock-based compensation, the Company's mix of earnings between various taxing jurisdictions, which are partially offset by a deduction for foreign-sourced revenue, stock compensation, and federal and state research credits. The effective income tax rate for the nine months ended September 30, 2022 was higher than the US federal statutory tax rate primarily due to non-deductible stock-based compensation, the Company's mix of earnings between various taxing jurisdictions, partially offset by a deduction for foreign-sourced revenue, and federal and state research credits.</w:t>
      </w:r>
    </w:p>
    <w:p>
      <w:pPr>
        <w:spacing w:after="0" w:line="64"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Lease</w:t>
      </w:r>
    </w:p>
    <w:p>
      <w:pPr>
        <w:spacing w:after="0" w:line="121"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80"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The Company leases office facilities and equipment from unrelated parties under operating lease agreements that have initial terms ranging from 1 to 7.25 years. Some leases include one or more options to renew, generally at the Company's sole discretion, with renewal terms that can extend the lease term up to five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The Company is a sub-lessor in an agreement with a term of three years.</w:t>
      </w:r>
    </w:p>
    <w:p>
      <w:pPr>
        <w:spacing w:after="0" w:line="8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Operating lease cost is recognized on a straight-line basis over the lease term. The components of lease expense are as follows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Pr>
          <w:p>
            <w:pPr>
              <w:spacing w:after="0"/>
              <w:rPr>
                <w:sz w:val="16"/>
                <w:szCs w:val="16"/>
                <w:color w:val="auto"/>
              </w:rPr>
            </w:pPr>
          </w:p>
        </w:tc>
      </w:tr>
      <w:tr>
        <w:trPr>
          <w:trHeight w:val="216"/>
        </w:trPr>
        <w:tc>
          <w:tcPr>
            <w:tcW w:w="8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8"/>
                <w:szCs w:val="18"/>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lease cost</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3,027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For the three and nine months ended September 30, 2023, sublease income were $68,000 and $204,000, respectively, recorded as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Supplemental cash flow information related to leases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16"/>
        </w:trPr>
        <w:tc>
          <w:tcPr>
            <w:tcW w:w="5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5"/>
        </w:trPr>
        <w:tc>
          <w:tcPr>
            <w:tcW w:w="52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Cash paid for amounts included in measurement of lease liabilities:</w:t>
            </w:r>
          </w:p>
        </w:tc>
        <w:tc>
          <w:tcPr>
            <w:tcW w:w="2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5200" w:type="dxa"/>
            <w:vAlign w:val="bottom"/>
          </w:tcPr>
          <w:p>
            <w:pPr>
              <w:ind w:left="180"/>
              <w:spacing w:after="0"/>
              <w:rPr>
                <w:sz w:val="20"/>
                <w:szCs w:val="20"/>
                <w:color w:val="auto"/>
              </w:rPr>
            </w:pPr>
            <w:r>
              <w:rPr>
                <w:rFonts w:ascii="Arial" w:cs="Arial" w:eastAsia="Arial" w:hAnsi="Arial"/>
                <w:sz w:val="18"/>
                <w:szCs w:val="18"/>
                <w:color w:val="auto"/>
              </w:rPr>
              <w:t>Operating cash outflows - payments on operating leases</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63"/>
        </w:trPr>
        <w:tc>
          <w:tcPr>
            <w:tcW w:w="520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w w:val="95"/>
              </w:rPr>
              <w:t>Right-of-use assets obtained in exchange for new lease obligations:</w:t>
            </w:r>
          </w:p>
        </w:tc>
        <w:tc>
          <w:tcPr>
            <w:tcW w:w="2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16,741</w:t>
            </w:r>
          </w:p>
        </w:tc>
      </w:tr>
      <w:tr>
        <w:trPr>
          <w:trHeight w:val="796"/>
        </w:trPr>
        <w:tc>
          <w:tcPr>
            <w:tcW w:w="5200" w:type="dxa"/>
            <w:vAlign w:val="bottom"/>
          </w:tcPr>
          <w:p>
            <w:pPr>
              <w:spacing w:after="0"/>
              <w:rPr>
                <w:sz w:val="24"/>
                <w:szCs w:val="24"/>
                <w:color w:val="auto"/>
              </w:rPr>
            </w:pPr>
          </w:p>
        </w:tc>
        <w:tc>
          <w:tcPr>
            <w:tcW w:w="2980" w:type="dxa"/>
            <w:vAlign w:val="bottom"/>
          </w:tcPr>
          <w:p>
            <w:pPr>
              <w:jc w:val="right"/>
              <w:ind w:right="237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5200" w:type="dxa"/>
            <w:vAlign w:val="bottom"/>
            <w:tcBorders>
              <w:bottom w:val="single" w:sz="8" w:color="9A9A9A"/>
            </w:tcBorders>
          </w:tcPr>
          <w:p>
            <w:pPr>
              <w:spacing w:after="0"/>
              <w:rPr>
                <w:sz w:val="19"/>
                <w:szCs w:val="19"/>
                <w:color w:val="auto"/>
              </w:rPr>
            </w:pPr>
          </w:p>
        </w:tc>
        <w:tc>
          <w:tcPr>
            <w:tcW w:w="29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Supplemental balance sheet information related to leases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Included in other 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w:t>
            </w:r>
          </w:p>
        </w:tc>
      </w:tr>
      <w:tr>
        <w:trPr>
          <w:trHeight w:val="275"/>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right="115"/>
              <w:spacing w:after="0"/>
              <w:rPr>
                <w:sz w:val="20"/>
                <w:szCs w:val="20"/>
                <w:color w:val="auto"/>
              </w:rPr>
            </w:pPr>
            <w:r>
              <w:rPr>
                <w:rFonts w:ascii="Arial" w:cs="Arial" w:eastAsia="Arial" w:hAnsi="Arial"/>
                <w:sz w:val="18"/>
                <w:szCs w:val="18"/>
                <w:color w:val="auto"/>
                <w:w w:val="91"/>
              </w:rPr>
              <w:t>4.81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1"/>
              </w:rPr>
              <w:t>5.47</w:t>
            </w:r>
          </w:p>
        </w:tc>
      </w:tr>
      <w:tr>
        <w:trPr>
          <w:trHeight w:val="270"/>
        </w:trPr>
        <w:tc>
          <w:tcPr>
            <w:tcW w:w="8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right="115"/>
              <w:spacing w:after="0"/>
              <w:rPr>
                <w:sz w:val="20"/>
                <w:szCs w:val="20"/>
                <w:color w:val="auto"/>
              </w:rPr>
            </w:pPr>
            <w:r>
              <w:rPr>
                <w:rFonts w:ascii="Arial" w:cs="Arial" w:eastAsia="Arial" w:hAnsi="Arial"/>
                <w:sz w:val="18"/>
                <w:szCs w:val="18"/>
                <w:color w:val="auto"/>
                <w:w w:val="87"/>
              </w:rPr>
              <w:t>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87"/>
              </w:rPr>
              <w:t>2.6%</w:t>
            </w:r>
          </w:p>
        </w:tc>
      </w:tr>
    </w:tbl>
    <w:p>
      <w:pPr>
        <w:spacing w:after="0" w:line="188"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Future undiscounted cash flows for each of the next five years and thereafter and reconciliation to the lease liabilities recognized on the balance sheet as of September 30, 2023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nine months ended September 30, 2023)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2,571</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r>
      <w:tr>
        <w:trPr>
          <w:trHeight w:val="256"/>
        </w:trPr>
        <w:tc>
          <w:tcPr>
            <w:tcW w:w="9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r>
      <w:tr>
        <w:trPr>
          <w:trHeight w:val="243"/>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75"/>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present value of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80"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Company is not currently involved in legal actions, nor is management aware of any potential claims or legal actions, for which the ultimate disposition could have a material effect on the Company’s financial position, results of operations or liquidity.</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Investment in Cytek Japan</w:t>
      </w:r>
    </w:p>
    <w:p>
      <w:pPr>
        <w:spacing w:after="0" w:line="121"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income for the year ended December 31, 2022.</w:t>
      </w:r>
    </w:p>
    <w:p>
      <w:pPr>
        <w:spacing w:after="0" w:line="80"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under the VOE model as Cytek Japan does not meet the definition of a VIE and as TOMY does not have substantive voting, participating or liquidation rights.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80" w:firstLine="1134"/>
        <w:spacing w:after="0" w:line="277" w:lineRule="auto"/>
        <w:rPr>
          <w:sz w:val="20"/>
          <w:szCs w:val="20"/>
          <w:color w:val="auto"/>
        </w:rPr>
      </w:pPr>
      <w:r>
        <w:rPr>
          <w:rFonts w:ascii="Arial" w:cs="Arial" w:eastAsia="Arial" w:hAnsi="Arial"/>
          <w:sz w:val="18"/>
          <w:szCs w:val="18"/>
          <w:color w:val="auto"/>
        </w:rPr>
        <w:t>The Company recognized net assets of $1.1 million, consisting primarily of $1.0 million cash. The Company recorded noncontrolling interest of $315,000 on the unaudited interim consolidated financial statements as of March 31, 2021.</w:t>
      </w:r>
    </w:p>
    <w:p>
      <w:pPr>
        <w:spacing w:after="0" w:line="62"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In January 2023, the Company purchased an additional $235,000 of common stock of Cytek Japan. Cytek Japan became a wholly-owned subsidiary of the Company.</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Product warranty</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following table shows the activity in the product warranty accrual included in accrued expenses on the consolidated balance sheets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the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636"/>
              <w:spacing w:after="0"/>
              <w:rPr>
                <w:sz w:val="20"/>
                <w:szCs w:val="20"/>
                <w:color w:val="auto"/>
              </w:rPr>
            </w:pPr>
            <w:r>
              <w:rPr>
                <w:rFonts w:ascii="Arial" w:cs="Arial" w:eastAsia="Arial" w:hAnsi="Arial"/>
                <w:sz w:val="18"/>
                <w:szCs w:val="18"/>
                <w:color w:val="auto"/>
                <w:w w:val="88"/>
              </w:rPr>
              <w:t>2,126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88"/>
              </w:rPr>
              <w:t>1,760</w:t>
            </w: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Accrual for current year warranties</w:t>
            </w:r>
          </w:p>
        </w:tc>
        <w:tc>
          <w:tcPr>
            <w:tcW w:w="200" w:type="dxa"/>
            <w:vAlign w:val="bottom"/>
          </w:tcPr>
          <w:p>
            <w:pPr>
              <w:spacing w:after="0"/>
              <w:rPr>
                <w:sz w:val="21"/>
                <w:szCs w:val="21"/>
                <w:color w:val="auto"/>
              </w:rPr>
            </w:pPr>
          </w:p>
        </w:tc>
        <w:tc>
          <w:tcPr>
            <w:tcW w:w="1280" w:type="dxa"/>
            <w:vAlign w:val="bottom"/>
          </w:tcPr>
          <w:p>
            <w:pPr>
              <w:jc w:val="center"/>
              <w:ind w:left="636"/>
              <w:spacing w:after="0"/>
              <w:rPr>
                <w:sz w:val="20"/>
                <w:szCs w:val="20"/>
                <w:color w:val="auto"/>
              </w:rPr>
            </w:pPr>
            <w:r>
              <w:rPr>
                <w:rFonts w:ascii="Arial" w:cs="Arial" w:eastAsia="Arial" w:hAnsi="Arial"/>
                <w:sz w:val="18"/>
                <w:szCs w:val="18"/>
                <w:color w:val="auto"/>
                <w:w w:val="88"/>
              </w:rPr>
              <w:t>2,958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ind w:left="616"/>
              <w:spacing w:after="0"/>
              <w:rPr>
                <w:sz w:val="20"/>
                <w:szCs w:val="20"/>
                <w:color w:val="auto"/>
              </w:rPr>
            </w:pPr>
            <w:r>
              <w:rPr>
                <w:rFonts w:ascii="Arial" w:cs="Arial" w:eastAsia="Arial" w:hAnsi="Arial"/>
                <w:sz w:val="18"/>
                <w:szCs w:val="18"/>
                <w:color w:val="auto"/>
                <w:w w:val="88"/>
              </w:rPr>
              <w:t>2,841</w:t>
            </w:r>
          </w:p>
        </w:tc>
      </w:tr>
      <w:tr>
        <w:trPr>
          <w:trHeight w:val="25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Warranty cost incurred</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center"/>
              <w:ind w:left="616"/>
              <w:spacing w:after="0"/>
              <w:rPr>
                <w:sz w:val="20"/>
                <w:szCs w:val="20"/>
                <w:color w:val="auto"/>
              </w:rPr>
            </w:pPr>
            <w:r>
              <w:rPr>
                <w:rFonts w:ascii="Arial" w:cs="Arial" w:eastAsia="Arial" w:hAnsi="Arial"/>
                <w:sz w:val="18"/>
                <w:szCs w:val="18"/>
                <w:color w:val="auto"/>
                <w:w w:val="94"/>
              </w:rPr>
              <w:t>(2,302)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center"/>
              <w:ind w:left="596"/>
              <w:spacing w:after="0"/>
              <w:rPr>
                <w:sz w:val="20"/>
                <w:szCs w:val="20"/>
                <w:color w:val="auto"/>
              </w:rPr>
            </w:pPr>
            <w:r>
              <w:rPr>
                <w:rFonts w:ascii="Arial" w:cs="Arial" w:eastAsia="Arial" w:hAnsi="Arial"/>
                <w:sz w:val="18"/>
                <w:szCs w:val="18"/>
                <w:color w:val="auto"/>
                <w:w w:val="94"/>
              </w:rPr>
              <w:t>(2,475)</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center"/>
              <w:ind w:left="636"/>
              <w:spacing w:after="0"/>
              <w:rPr>
                <w:sz w:val="20"/>
                <w:szCs w:val="20"/>
                <w:color w:val="auto"/>
              </w:rPr>
            </w:pPr>
            <w:r>
              <w:rPr>
                <w:rFonts w:ascii="Arial" w:cs="Arial" w:eastAsia="Arial" w:hAnsi="Arial"/>
                <w:sz w:val="18"/>
                <w:szCs w:val="18"/>
                <w:color w:val="auto"/>
                <w:w w:val="88"/>
              </w:rPr>
              <w:t>2,782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616"/>
              <w:spacing w:after="0"/>
              <w:rPr>
                <w:sz w:val="20"/>
                <w:szCs w:val="20"/>
                <w:color w:val="auto"/>
              </w:rPr>
            </w:pPr>
            <w:r>
              <w:rPr>
                <w:rFonts w:ascii="Arial" w:cs="Arial" w:eastAsia="Arial" w:hAnsi="Arial"/>
                <w:sz w:val="18"/>
                <w:szCs w:val="18"/>
                <w:color w:val="auto"/>
                <w:w w:val="88"/>
              </w:rPr>
              <w:t>2,126</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Net income (loss) attributable to common stockholders per share</w:t>
      </w:r>
    </w:p>
    <w:p>
      <w:pPr>
        <w:spacing w:after="0" w:line="121"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income (loss) attributable to common stockholders per share for the three and nine months ended September 30, 2023 and 2022 (in thousands except share and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5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(6,456)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noncontrolling interests</w:t>
            </w: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532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w w:val="94"/>
              </w:rPr>
              <w:t>Net income (loss) attributable to common stockholders, basic and</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8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(17,651)</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 attributable to</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136,173,278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134,711,701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135,862,905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134,342,059</w:t>
            </w:r>
          </w:p>
        </w:tc>
        <w:tc>
          <w:tcPr>
            <w:tcW w:w="0" w:type="dxa"/>
            <w:vAlign w:val="bottom"/>
          </w:tcPr>
          <w:p>
            <w:pPr>
              <w:spacing w:after="0"/>
              <w:rPr>
                <w:sz w:val="1"/>
                <w:szCs w:val="1"/>
                <w:color w:val="auto"/>
              </w:rPr>
            </w:pPr>
          </w:p>
        </w:tc>
      </w:tr>
      <w:tr>
        <w:trPr>
          <w:trHeight w:val="263"/>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employee stock plans</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3,997,634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5320" w:type="dxa"/>
            <w:vAlign w:val="bottom"/>
          </w:tcPr>
          <w:p>
            <w:pPr>
              <w:ind w:left="180"/>
              <w:spacing w:after="0" w:line="195" w:lineRule="exact"/>
              <w:rPr>
                <w:sz w:val="20"/>
                <w:szCs w:val="20"/>
                <w:color w:val="auto"/>
              </w:rPr>
            </w:pPr>
            <w:r>
              <w:rPr>
                <w:rFonts w:ascii="Arial" w:cs="Arial" w:eastAsia="Arial" w:hAnsi="Arial"/>
                <w:sz w:val="18"/>
                <w:szCs w:val="18"/>
                <w:color w:val="auto"/>
              </w:rPr>
              <w:t>Weighted-average common shares outstanding, attributable to</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stockholders, diluted</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136,173,278</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138,709,335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135,862,905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134,342,059</w:t>
            </w: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20"/>
              <w:spacing w:after="0"/>
              <w:rPr>
                <w:sz w:val="20"/>
                <w:szCs w:val="20"/>
                <w:color w:val="auto"/>
              </w:rPr>
            </w:pPr>
            <w:r>
              <w:rPr>
                <w:rFonts w:ascii="Arial" w:cs="Arial" w:eastAsia="Arial" w:hAnsi="Arial"/>
                <w:sz w:val="18"/>
                <w:szCs w:val="18"/>
                <w:color w:val="auto"/>
                <w:w w:val="93"/>
              </w:rPr>
              <w:t>Net income (loss) attributable to common stockholders per share, 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Net income (loss) attributable to common stockholders per share, diluted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Stock-based compensation awards of approximately 7.2 million and 6.2 million shares for the three and nine months ended September 30, 2023, respectively, and 3.5 million and 4.1 million shares for the three and nine months ended September 30, 2022 respectively, were outstanding but were not included in the computation of diluted net loss per share attributable to common stockholders because the effect of including such shares would have been anti-dilutive in the periods presented.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Geographic areas</w:t>
      </w:r>
    </w:p>
    <w:p>
      <w:pPr>
        <w:spacing w:after="0" w:line="121" w:lineRule="exact"/>
        <w:rPr>
          <w:sz w:val="20"/>
          <w:szCs w:val="20"/>
          <w:color w:val="auto"/>
        </w:rPr>
      </w:pPr>
    </w:p>
    <w:p>
      <w:pPr>
        <w:ind w:firstLine="1134"/>
        <w:spacing w:after="0" w:line="277" w:lineRule="auto"/>
        <w:rPr>
          <w:sz w:val="20"/>
          <w:szCs w:val="20"/>
          <w:color w:val="auto"/>
        </w:rPr>
      </w:pPr>
      <w:r>
        <w:rPr>
          <w:rFonts w:ascii="Arial" w:cs="Arial" w:eastAsia="Arial" w:hAnsi="Arial"/>
          <w:sz w:val="18"/>
          <w:szCs w:val="18"/>
          <w:color w:val="auto"/>
        </w:rPr>
        <w:t>The Company sells its products worldwide and attributes revenue to the geography where the product is delivered. The geographical distribution of revenue for the three and nine months ended September 30, 2023 and 2022 was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304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5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6"/>
        </w:trPr>
        <w:tc>
          <w:tcPr>
            <w:tcW w:w="5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67,896</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EMEA</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10,301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27,823</w:t>
            </w:r>
          </w:p>
        </w:tc>
      </w:tr>
      <w:tr>
        <w:trPr>
          <w:trHeight w:val="26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8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18,306</w:t>
            </w:r>
          </w:p>
        </w:tc>
      </w:tr>
      <w:tr>
        <w:trPr>
          <w:trHeight w:val="25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r>
      <w:tr>
        <w:trPr>
          <w:trHeight w:val="27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net</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48,000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115,700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EMEA includes Europe, the Middle East and Africa; APAC includes Asia and the Pacific countries; Other includes Canada and Latin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 the three and nine months ended September 30, 2023 and 2022, the Company had no major customers.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As of September 30, 2023 and December 31, 2022, the Company’s long-lived assets by geographic area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September 30, 2023</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tcPr>
          <w:p>
            <w:pPr>
              <w:jc w:val="right"/>
              <w:ind w:right="595"/>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61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6"/>
        </w:trPr>
        <w:tc>
          <w:tcPr>
            <w:tcW w:w="6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5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20" w:type="dxa"/>
            <w:vAlign w:val="bottom"/>
            <w:shd w:val="clear" w:color="auto" w:fill="CCEEFF"/>
          </w:tcPr>
          <w:p>
            <w:pPr>
              <w:jc w:val="right"/>
              <w:ind w:right="16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r>
      <w:tr>
        <w:trPr>
          <w:trHeight w:val="250"/>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APAC</w:t>
            </w:r>
          </w:p>
        </w:tc>
        <w:tc>
          <w:tcPr>
            <w:tcW w:w="18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w:t>
            </w:r>
          </w:p>
        </w:tc>
      </w:tr>
      <w:tr>
        <w:trPr>
          <w:trHeight w:val="275"/>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6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17,415</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13,682</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80" w:firstLine="499"/>
        <w:spacing w:after="0" w:line="277" w:lineRule="auto"/>
        <w:rPr>
          <w:sz w:val="20"/>
          <w:szCs w:val="20"/>
          <w:color w:val="auto"/>
        </w:rPr>
      </w:pPr>
      <w:r>
        <w:rPr>
          <w:rFonts w:ascii="Arial" w:cs="Arial" w:eastAsia="Arial" w:hAnsi="Arial"/>
          <w:sz w:val="18"/>
          <w:szCs w:val="18"/>
          <w:color w:val="auto"/>
        </w:rPr>
        <w:t>As of September 30, 2023 and December 31, 2022, substantially all of the Company’s long-lived assets were located in the United States and in Wuxi, China.</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Related party transactions</w:t>
      </w:r>
    </w:p>
    <w:p>
      <w:pPr>
        <w:spacing w:after="0" w:line="243" w:lineRule="exact"/>
        <w:rPr>
          <w:sz w:val="20"/>
          <w:szCs w:val="20"/>
          <w:color w:val="auto"/>
        </w:rPr>
      </w:pPr>
    </w:p>
    <w:p>
      <w:pPr>
        <w:ind w:right="160" w:firstLine="1134"/>
        <w:spacing w:after="0"/>
        <w:rPr>
          <w:sz w:val="20"/>
          <w:szCs w:val="20"/>
          <w:color w:val="auto"/>
        </w:rPr>
      </w:pPr>
      <w:r>
        <w:rPr>
          <w:rFonts w:ascii="Arial" w:cs="Arial" w:eastAsia="Arial" w:hAnsi="Arial"/>
          <w:sz w:val="18"/>
          <w:szCs w:val="18"/>
          <w:color w:val="auto"/>
        </w:rPr>
        <w:t>On May 7, 2022, the Company’s wholly-owned Hong Kong subsidiary (“Cytek HK”) completed an investment of $1.6 million in Tianjin Deep Analysis Intelligent Technology Development Co., Ltd, a company incorporated under the laws of the People’s Republic of China (“DeepCyto”) in consideration for the issuance of Series A preferred shares of DeepCyto, representing an ownership interest of approximately 3.3%. At the time of the investment, an entity affiliated with Northern Light Venture Capital (“NLVC”) had a significant ownership interest in DeepCyto and a representative serving on the DeepCyto board of directors. The founding managing partner of NLVC served as a member of the Company’s board of directors until June 1, 2022.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2022 and the related Management’s Discussion and Analysis of Financial Condition and Results of Operations, both of which are contained in our Annual Report on Form 10-K filed with the Securities and Exchange Commission (the “SEC”) on March 1, 2023. Unless the context requires otherwise, references in this Quarterly Report on Form 10-Q to “we,” “us” and “our” refer to Cytek Biosciences,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we have sold and deployed over 1,997 organic Cytek instruments—primarily comprised of our Aurora and Northern Lights systems—to customers around the world, including the largest pharmaceutical companies, over 200 biopharma companies, leading academic research centers, and clinical research organizations (“CROs”). In June 2021, we began shipping the Aurora cell sorter (“Aurora CS”), which uses our FSP technology to further broaden our potential applications across cell analysis.</w:t>
      </w:r>
    </w:p>
    <w:p>
      <w:pPr>
        <w:spacing w:after="0" w:line="71"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On February 28, 2023, we completed the acquisition of the flow cytometry and imaging (“FCI”) business unit of Luminex Corporation (“Luminex”), including relating to the business of manufacturing, marketing, selling, servicing and maintaining Amnis and Guava branded instruments, and flow cytometry reagent products and services.</w:t>
      </w:r>
    </w:p>
    <w:p>
      <w:pPr>
        <w:spacing w:after="0" w:line="76"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We manufacture our instruments in our facilities in Fremont, California, Seattle, Washington and Wuxi, China. We have designed our operating model to be capital efficient and to scale efficiently as our product volumes grow.</w:t>
      </w:r>
    </w:p>
    <w:p>
      <w:pPr>
        <w:spacing w:after="0" w:line="62"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Total revenue for the three and nine months ended September 30, 2023 was $48.0 million and $134.8 million, respectively, representing a 19% and 16% increase compared to revenue for the three and nine months ended September 30, 2022 of $40.5 million and $115.7 million respectively. Total revenue for the three months ended September 30, 2023 included $6.8 million of revenue from the FCI business unit. Excluding revenue from the FCI business unit for the three months ended September 30, 2023, organic revenue was $41.2 million, a 2% increase compared to the same period of the prior year. The 2% increase in organic revenue was primarily related to sales to pharmaceutical and biotech customers in the United States, and revenue growth in EMEA.</w:t>
      </w:r>
    </w:p>
    <w:p>
      <w:pPr>
        <w:spacing w:after="0" w:line="84"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To date, we have adopted a direct sales model in North America, Europe, China, and several other countries in the Asia-Pacific region, and also sell our products through third-party distributors in certain countries in China, Europe,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Latin America, the Middle East, Africa and the Asia-Pacific region. Revenue from direct sales represented 77% and 74% of total revenue for the three and nine months ended September 30, 2023 and 75% and 82% total revenue for the three and nine months ended was September 30, 2022, respectively, and revenue from distributors represented 23% and 26% of total revenue for the three and nine months ended September 30, 2023 and revenue from distributors represented 25% and 18% of total revenue for the three and nine months ended September 30, 2022. If our sales in region outside United States increase, we expect revenue from our distribution channel to increase.</w:t>
      </w:r>
    </w:p>
    <w:p>
      <w:pPr>
        <w:spacing w:after="0" w:line="80"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$11.2 million and $33.3 million for the three and nine months ended September 30, 2023, respectively, and $8.7 million and $25.1 million for the three and nine months ended September 30, 2022, respectively. We intend to continue to make significant investments in research and development in the future.</w:t>
      </w:r>
    </w:p>
    <w:p>
      <w:pPr>
        <w:spacing w:after="0" w:line="80"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We expect to continue to invest in our commercial infrastructure through hiring additional employees with strong scientific and technical backgrounds to support growth in sales of our instruments as well as our planned expansion of reagents offerings and panel design capabilities. We also plan to continue to invest in sales, marketing and business development across the globe to drive commercialization of our products. We incurred sales and marketing expenses of $12.1 million and $37.6 million for the three and nine months ended September 30, 2023, respectively, and $8.8 million and $24.2 million for the three and nine months ended September 30, 2022, respectively.</w:t>
      </w:r>
    </w:p>
    <w:p>
      <w:pPr>
        <w:spacing w:after="0" w:line="80"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Since our inception in 2014, we have financed our operations primarily through sales of our securities and revenue from the sale of our products and services.</w:t>
      </w:r>
    </w:p>
    <w:p>
      <w:pPr>
        <w:spacing w:after="0" w:line="62"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Our net loss was $6.5 million and $17.7 million for the three and nine months ended September 30, 2023, respectively, and net income was $1.6 million and net loss of $1.2 million for the three and nine months ended September 30, 2022, respectively. The change for the three and nine months ended September 30, 2023 compared to the three and nine months ended September 30, 2022 resulted primarily from expenses driven by an increase in headcount and salaries and efforts in research and development and marketing initiatives.</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 expect our expenses will increase substantially in connection with our ongoing activities, as we:</w:t>
      </w:r>
    </w:p>
    <w:p>
      <w:pPr>
        <w:spacing w:after="0" w:line="117" w:lineRule="exact"/>
        <w:rPr>
          <w:sz w:val="20"/>
          <w:szCs w:val="20"/>
          <w:color w:val="auto"/>
        </w:rPr>
      </w:pPr>
    </w:p>
    <w:p>
      <w:pPr>
        <w:ind w:left="2280" w:hanging="1138"/>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2280" w:right="260" w:hanging="1138"/>
        <w:spacing w:after="0" w:line="277" w:lineRule="auto"/>
        <w:tabs>
          <w:tab w:leader="none" w:pos="2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processes, commercial infrastructure and supporting functions to scale our business and introduce new products and services;</w:t>
      </w:r>
    </w:p>
    <w:p>
      <w:pPr>
        <w:spacing w:after="0" w:line="62" w:lineRule="exact"/>
        <w:rPr>
          <w:rFonts w:ascii="Arial" w:cs="Arial" w:eastAsia="Arial" w:hAnsi="Arial"/>
          <w:sz w:val="18"/>
          <w:szCs w:val="18"/>
          <w:color w:val="auto"/>
        </w:rPr>
      </w:pPr>
    </w:p>
    <w:p>
      <w:pPr>
        <w:ind w:left="2280" w:hanging="1138"/>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support our research and development efforts;</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expand geographically;</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 and defend our intellectual property; and</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strategic investments in complementary businesses, services, products or technologies.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 and future performance</w:t>
      </w:r>
    </w:p>
    <w:p>
      <w:pPr>
        <w:spacing w:after="0" w:line="121" w:lineRule="exact"/>
        <w:rPr>
          <w:sz w:val="20"/>
          <w:szCs w:val="20"/>
          <w:color w:val="auto"/>
        </w:rPr>
      </w:pPr>
    </w:p>
    <w:p>
      <w:pPr>
        <w:jc w:val="both"/>
        <w:ind w:right="20" w:firstLine="1134"/>
        <w:spacing w:after="0" w:line="279" w:lineRule="auto"/>
        <w:rPr>
          <w:sz w:val="20"/>
          <w:szCs w:val="20"/>
          <w:color w:val="auto"/>
        </w:rPr>
      </w:pPr>
      <w:r>
        <w:rPr>
          <w:rFonts w:ascii="Arial" w:cs="Arial" w:eastAsia="Arial" w:hAnsi="Arial"/>
          <w:sz w:val="17"/>
          <w:szCs w:val="17"/>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Global customer adoption</w:t>
      </w:r>
    </w:p>
    <w:p>
      <w:pPr>
        <w:spacing w:after="0" w:line="117"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7"/>
          <w:szCs w:val="17"/>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We intend to continue increasing our workforce in line with our growth.</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recurring revenue on an absolute basis to increase and become an increasingly important contributor to our revenue as our installed base expands.</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Revenue mix and gross margin</w:t>
      </w:r>
    </w:p>
    <w:p>
      <w:pPr>
        <w:spacing w:after="0" w:line="117"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7"/>
          <w:szCs w:val="17"/>
          <w:color w:val="auto"/>
        </w:rPr>
        <w:t>Our revenue is primarily derived from sales of our instruments and services with our instruments recognizing higher gross margins than our services. Although we expect sales of our instruments to continue to represent the largest percentage of our revenue in the future, we expect reagent sales to increase as a percentage of our total revenue and our gross margins to experience a corresponding improvement as we grow our installed base and increase our focus on commercializing reagents. We also expect a higher gross margin on our instruments as we increase manufacturing efficiency, instrument reliability and training for personnel using our instruments, which we expect to lead to a reduction in warranty claims. Our sales in certain regions, particularly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as a result of variability in the timing of new product introductions.</w:t>
      </w:r>
    </w:p>
    <w:p>
      <w:pPr>
        <w:spacing w:after="0" w:line="73"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Expansion into new markets</w:t>
      </w:r>
    </w:p>
    <w:p>
      <w:pPr>
        <w:spacing w:after="0" w:line="117"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7"/>
          <w:szCs w:val="17"/>
          <w:color w:val="auto"/>
        </w:rPr>
        <w:t>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68"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7"/>
          <w:szCs w:val="17"/>
          <w:color w:val="auto"/>
        </w:rPr>
        <w:t>The Northern Lights CLC system was certified under the European Union In Vitro Diagnostic Medical Devices Directive in September 2020 and is registered as an in vitro diagnostic medical device under Northern Lights Clinical Flow Cytometer. The certification enables the Northern Lights CLC system to be sold into in vitro diagnostic laboratories in the European Union and in other countries around the world that accept this specific certification. The Northern Lights CLC system is also certified for in vitro diagnostic use as a Class II device in China.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7"/>
          <w:szCs w:val="17"/>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1"/>
              </w:rPr>
              <w:t>Nine months ended 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Change</w:t>
            </w: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2"/>
              </w:rPr>
              <w:t>Dollar Change</w:t>
            </w: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3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Sales channel mix</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60" w:type="dxa"/>
            <w:vAlign w:val="bottom"/>
            <w:gridSpan w:val="2"/>
          </w:tcPr>
          <w:p>
            <w:pPr>
              <w:ind w:left="100"/>
              <w:spacing w:after="0"/>
              <w:rPr>
                <w:sz w:val="20"/>
                <w:szCs w:val="20"/>
                <w:color w:val="auto"/>
              </w:rPr>
            </w:pPr>
            <w:r>
              <w:rPr>
                <w:rFonts w:ascii="Arial" w:cs="Arial" w:eastAsia="Arial" w:hAnsi="Arial"/>
                <w:sz w:val="18"/>
                <w:szCs w:val="18"/>
                <w:color w:val="auto"/>
              </w:rPr>
              <w:t>Direct sales channel</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36,916</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30,204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6,712</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100,223</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94,725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57"/>
        </w:trPr>
        <w:tc>
          <w:tcPr>
            <w:tcW w:w="3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Distributor channel</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20,975</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13,584</w:t>
            </w:r>
          </w:p>
        </w:tc>
        <w:tc>
          <w:tcPr>
            <w:tcW w:w="0" w:type="dxa"/>
            <w:vAlign w:val="bottom"/>
          </w:tcPr>
          <w:p>
            <w:pPr>
              <w:spacing w:after="0"/>
              <w:rPr>
                <w:sz w:val="1"/>
                <w:szCs w:val="1"/>
                <w:color w:val="auto"/>
              </w:rPr>
            </w:pPr>
          </w:p>
        </w:tc>
      </w:tr>
      <w:tr>
        <w:trPr>
          <w:trHeight w:val="223"/>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Total revenue, net</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7,523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19,082</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Customer mix</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gridSpan w:val="2"/>
          </w:tcPr>
          <w:p>
            <w:pPr>
              <w:ind w:left="100"/>
              <w:spacing w:after="0"/>
              <w:rPr>
                <w:sz w:val="20"/>
                <w:szCs w:val="20"/>
                <w:color w:val="auto"/>
              </w:rPr>
            </w:pPr>
            <w:r>
              <w:rPr>
                <w:rFonts w:ascii="Arial" w:cs="Arial" w:eastAsia="Arial" w:hAnsi="Arial"/>
                <w:sz w:val="18"/>
                <w:szCs w:val="18"/>
                <w:color w:val="auto"/>
              </w:rPr>
              <w:t>Academia and government</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20,118</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18,983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55,721</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48,796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5"/>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Biotechnology, pharmaceutical, distributor and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27,882</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79,061</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66,904</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12,157</w:t>
            </w:r>
          </w:p>
        </w:tc>
        <w:tc>
          <w:tcPr>
            <w:tcW w:w="0" w:type="dxa"/>
            <w:vAlign w:val="bottom"/>
          </w:tcPr>
          <w:p>
            <w:pPr>
              <w:spacing w:after="0"/>
              <w:rPr>
                <w:sz w:val="1"/>
                <w:szCs w:val="1"/>
                <w:color w:val="auto"/>
              </w:rPr>
            </w:pPr>
          </w:p>
        </w:tc>
      </w:tr>
      <w:tr>
        <w:trPr>
          <w:trHeight w:val="223"/>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Total revenue, net</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7,523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19,082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Distributors typically sell to end customers identified in other customer categories.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Events and Uncertainties</w:t>
      </w:r>
    </w:p>
    <w:p>
      <w:pPr>
        <w:spacing w:after="0" w:line="121"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7"/>
          <w:szCs w:val="17"/>
          <w:color w:val="auto"/>
        </w:rPr>
        <w:t>The recent trends towards rising inflation may adversely affect our business and corresponding financial position and cash flows. Inflationary factors, such as increases in the cost of materials and supplies, interest rates and overhead costs may adversely affect our operating results. The general consensus among economists suggests that we should expect a higher recession risk to continue over the next year, which could result in further economic uncertainty and volatility in the capital markets in the near term, and could negatively affect our operations.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COVID-19 or future public health crises, the ongoing conflict between Russia and Ukraine, the Israel and Palestine conflict or liquidity concerns at, and failure of, banks and other financial institutions.</w:t>
      </w:r>
    </w:p>
    <w:p>
      <w:pPr>
        <w:spacing w:after="0" w:line="70" w:lineRule="exact"/>
        <w:rPr>
          <w:sz w:val="20"/>
          <w:szCs w:val="20"/>
          <w:color w:val="auto"/>
        </w:rPr>
      </w:pPr>
    </w:p>
    <w:p>
      <w:pPr>
        <w:jc w:val="both"/>
        <w:ind w:firstLine="1134"/>
        <w:spacing w:after="0" w:line="301" w:lineRule="auto"/>
        <w:rPr>
          <w:sz w:val="20"/>
          <w:szCs w:val="20"/>
          <w:color w:val="auto"/>
        </w:rPr>
      </w:pPr>
      <w:r>
        <w:rPr>
          <w:rFonts w:ascii="Arial" w:cs="Arial" w:eastAsia="Arial" w:hAnsi="Arial"/>
          <w:sz w:val="16"/>
          <w:szCs w:val="16"/>
          <w:color w:val="auto"/>
        </w:rPr>
        <w:t>Many of our pharmaceutical and biotech customers based in the United States have been impacted by macro-economic uncertainties related to the weakening economy, liquidity concerns in the broader financial services industry, such as those caused by recent banking failures, disruptions to and volatility in the credit and equity markets, and rising interest rates. We believe these factors contributed to longer sales cycles, which adversely impacted our operating results for the three months ended September 30, 2023, and may adversely affect our operating results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 currently generate our total revenue, net from product revenue and service revenue.</w:t>
      </w:r>
    </w:p>
    <w:p>
      <w:pPr>
        <w:spacing w:after="0" w:line="239" w:lineRule="exact"/>
        <w:rPr>
          <w:sz w:val="20"/>
          <w:szCs w:val="20"/>
          <w:color w:val="auto"/>
        </w:rPr>
      </w:pPr>
    </w:p>
    <w:p>
      <w:pPr>
        <w:ind w:right="100" w:firstLine="1134"/>
        <w:spacing w:after="0" w:line="262" w:lineRule="auto"/>
        <w:rPr>
          <w:sz w:val="20"/>
          <w:szCs w:val="20"/>
          <w:color w:val="auto"/>
        </w:rPr>
      </w:pPr>
      <w:r>
        <w:rPr>
          <w:rFonts w:ascii="Arial" w:cs="Arial" w:eastAsia="Arial" w:hAnsi="Arial"/>
          <w:sz w:val="17"/>
          <w:szCs w:val="17"/>
          <w:i w:val="1"/>
          <w:iCs w:val="1"/>
          <w:color w:val="auto"/>
        </w:rPr>
        <w:t>Product</w:t>
      </w:r>
      <w:r>
        <w:rPr>
          <w:rFonts w:ascii="Arial" w:cs="Arial" w:eastAsia="Arial" w:hAnsi="Arial"/>
          <w:sz w:val="17"/>
          <w:szCs w:val="17"/>
          <w:color w:val="auto"/>
        </w:rPr>
        <w:t>. Our product revenue primarily consists of sales of our instruments, including the Aurora, Northern Lights, Aurora CS, Amnis and</w:t>
      </w:r>
      <w:r>
        <w:rPr>
          <w:rFonts w:ascii="Arial" w:cs="Arial" w:eastAsia="Arial" w:hAnsi="Arial"/>
          <w:sz w:val="17"/>
          <w:szCs w:val="17"/>
          <w:i w:val="1"/>
          <w:iCs w:val="1"/>
          <w:color w:val="auto"/>
        </w:rPr>
        <w:t xml:space="preserve"> </w:t>
      </w:r>
      <w:r>
        <w:rPr>
          <w:rFonts w:ascii="Arial" w:cs="Arial" w:eastAsia="Arial" w:hAnsi="Arial"/>
          <w:sz w:val="17"/>
          <w:szCs w:val="17"/>
          <w:color w:val="auto"/>
        </w:rPr>
        <w:t>Guava systems, instrument accessories, such as loaders, and consumables, such as reagents. We offer multiple versions of our FSP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78"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Our service revenue primarily consists of post-warranty service contracts, installations and repairs which are recognized over time.</w:t>
      </w:r>
      <w:r>
        <w:rPr>
          <w:rFonts w:ascii="Arial" w:cs="Arial" w:eastAsia="Arial" w:hAnsi="Arial"/>
          <w:sz w:val="18"/>
          <w:szCs w:val="18"/>
          <w:i w:val="1"/>
          <w:iCs w:val="1"/>
          <w:color w:val="auto"/>
        </w:rPr>
        <w:t xml:space="preserve"> </w:t>
      </w:r>
      <w:r>
        <w:rPr>
          <w:rFonts w:ascii="Arial" w:cs="Arial" w:eastAsia="Arial" w:hAnsi="Arial"/>
          <w:sz w:val="18"/>
          <w:szCs w:val="18"/>
          <w:color w:val="auto"/>
        </w:rPr>
        <w:t>Post-warranty service contracts are recognized ratably over the term of the contract and installations and repair services are recognized as they are delivered to the customer.</w:t>
      </w:r>
    </w:p>
    <w:p>
      <w:pPr>
        <w:spacing w:after="0" w:line="76" w:lineRule="exact"/>
        <w:rPr>
          <w:sz w:val="20"/>
          <w:szCs w:val="20"/>
          <w:color w:val="auto"/>
        </w:rPr>
      </w:pPr>
    </w:p>
    <w:p>
      <w:pPr>
        <w:jc w:val="both"/>
        <w:ind w:firstLine="1134"/>
        <w:spacing w:after="0" w:line="301" w:lineRule="auto"/>
        <w:rPr>
          <w:sz w:val="20"/>
          <w:szCs w:val="20"/>
          <w:color w:val="auto"/>
        </w:rPr>
      </w:pPr>
      <w:r>
        <w:rPr>
          <w:rFonts w:ascii="Arial" w:cs="Arial" w:eastAsia="Arial" w:hAnsi="Arial"/>
          <w:sz w:val="16"/>
          <w:szCs w:val="16"/>
          <w:color w:val="auto"/>
        </w:rPr>
        <w:t>We expect our revenue to increase in absolute dollars as we expand our sales organization and sales territories, broaden our customer base, and expand awareness of our products with new and existing customers. Our revenue was $48.0 million and $134.8 million for the three and nine months ended September 30, 2023, respectively, and $40.5 million and $115.7 million for the three and nine months ended September 30, 2022, respectively. A portion of our revenue for the three and nine months ended September 30, 2023 is attributable to the acquired FCI business unit.</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Our total cost of sales is comprised of product cost of sales and service cost of sales.</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Cost of sales associated with our products primarily consist of manufacturing-related costs incurred in the production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write-downs, warranty costs, third party royalty costs, personnel and related costs, costs of component materials, overhead, packaging and delivery and depreciation expense.</w:t>
      </w:r>
    </w:p>
    <w:p>
      <w:pPr>
        <w:spacing w:after="0" w:line="76"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Cost of sales associated with our services primarily consists of personnel and related costs, expenses related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replacements, product updates and qualification validation of our products and depreciation expense.</w:t>
      </w:r>
    </w:p>
    <w:p>
      <w:pPr>
        <w:spacing w:after="0" w:line="62"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62"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Our operating expenses are primarily comprised of research and development, sales and marketing, and general and administrative expenses, depreciation and amortization, and related overhead.</w:t>
      </w:r>
    </w:p>
    <w:p>
      <w:pPr>
        <w:spacing w:after="0" w:line="62"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primarily consist of salaries, benefits, stock-based compensation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for employees in our research and development department, independent contractor costs, laboratory supplies, equipment maintenance and materials expenses.</w:t>
      </w:r>
    </w:p>
    <w:p>
      <w:pPr>
        <w:spacing w:after="0" w:line="76"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We plan to continue to invest in our research and development efforts, including hiring additional employees to enhance existing products and develop new products. We expect research and development expense will increase in absolute dollars in future periods and vary from period to period as a percentage of revenue due to our continuing investment in product development.</w:t>
      </w:r>
    </w:p>
    <w:p>
      <w:pPr>
        <w:spacing w:after="0" w:line="76"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consist primarily of salaries, benefits, and stock-based compensation costs for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in our sales and marketing department, sales commissions, marketing material costs, travel expenses and costs related to trade shows, trainings and various workshops. We expect our sales and marketing expense to increase in absolute dollars as we expand our commercial sales, marketing, and business development teams, increase our presence globally and increase marketing activities to drive awareness and adoption of our platform. While these expenses may vary from period to period as a percentage of revenue, we expect these expenses to increase as a percentage of sales in the short-term as we continue to grow our commercial organization to support anticipated growth of the business.</w:t>
      </w:r>
    </w:p>
    <w:p>
      <w:pPr>
        <w:spacing w:after="0" w:line="70" w:lineRule="exact"/>
        <w:rPr>
          <w:sz w:val="20"/>
          <w:szCs w:val="20"/>
          <w:color w:val="auto"/>
        </w:rPr>
      </w:pPr>
    </w:p>
    <w:p>
      <w:pPr>
        <w:jc w:val="both"/>
        <w:ind w:firstLine="1134"/>
        <w:spacing w:after="0" w:line="291"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primarily consist of salaries, benefits, and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for employees in our executive, accounting and finance, legal and human resource functions, as well as professional services fees, such as consulting, audit, tax, legal, general corporate costs and allocated overhead expenses. We expect our operating expenses to increase as a public company. In particular, we expect our accounting, legal, personnel-related expenses and directors’ and officers’ insurance costs reported within general and administrative expense to increase as we establish more comprehensive compliance and governance functions, maintain IT costs, review internal controls over financial reporting in accordance with the Sarbanes-Oxley Act and prepare and distribute periodic reports as required by the rules and regulations of the SEC. As a result, our historical results of operations may not be indicative of our results of operations in future periods.</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 expect these expenses to vary from period to period as a percentage of revenue.</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1134"/>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consists primarily of accretion of the present value of the litigation settlement liability. See Note 11 to our</w:t>
      </w:r>
      <w:r>
        <w:rPr>
          <w:rFonts w:ascii="Arial" w:cs="Arial" w:eastAsia="Arial" w:hAnsi="Arial"/>
          <w:sz w:val="16"/>
          <w:szCs w:val="16"/>
          <w:i w:val="1"/>
          <w:iCs w:val="1"/>
          <w:color w:val="auto"/>
        </w:rPr>
        <w:t xml:space="preserve"> </w:t>
      </w:r>
      <w:r>
        <w:rPr>
          <w:rFonts w:ascii="Arial" w:cs="Arial" w:eastAsia="Arial" w:hAnsi="Arial"/>
          <w:sz w:val="16"/>
          <w:szCs w:val="16"/>
          <w:color w:val="auto"/>
        </w:rPr>
        <w:t>unaudited interim consolidated financial statements included elsewhere in this Quarterly Report on Form 10-Q for further details regarding the settlement.</w:t>
      </w:r>
    </w:p>
    <w:p>
      <w:pPr>
        <w:spacing w:after="0" w:line="16"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consists primarily of interest earned on our cash and cash equivalents which are invested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deposits and in money market funds.</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Our other income (expense), net consists primarily of foreign exchange gains and losses.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Our provision for (benefit from)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2023 and 2022</w:t>
      </w:r>
    </w:p>
    <w:p>
      <w:pPr>
        <w:spacing w:after="0" w:line="11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results of operations presented below should be reviewed in conjunction with the unaudited interim consolidated financial statements and related notes included elsewhere in this Quarterly Report on Form 10-Q.</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following table sets forth our consolidated results of operations and comprehensive income (loss) data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11"/>
          </w:tcPr>
          <w:p>
            <w:pPr>
              <w:jc w:val="right"/>
              <w:ind w:right="36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9"/>
          </w:tcPr>
          <w:p>
            <w:pPr>
              <w:jc w:val="right"/>
              <w:ind w:right="3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3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0" w:type="dxa"/>
            <w:vAlign w:val="bottom"/>
            <w:gridSpan w:val="2"/>
          </w:tcPr>
          <w:p>
            <w:pPr>
              <w:ind w:left="10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38,441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36,389</w:t>
            </w:r>
          </w:p>
        </w:tc>
        <w:tc>
          <w:tcPr>
            <w:tcW w:w="2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2"/>
                <w:szCs w:val="22"/>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86"/>
              </w:rPr>
              <w:t>110,065</w:t>
            </w:r>
          </w:p>
        </w:tc>
        <w:tc>
          <w:tcPr>
            <w:tcW w:w="80" w:type="dxa"/>
            <w:vAlign w:val="bottom"/>
          </w:tcPr>
          <w:p>
            <w:pPr>
              <w:spacing w:after="0"/>
              <w:rPr>
                <w:sz w:val="22"/>
                <w:szCs w:val="22"/>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104,963</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4,088</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24,717</w:t>
            </w:r>
          </w:p>
        </w:tc>
        <w:tc>
          <w:tcPr>
            <w:tcW w:w="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revenue, net</w:t>
            </w: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48,000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40,477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134,782</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115,700</w:t>
            </w: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gridSpan w:val="2"/>
          </w:tcPr>
          <w:p>
            <w:pPr>
              <w:ind w:left="10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16,205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10,606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45,557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34,153</w:t>
            </w: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cost of sales</w:t>
            </w: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20,822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13,615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58,404</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44,100</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27,178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26,862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76,378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71,600</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33,282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25,111</w:t>
            </w:r>
          </w:p>
        </w:tc>
        <w:tc>
          <w:tcPr>
            <w:tcW w:w="0" w:type="dxa"/>
            <w:vAlign w:val="bottom"/>
          </w:tcPr>
          <w:p>
            <w:pPr>
              <w:spacing w:after="0"/>
              <w:rPr>
                <w:sz w:val="1"/>
                <w:szCs w:val="1"/>
                <w:color w:val="auto"/>
              </w:rPr>
            </w:pPr>
          </w:p>
        </w:tc>
      </w:tr>
      <w:tr>
        <w:trPr>
          <w:trHeight w:val="250"/>
        </w:trPr>
        <w:tc>
          <w:tcPr>
            <w:tcW w:w="3000" w:type="dxa"/>
            <w:vAlign w:val="bottom"/>
            <w:gridSpan w:val="2"/>
          </w:tcPr>
          <w:p>
            <w:pPr>
              <w:ind w:left="10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12,076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8,810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37,587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24,201</w:t>
            </w: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10,351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33,217</w:t>
            </w:r>
          </w:p>
        </w:tc>
        <w:tc>
          <w:tcPr>
            <w:tcW w:w="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24,176</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33,598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25,502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104,086</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73,488</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(6,420)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(27,708)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57"/>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4,965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(4,185)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89"/>
              </w:rPr>
              <w:t>(19,820)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63"/>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Provision for (benefit from) income taxes</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43"/>
        </w:trPr>
        <w:tc>
          <w:tcPr>
            <w:tcW w:w="3000" w:type="dxa"/>
            <w:vAlign w:val="bottom"/>
            <w:gridSpan w:val="2"/>
          </w:tcPr>
          <w:p>
            <w:pPr>
              <w:ind w:left="10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(6,456)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89"/>
              </w:rPr>
              <w:t>(17,651)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63"/>
        </w:trPr>
        <w:tc>
          <w:tcPr>
            <w:tcW w:w="4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8"/>
              </w:rPr>
              <w:t>Foreign currency translation adjustment, net of tax</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(856)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Unrealized gain (loss) on marketable securities</w:t>
            </w: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comprehensive income (loss)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(6,276)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w:t>
            </w:r>
          </w:p>
        </w:tc>
        <w:tc>
          <w:tcPr>
            <w:tcW w:w="2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(18,533)</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2"/>
            <w:vMerge w:val="restart"/>
          </w:tcPr>
          <w:p>
            <w:pPr>
              <w:ind w:left="1140"/>
              <w:spacing w:after="0"/>
              <w:rPr>
                <w:sz w:val="20"/>
                <w:szCs w:val="20"/>
                <w:color w:val="auto"/>
              </w:rPr>
            </w:pPr>
            <w:r>
              <w:rPr>
                <w:rFonts w:ascii="Arial" w:cs="Arial" w:eastAsia="Arial" w:hAnsi="Arial"/>
                <w:sz w:val="18"/>
                <w:szCs w:val="18"/>
                <w:b w:val="1"/>
                <w:bCs w:val="1"/>
                <w:i w:val="1"/>
                <w:iCs w:val="1"/>
                <w:color w:val="auto"/>
              </w:rPr>
              <w:t>Total revenue, net</w:t>
            </w: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4"/>
          </w:tcPr>
          <w:p>
            <w:pPr>
              <w:jc w:val="right"/>
              <w:ind w:right="261"/>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7"/>
          </w:tcPr>
          <w:p>
            <w:pPr>
              <w:ind w:left="40"/>
              <w:spacing w:after="0"/>
              <w:rPr>
                <w:sz w:val="20"/>
                <w:szCs w:val="20"/>
                <w:color w:val="auto"/>
              </w:rPr>
            </w:pPr>
            <w:r>
              <w:rPr>
                <w:rFonts w:ascii="Arial" w:cs="Arial" w:eastAsia="Arial" w:hAnsi="Arial"/>
                <w:sz w:val="14"/>
                <w:szCs w:val="14"/>
                <w:b w:val="1"/>
                <w:bCs w:val="1"/>
                <w:color w:val="auto"/>
                <w:w w:val="90"/>
              </w:rPr>
              <w:t>Nine months ended September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right"/>
              <w:ind w:right="7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
        </w:trPr>
        <w:tc>
          <w:tcPr>
            <w:tcW w:w="3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Revenue, net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000" w:type="dxa"/>
            <w:vAlign w:val="bottom"/>
            <w:gridSpan w:val="2"/>
          </w:tcPr>
          <w:p>
            <w:pPr>
              <w:ind w:left="10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38,441</w:t>
            </w:r>
          </w:p>
        </w:tc>
        <w:tc>
          <w:tcPr>
            <w:tcW w:w="10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36,389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110,065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104,963</w:t>
            </w:r>
          </w:p>
        </w:tc>
        <w:tc>
          <w:tcPr>
            <w:tcW w:w="2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5,102</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60"/>
        </w:trPr>
        <w:tc>
          <w:tcPr>
            <w:tcW w:w="3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9,559</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4,088</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5,471</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134 %</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24,717</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10,737</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13,980</w:t>
            </w: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3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Total revenue,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48,000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40,477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7,523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19 %</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134,782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115,700</w:t>
            </w:r>
          </w:p>
        </w:tc>
        <w:tc>
          <w:tcPr>
            <w:tcW w:w="2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19,082</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Total revenue, net increased by $7.5 million to $48.0 million, or 19%, and $19.1 million to $134.8 million, or 16%, for the three and nine months ended September 30, 2023 as compared to the three and nine months ended September 30, 2022, respectively.</w:t>
      </w:r>
    </w:p>
    <w:p>
      <w:pPr>
        <w:spacing w:after="0" w:line="62" w:lineRule="exact"/>
        <w:rPr>
          <w:sz w:val="20"/>
          <w:szCs w:val="20"/>
          <w:color w:val="auto"/>
        </w:rPr>
      </w:pPr>
    </w:p>
    <w:p>
      <w:pPr>
        <w:jc w:val="both"/>
        <w:ind w:right="20" w:firstLine="1134"/>
        <w:spacing w:after="0" w:line="308" w:lineRule="auto"/>
        <w:rPr>
          <w:sz w:val="20"/>
          <w:szCs w:val="20"/>
          <w:color w:val="auto"/>
        </w:rPr>
      </w:pPr>
      <w:r>
        <w:rPr>
          <w:rFonts w:ascii="Arial" w:cs="Arial" w:eastAsia="Arial" w:hAnsi="Arial"/>
          <w:sz w:val="17"/>
          <w:szCs w:val="17"/>
          <w:color w:val="auto"/>
        </w:rPr>
        <w:t>Product revenue increased by $2.1 million to $38.4 million, or 6%, and $5.1 million to $110.1 million, or 5%, for the three and nine months ended September 30, 2023, as compared to the three and nine months ended September 30, 2022 due to an increase of new product sales.</w:t>
      </w:r>
    </w:p>
    <w:p>
      <w:pPr>
        <w:spacing w:after="0" w:line="38"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Service revenue increased $5.5 million to $9.6 million, or 134%, and $14.0 million to $24.7 million, or 130%, for the three and nine months ended September 30, 2023, as compared to the three and nine months ended September 30, 2022. The increase was primarily due to instruments coming off warranty.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1134"/>
        <w:spacing w:after="0" w:line="277" w:lineRule="auto"/>
        <w:rPr>
          <w:sz w:val="20"/>
          <w:szCs w:val="20"/>
          <w:color w:val="auto"/>
        </w:rPr>
      </w:pPr>
      <w:r>
        <w:rPr>
          <w:rFonts w:ascii="Arial" w:cs="Arial" w:eastAsia="Arial" w:hAnsi="Arial"/>
          <w:sz w:val="18"/>
          <w:szCs w:val="18"/>
          <w:color w:val="auto"/>
        </w:rPr>
        <w:t>Revenue from the acquired FCI business was $6.8 million for the three months ended September 30, 2023 and $18.8 million for the nine months ended September 30, 2023, driven by product sales.</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ind w:left="60"/>
              <w:spacing w:after="0"/>
              <w:rPr>
                <w:sz w:val="20"/>
                <w:szCs w:val="20"/>
                <w:color w:val="auto"/>
              </w:rPr>
            </w:pPr>
            <w:r>
              <w:rPr>
                <w:rFonts w:ascii="Arial" w:cs="Arial" w:eastAsia="Arial" w:hAnsi="Arial"/>
                <w:sz w:val="13"/>
                <w:szCs w:val="13"/>
                <w:b w:val="1"/>
                <w:bCs w:val="1"/>
                <w:color w:val="auto"/>
                <w:w w:val="98"/>
              </w:rPr>
              <w:t>Three months ended September 30,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79"/>
              </w:rPr>
              <w:t>Change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80"/>
              <w:spacing w:after="0"/>
              <w:rPr>
                <w:sz w:val="20"/>
                <w:szCs w:val="20"/>
                <w:color w:val="auto"/>
              </w:rPr>
            </w:pPr>
            <w:r>
              <w:rPr>
                <w:rFonts w:ascii="Arial" w:cs="Arial" w:eastAsia="Arial" w:hAnsi="Arial"/>
                <w:sz w:val="13"/>
                <w:szCs w:val="13"/>
                <w:b w:val="1"/>
                <w:bCs w:val="1"/>
                <w:color w:val="auto"/>
              </w:rPr>
              <w:t>Nine months ended September 30,</w:t>
            </w:r>
          </w:p>
        </w:tc>
        <w:tc>
          <w:tcPr>
            <w:tcW w:w="160" w:type="dxa"/>
            <w:vAlign w:val="bottom"/>
          </w:tcPr>
          <w:p>
            <w:pPr>
              <w:spacing w:after="0"/>
              <w:rPr>
                <w:sz w:val="14"/>
                <w:szCs w:val="14"/>
                <w:color w:val="auto"/>
              </w:rPr>
            </w:pPr>
          </w:p>
        </w:tc>
        <w:tc>
          <w:tcPr>
            <w:tcW w:w="1160" w:type="dxa"/>
            <w:vAlign w:val="bottom"/>
            <w:gridSpan w:val="3"/>
          </w:tcPr>
          <w:p>
            <w:pPr>
              <w:ind w:left="640"/>
              <w:spacing w:after="0"/>
              <w:rPr>
                <w:sz w:val="20"/>
                <w:szCs w:val="20"/>
                <w:color w:val="auto"/>
              </w:rPr>
            </w:pPr>
            <w:r>
              <w:rPr>
                <w:rFonts w:ascii="Arial" w:cs="Arial" w:eastAsia="Arial" w:hAnsi="Arial"/>
                <w:sz w:val="13"/>
                <w:szCs w:val="13"/>
                <w:b w:val="1"/>
                <w:bCs w:val="1"/>
                <w:color w:val="auto"/>
              </w:rPr>
              <w:t>Change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3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 except percentages)</w:t>
            </w: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4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4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64"/>
              <w:spacing w:after="0"/>
              <w:rPr>
                <w:sz w:val="20"/>
                <w:szCs w:val="20"/>
                <w:color w:val="auto"/>
              </w:rPr>
            </w:pPr>
            <w:r>
              <w:rPr>
                <w:rFonts w:ascii="Arial" w:cs="Arial" w:eastAsia="Arial" w:hAnsi="Arial"/>
                <w:sz w:val="13"/>
                <w:szCs w:val="13"/>
                <w:b w:val="1"/>
                <w:bCs w:val="1"/>
                <w:color w:val="auto"/>
                <w:w w:val="97"/>
              </w:rPr>
              <w:t>Amount</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64"/>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34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680" w:type="dxa"/>
            <w:vAlign w:val="bottom"/>
          </w:tcPr>
          <w:p>
            <w:pPr>
              <w:jc w:val="right"/>
              <w:ind w:right="38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9"/>
        </w:trPr>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360" w:type="dxa"/>
            <w:vAlign w:val="bottom"/>
            <w:gridSpan w:val="2"/>
          </w:tcPr>
          <w:p>
            <w:pPr>
              <w:ind w:left="100"/>
              <w:spacing w:after="0"/>
              <w:rPr>
                <w:sz w:val="20"/>
                <w:szCs w:val="20"/>
                <w:color w:val="auto"/>
              </w:rPr>
            </w:pPr>
            <w:r>
              <w:rPr>
                <w:rFonts w:ascii="Arial" w:cs="Arial" w:eastAsia="Arial" w:hAnsi="Arial"/>
                <w:sz w:val="16"/>
                <w:szCs w:val="16"/>
                <w:color w:val="auto"/>
              </w:rPr>
              <w:t>Product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4"/>
              <w:spacing w:after="0"/>
              <w:rPr>
                <w:sz w:val="20"/>
                <w:szCs w:val="20"/>
                <w:color w:val="auto"/>
              </w:rPr>
            </w:pPr>
            <w:r>
              <w:rPr>
                <w:rFonts w:ascii="Arial" w:cs="Arial" w:eastAsia="Arial" w:hAnsi="Arial"/>
                <w:sz w:val="16"/>
                <w:szCs w:val="16"/>
                <w:color w:val="auto"/>
              </w:rPr>
              <w:t>16,205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22"/>
              <w:spacing w:after="0"/>
              <w:rPr>
                <w:sz w:val="20"/>
                <w:szCs w:val="20"/>
                <w:color w:val="auto"/>
              </w:rPr>
            </w:pPr>
            <w:r>
              <w:rPr>
                <w:rFonts w:ascii="Arial" w:cs="Arial" w:eastAsia="Arial" w:hAnsi="Arial"/>
                <w:sz w:val="16"/>
                <w:szCs w:val="16"/>
                <w:color w:val="auto"/>
              </w:rPr>
              <w:t>10,606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5,599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6"/>
                <w:szCs w:val="16"/>
                <w:color w:val="auto"/>
                <w:w w:val="93"/>
              </w:rPr>
              <w:t>53 %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4"/>
              <w:spacing w:after="0"/>
              <w:rPr>
                <w:sz w:val="20"/>
                <w:szCs w:val="20"/>
                <w:color w:val="auto"/>
              </w:rPr>
            </w:pPr>
            <w:r>
              <w:rPr>
                <w:rFonts w:ascii="Arial" w:cs="Arial" w:eastAsia="Arial" w:hAnsi="Arial"/>
                <w:sz w:val="16"/>
                <w:szCs w:val="16"/>
                <w:color w:val="auto"/>
              </w:rPr>
              <w:t>45,557</w:t>
            </w:r>
          </w:p>
        </w:tc>
        <w:tc>
          <w:tcPr>
            <w:tcW w:w="8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22"/>
              <w:spacing w:after="0"/>
              <w:rPr>
                <w:sz w:val="20"/>
                <w:szCs w:val="20"/>
                <w:color w:val="auto"/>
              </w:rPr>
            </w:pPr>
            <w:r>
              <w:rPr>
                <w:rFonts w:ascii="Arial" w:cs="Arial" w:eastAsia="Arial" w:hAnsi="Arial"/>
                <w:sz w:val="16"/>
                <w:szCs w:val="16"/>
                <w:color w:val="auto"/>
              </w:rPr>
              <w:t>34,153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11,404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46"/>
        </w:trPr>
        <w:tc>
          <w:tcPr>
            <w:tcW w:w="2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Service</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4,617</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3,009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3"/>
              </w:rPr>
              <w:t>53 %</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12,847</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9,947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04"/>
        </w:trPr>
        <w:tc>
          <w:tcPr>
            <w:tcW w:w="2360" w:type="dxa"/>
            <w:vAlign w:val="bottom"/>
            <w:gridSpan w:val="2"/>
          </w:tcPr>
          <w:p>
            <w:pPr>
              <w:ind w:left="20"/>
              <w:spacing w:after="0"/>
              <w:rPr>
                <w:sz w:val="20"/>
                <w:szCs w:val="20"/>
                <w:color w:val="auto"/>
              </w:rPr>
            </w:pPr>
            <w:r>
              <w:rPr>
                <w:rFonts w:ascii="Arial" w:cs="Arial" w:eastAsia="Arial" w:hAnsi="Arial"/>
                <w:sz w:val="16"/>
                <w:szCs w:val="16"/>
                <w:color w:val="auto"/>
              </w:rPr>
              <w:t>Total cost of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4"/>
              <w:spacing w:after="0"/>
              <w:rPr>
                <w:sz w:val="20"/>
                <w:szCs w:val="20"/>
                <w:color w:val="auto"/>
              </w:rPr>
            </w:pPr>
            <w:r>
              <w:rPr>
                <w:rFonts w:ascii="Arial" w:cs="Arial" w:eastAsia="Arial" w:hAnsi="Arial"/>
                <w:sz w:val="16"/>
                <w:szCs w:val="16"/>
                <w:color w:val="auto"/>
              </w:rPr>
              <w:t>20,822</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22"/>
              <w:spacing w:after="0"/>
              <w:rPr>
                <w:sz w:val="20"/>
                <w:szCs w:val="20"/>
                <w:color w:val="auto"/>
              </w:rPr>
            </w:pPr>
            <w:r>
              <w:rPr>
                <w:rFonts w:ascii="Arial" w:cs="Arial" w:eastAsia="Arial" w:hAnsi="Arial"/>
                <w:sz w:val="16"/>
                <w:szCs w:val="16"/>
                <w:color w:val="auto"/>
              </w:rPr>
              <w:t>13,615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7,207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ind w:left="40"/>
              <w:spacing w:after="0"/>
              <w:rPr>
                <w:sz w:val="20"/>
                <w:szCs w:val="20"/>
                <w:color w:val="auto"/>
              </w:rPr>
            </w:pPr>
            <w:r>
              <w:rPr>
                <w:rFonts w:ascii="Arial" w:cs="Arial" w:eastAsia="Arial" w:hAnsi="Arial"/>
                <w:sz w:val="16"/>
                <w:szCs w:val="16"/>
                <w:color w:val="auto"/>
                <w:w w:val="93"/>
              </w:rPr>
              <w:t>53 %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4"/>
              <w:spacing w:after="0"/>
              <w:rPr>
                <w:sz w:val="20"/>
                <w:szCs w:val="20"/>
                <w:color w:val="auto"/>
              </w:rPr>
            </w:pPr>
            <w:r>
              <w:rPr>
                <w:rFonts w:ascii="Arial" w:cs="Arial" w:eastAsia="Arial" w:hAnsi="Arial"/>
                <w:sz w:val="16"/>
                <w:szCs w:val="16"/>
                <w:color w:val="auto"/>
              </w:rPr>
              <w:t>58,404</w:t>
            </w:r>
          </w:p>
        </w:tc>
        <w:tc>
          <w:tcPr>
            <w:tcW w:w="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22"/>
              <w:spacing w:after="0"/>
              <w:rPr>
                <w:sz w:val="20"/>
                <w:szCs w:val="20"/>
                <w:color w:val="auto"/>
              </w:rPr>
            </w:pPr>
            <w:r>
              <w:rPr>
                <w:rFonts w:ascii="Arial" w:cs="Arial" w:eastAsia="Arial" w:hAnsi="Arial"/>
                <w:sz w:val="16"/>
                <w:szCs w:val="16"/>
                <w:color w:val="auto"/>
              </w:rPr>
              <w:t>44,100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14,304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27,178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26,862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76,378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71,600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60" w:type="dxa"/>
            <w:vAlign w:val="bottom"/>
            <w:gridSpan w:val="2"/>
          </w:tcPr>
          <w:p>
            <w:pPr>
              <w:ind w:left="20"/>
              <w:spacing w:after="0"/>
              <w:rPr>
                <w:sz w:val="20"/>
                <w:szCs w:val="20"/>
                <w:color w:val="auto"/>
              </w:rPr>
            </w:pPr>
            <w:r>
              <w:rPr>
                <w:rFonts w:ascii="Arial" w:cs="Arial" w:eastAsia="Arial" w:hAnsi="Arial"/>
                <w:sz w:val="16"/>
                <w:szCs w:val="16"/>
                <w:color w:val="auto"/>
              </w:rPr>
              <w:t>Gross margin</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120" w:firstLine="1134"/>
        <w:spacing w:after="0" w:line="254" w:lineRule="auto"/>
        <w:rPr>
          <w:sz w:val="20"/>
          <w:szCs w:val="20"/>
          <w:color w:val="auto"/>
        </w:rPr>
      </w:pPr>
      <w:r>
        <w:rPr>
          <w:rFonts w:ascii="Arial" w:cs="Arial" w:eastAsia="Arial" w:hAnsi="Arial"/>
          <w:sz w:val="18"/>
          <w:szCs w:val="18"/>
          <w:color w:val="auto"/>
        </w:rPr>
        <w:t>Total cost of sales increased by $7.2 million, or 53%, for the three months ended September 30, 2023 as compared to the three months ended September 30, 2022, and increased by $14.3 million, or 32%, for the nine months ended September 30, 2023 as compared to the nine months ended September 30, 2022. The increase in cost of sales was driven by increases in product and service revenue, primarily due to higher material costs and unfavorable product mix</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2023 as compared to the three and nine months ended September 30, 2022.</w:t>
      </w:r>
    </w:p>
    <w:p>
      <w:pPr>
        <w:spacing w:after="0" w:line="103"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Total gross profit margin was 57% and 66% as a percent of total revenue for the three months ended September 30, 2023 and 2022, respectively, and 57% and 62% for the nine months ended September 30, 2023 and 2022, respectively. Gross profit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 September 30,</w:t>
            </w:r>
          </w:p>
        </w:tc>
        <w:tc>
          <w:tcPr>
            <w:tcW w:w="140" w:type="dxa"/>
            <w:vAlign w:val="bottom"/>
          </w:tcPr>
          <w:p>
            <w:pPr>
              <w:spacing w:after="0"/>
              <w:rPr>
                <w:sz w:val="14"/>
                <w:szCs w:val="14"/>
                <w:color w:val="auto"/>
              </w:rPr>
            </w:pPr>
          </w:p>
        </w:tc>
        <w:tc>
          <w:tcPr>
            <w:tcW w:w="1100" w:type="dxa"/>
            <w:vAlign w:val="bottom"/>
            <w:gridSpan w:val="3"/>
          </w:tcPr>
          <w:p>
            <w:pPr>
              <w:ind w:left="580"/>
              <w:spacing w:after="0"/>
              <w:rPr>
                <w:sz w:val="20"/>
                <w:szCs w:val="20"/>
                <w:color w:val="auto"/>
              </w:rPr>
            </w:pPr>
            <w:r>
              <w:rPr>
                <w:rFonts w:ascii="Arial" w:cs="Arial" w:eastAsia="Arial" w:hAnsi="Arial"/>
                <w:sz w:val="13"/>
                <w:szCs w:val="13"/>
                <w:b w:val="1"/>
                <w:bCs w:val="1"/>
                <w:color w:val="auto"/>
              </w:rPr>
              <w:t>Change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ind w:left="80"/>
              <w:spacing w:after="0"/>
              <w:rPr>
                <w:sz w:val="20"/>
                <w:szCs w:val="20"/>
                <w:color w:val="auto"/>
              </w:rPr>
            </w:pPr>
            <w:r>
              <w:rPr>
                <w:rFonts w:ascii="Arial" w:cs="Arial" w:eastAsia="Arial" w:hAnsi="Arial"/>
                <w:sz w:val="13"/>
                <w:szCs w:val="13"/>
                <w:b w:val="1"/>
                <w:bCs w:val="1"/>
                <w:color w:val="auto"/>
              </w:rPr>
              <w:t>Nine months ended September 30,</w:t>
            </w:r>
          </w:p>
        </w:tc>
        <w:tc>
          <w:tcPr>
            <w:tcW w:w="160" w:type="dxa"/>
            <w:vAlign w:val="bottom"/>
          </w:tcPr>
          <w:p>
            <w:pPr>
              <w:spacing w:after="0"/>
              <w:rPr>
                <w:sz w:val="14"/>
                <w:szCs w:val="14"/>
                <w:color w:val="auto"/>
              </w:rPr>
            </w:pPr>
          </w:p>
        </w:tc>
        <w:tc>
          <w:tcPr>
            <w:tcW w:w="1100" w:type="dxa"/>
            <w:vAlign w:val="bottom"/>
            <w:gridSpan w:val="3"/>
          </w:tcPr>
          <w:p>
            <w:pPr>
              <w:ind w:left="580"/>
              <w:spacing w:after="0"/>
              <w:rPr>
                <w:sz w:val="20"/>
                <w:szCs w:val="20"/>
                <w:color w:val="auto"/>
              </w:rPr>
            </w:pPr>
            <w:r>
              <w:rPr>
                <w:rFonts w:ascii="Arial" w:cs="Arial" w:eastAsia="Arial" w:hAnsi="Arial"/>
                <w:sz w:val="13"/>
                <w:szCs w:val="13"/>
                <w:b w:val="1"/>
                <w:bCs w:val="1"/>
                <w:color w:val="auto"/>
              </w:rPr>
              <w:t>Change</w:t>
            </w:r>
          </w:p>
        </w:tc>
        <w:tc>
          <w:tcPr>
            <w:tcW w:w="640" w:type="dxa"/>
            <w:vAlign w:val="bottom"/>
          </w:tcPr>
          <w:p>
            <w:pPr>
              <w:spacing w:after="0"/>
              <w:rPr>
                <w:sz w:val="14"/>
                <w:szCs w:val="14"/>
                <w:color w:val="auto"/>
              </w:rPr>
            </w:pPr>
          </w:p>
        </w:tc>
      </w:tr>
      <w:tr>
        <w:trPr>
          <w:trHeight w:val="29"/>
        </w:trPr>
        <w:tc>
          <w:tcPr>
            <w:tcW w:w="24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67"/>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 except percentages)</w:t>
            </w:r>
          </w:p>
        </w:tc>
        <w:tc>
          <w:tcPr>
            <w:tcW w:w="160" w:type="dxa"/>
            <w:vAlign w:val="bottom"/>
          </w:tcPr>
          <w:p>
            <w:pPr>
              <w:spacing w:after="0"/>
              <w:rPr>
                <w:sz w:val="14"/>
                <w:szCs w:val="14"/>
                <w:color w:val="auto"/>
              </w:rPr>
            </w:pPr>
          </w:p>
        </w:tc>
        <w:tc>
          <w:tcPr>
            <w:tcW w:w="980" w:type="dxa"/>
            <w:vAlign w:val="bottom"/>
          </w:tcPr>
          <w:p>
            <w:pPr>
              <w:jc w:val="right"/>
              <w:ind w:right="363"/>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6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jc w:val="right"/>
              <w:ind w:right="342"/>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63"/>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6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jc w:val="right"/>
              <w:ind w:right="342"/>
              <w:spacing w:after="0"/>
              <w:rPr>
                <w:sz w:val="20"/>
                <w:szCs w:val="20"/>
                <w:color w:val="auto"/>
              </w:rPr>
            </w:pPr>
            <w:r>
              <w:rPr>
                <w:rFonts w:ascii="Arial" w:cs="Arial" w:eastAsia="Arial" w:hAnsi="Arial"/>
                <w:sz w:val="13"/>
                <w:szCs w:val="13"/>
                <w:b w:val="1"/>
                <w:bCs w:val="1"/>
                <w:color w:val="auto"/>
              </w:rPr>
              <w:t>%</w:t>
            </w:r>
          </w:p>
        </w:tc>
      </w:tr>
      <w:tr>
        <w:trPr>
          <w:trHeight w:val="29"/>
        </w:trPr>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210"/>
        </w:trPr>
        <w:tc>
          <w:tcPr>
            <w:tcW w:w="2400" w:type="dxa"/>
            <w:vAlign w:val="bottom"/>
            <w:gridSpan w:val="2"/>
          </w:tcPr>
          <w:p>
            <w:pPr>
              <w:ind w:left="100"/>
              <w:spacing w:after="0"/>
              <w:rPr>
                <w:sz w:val="20"/>
                <w:szCs w:val="20"/>
                <w:color w:val="auto"/>
              </w:rPr>
            </w:pPr>
            <w:r>
              <w:rPr>
                <w:rFonts w:ascii="Arial" w:cs="Arial" w:eastAsia="Arial" w:hAnsi="Arial"/>
                <w:sz w:val="16"/>
                <w:szCs w:val="16"/>
                <w:color w:val="auto"/>
              </w:rPr>
              <w:t>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43"/>
              <w:spacing w:after="0"/>
              <w:rPr>
                <w:sz w:val="20"/>
                <w:szCs w:val="20"/>
                <w:color w:val="auto"/>
              </w:rPr>
            </w:pPr>
            <w:r>
              <w:rPr>
                <w:rFonts w:ascii="Arial" w:cs="Arial" w:eastAsia="Arial" w:hAnsi="Arial"/>
                <w:sz w:val="16"/>
                <w:szCs w:val="16"/>
                <w:color w:val="auto"/>
              </w:rPr>
              <w:t>38,441</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36,389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center"/>
              <w:ind w:left="144"/>
              <w:spacing w:after="0"/>
              <w:rPr>
                <w:sz w:val="20"/>
                <w:szCs w:val="20"/>
                <w:color w:val="auto"/>
              </w:rPr>
            </w:pPr>
            <w:r>
              <w:rPr>
                <w:rFonts w:ascii="Arial" w:cs="Arial" w:eastAsia="Arial" w:hAnsi="Arial"/>
                <w:sz w:val="16"/>
                <w:szCs w:val="16"/>
                <w:color w:val="auto"/>
                <w:w w:val="89"/>
              </w:rPr>
              <w:t>2,052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3"/>
              <w:spacing w:after="0"/>
              <w:rPr>
                <w:sz w:val="20"/>
                <w:szCs w:val="20"/>
                <w:color w:val="auto"/>
              </w:rPr>
            </w:pPr>
            <w:r>
              <w:rPr>
                <w:rFonts w:ascii="Arial" w:cs="Arial" w:eastAsia="Arial" w:hAnsi="Arial"/>
                <w:sz w:val="16"/>
                <w:szCs w:val="16"/>
                <w:color w:val="auto"/>
              </w:rPr>
              <w:t>110,065</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104,963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5,102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3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24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16,205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10,606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left="144"/>
              <w:spacing w:after="0"/>
              <w:rPr>
                <w:sz w:val="20"/>
                <w:szCs w:val="20"/>
                <w:color w:val="auto"/>
              </w:rPr>
            </w:pPr>
            <w:r>
              <w:rPr>
                <w:rFonts w:ascii="Arial" w:cs="Arial" w:eastAsia="Arial" w:hAnsi="Arial"/>
                <w:sz w:val="16"/>
                <w:szCs w:val="16"/>
                <w:color w:val="auto"/>
                <w:w w:val="89"/>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45,557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34,153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11,404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03"/>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Product gross profit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43"/>
              <w:spacing w:after="0"/>
              <w:rPr>
                <w:sz w:val="20"/>
                <w:szCs w:val="20"/>
                <w:color w:val="auto"/>
              </w:rPr>
            </w:pPr>
            <w:r>
              <w:rPr>
                <w:rFonts w:ascii="Arial" w:cs="Arial" w:eastAsia="Arial" w:hAnsi="Arial"/>
                <w:sz w:val="16"/>
                <w:szCs w:val="16"/>
                <w:color w:val="auto"/>
              </w:rPr>
              <w:t>22,236</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25,783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center"/>
              <w:ind w:left="104"/>
              <w:spacing w:after="0"/>
              <w:rPr>
                <w:sz w:val="20"/>
                <w:szCs w:val="20"/>
                <w:color w:val="auto"/>
              </w:rPr>
            </w:pPr>
            <w:r>
              <w:rPr>
                <w:rFonts w:ascii="Arial" w:cs="Arial" w:eastAsia="Arial" w:hAnsi="Arial"/>
                <w:sz w:val="16"/>
                <w:szCs w:val="16"/>
                <w:color w:val="auto"/>
                <w:w w:val="94"/>
              </w:rPr>
              <w:t>(3,547)</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23"/>
              <w:spacing w:after="0"/>
              <w:rPr>
                <w:sz w:val="20"/>
                <w:szCs w:val="20"/>
                <w:color w:val="auto"/>
              </w:rPr>
            </w:pPr>
            <w:r>
              <w:rPr>
                <w:rFonts w:ascii="Arial" w:cs="Arial" w:eastAsia="Arial" w:hAnsi="Arial"/>
                <w:sz w:val="16"/>
                <w:szCs w:val="16"/>
                <w:color w:val="auto"/>
              </w:rPr>
              <w:t>64,508</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70,810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(6,302)</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-9 %</w:t>
            </w:r>
          </w:p>
        </w:tc>
      </w:tr>
      <w:tr>
        <w:trPr>
          <w:trHeight w:val="3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70"/>
        </w:trPr>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23"/>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Service:</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10"/>
        </w:trPr>
        <w:tc>
          <w:tcPr>
            <w:tcW w:w="2400" w:type="dxa"/>
            <w:vAlign w:val="bottom"/>
            <w:gridSpan w:val="2"/>
          </w:tcPr>
          <w:p>
            <w:pPr>
              <w:ind w:left="100"/>
              <w:spacing w:after="0"/>
              <w:rPr>
                <w:sz w:val="20"/>
                <w:szCs w:val="20"/>
                <w:color w:val="auto"/>
              </w:rPr>
            </w:pPr>
            <w:r>
              <w:rPr>
                <w:rFonts w:ascii="Arial" w:cs="Arial" w:eastAsia="Arial" w:hAnsi="Arial"/>
                <w:sz w:val="16"/>
                <w:szCs w:val="16"/>
                <w:color w:val="auto"/>
              </w:rPr>
              <w:t>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43"/>
              <w:spacing w:after="0"/>
              <w:rPr>
                <w:sz w:val="20"/>
                <w:szCs w:val="20"/>
                <w:color w:val="auto"/>
              </w:rPr>
            </w:pPr>
            <w:r>
              <w:rPr>
                <w:rFonts w:ascii="Arial" w:cs="Arial" w:eastAsia="Arial" w:hAnsi="Arial"/>
                <w:sz w:val="16"/>
                <w:szCs w:val="16"/>
                <w:color w:val="auto"/>
              </w:rPr>
              <w:t>9,559</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4,088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center"/>
              <w:ind w:left="144"/>
              <w:spacing w:after="0"/>
              <w:rPr>
                <w:sz w:val="20"/>
                <w:szCs w:val="20"/>
                <w:color w:val="auto"/>
              </w:rPr>
            </w:pPr>
            <w:r>
              <w:rPr>
                <w:rFonts w:ascii="Arial" w:cs="Arial" w:eastAsia="Arial" w:hAnsi="Arial"/>
                <w:sz w:val="16"/>
                <w:szCs w:val="16"/>
                <w:color w:val="auto"/>
                <w:w w:val="89"/>
              </w:rPr>
              <w:t>5,471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134 %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3"/>
              <w:spacing w:after="0"/>
              <w:rPr>
                <w:sz w:val="20"/>
                <w:szCs w:val="20"/>
                <w:color w:val="auto"/>
              </w:rPr>
            </w:pPr>
            <w:r>
              <w:rPr>
                <w:rFonts w:ascii="Arial" w:cs="Arial" w:eastAsia="Arial" w:hAnsi="Arial"/>
                <w:sz w:val="16"/>
                <w:szCs w:val="16"/>
                <w:color w:val="auto"/>
              </w:rPr>
              <w:t>24,717</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10,737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13,980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130 %</w:t>
            </w:r>
          </w:p>
        </w:tc>
      </w:tr>
      <w:tr>
        <w:trPr>
          <w:trHeight w:val="3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24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4,617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left="144"/>
              <w:spacing w:after="0"/>
              <w:rPr>
                <w:sz w:val="20"/>
                <w:szCs w:val="20"/>
                <w:color w:val="auto"/>
              </w:rPr>
            </w:pPr>
            <w:r>
              <w:rPr>
                <w:rFonts w:ascii="Arial" w:cs="Arial" w:eastAsia="Arial" w:hAnsi="Arial"/>
                <w:sz w:val="16"/>
                <w:szCs w:val="16"/>
                <w:color w:val="auto"/>
                <w:w w:val="89"/>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12,847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2,900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03"/>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Service gross profit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43"/>
              <w:spacing w:after="0"/>
              <w:rPr>
                <w:sz w:val="20"/>
                <w:szCs w:val="20"/>
                <w:color w:val="auto"/>
              </w:rPr>
            </w:pPr>
            <w:r>
              <w:rPr>
                <w:rFonts w:ascii="Arial" w:cs="Arial" w:eastAsia="Arial" w:hAnsi="Arial"/>
                <w:sz w:val="16"/>
                <w:szCs w:val="16"/>
                <w:color w:val="auto"/>
              </w:rPr>
              <w:t>4,942</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center"/>
              <w:ind w:left="144"/>
              <w:spacing w:after="0"/>
              <w:rPr>
                <w:sz w:val="20"/>
                <w:szCs w:val="20"/>
                <w:color w:val="auto"/>
              </w:rPr>
            </w:pPr>
            <w:r>
              <w:rPr>
                <w:rFonts w:ascii="Arial" w:cs="Arial" w:eastAsia="Arial" w:hAnsi="Arial"/>
                <w:sz w:val="16"/>
                <w:szCs w:val="16"/>
                <w:color w:val="auto"/>
                <w:w w:val="89"/>
              </w:rPr>
              <w:t>3,863</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358 %</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23"/>
              <w:spacing w:after="0"/>
              <w:rPr>
                <w:sz w:val="20"/>
                <w:szCs w:val="20"/>
                <w:color w:val="auto"/>
              </w:rPr>
            </w:pPr>
            <w:r>
              <w:rPr>
                <w:rFonts w:ascii="Arial" w:cs="Arial" w:eastAsia="Arial" w:hAnsi="Arial"/>
                <w:sz w:val="16"/>
                <w:szCs w:val="16"/>
                <w:color w:val="auto"/>
              </w:rPr>
              <w:t>11,870</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11,080</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1402 %</w:t>
            </w:r>
          </w:p>
        </w:tc>
      </w:tr>
      <w:tr>
        <w:trPr>
          <w:trHeight w:val="3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33"/>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Product revenue for three and nine months ended September 30, 2023 increased by 6% and increased by 5% respectively, as compared to the three and nine months ended September 30, 2022. Product cost of sales for the three and nine months ended September 30, 2023 increased by 53% and 33%, respectively, as compared to the same period in 2022. Product gross profit for the three and nine months ended September 30, 2023 decreased 14% and decreased by 9%, respectively, as compared to the three and nine months ended September 30, 2022. The lower product gross profit margins in the three and nine months ended September 30, 2023 compared to the three and nine months ended September 30, 2022 were driven primarily by higher material costs and by less favorable instrument product mix following the FCI acquisition.</w:t>
      </w:r>
    </w:p>
    <w:p>
      <w:pPr>
        <w:spacing w:after="0" w:line="70"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Service revenue for the three and nine months ended September 30, 2023 increased 134% and 130%, respectively, as compared to the three and nine months ended September 30, 2022. Service cost of sales for the three and nine months ended September 30, 2023 increased by 53% and 29% as compared to the same period in 2022.Service gross profit for the three and nine months ended September 30, 2023 increased 358% and 1402%, respectively, as compared to the three and nine months ended September 30, 2022. The higher service gross margins in the three and nine months ended September 30, 2023 compared to the three and nine months ended September 30, 2022 were mainly driven by continued growth in the instruments installed base with more instruments coming off warranty and the addition of the FCI acquisition.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Research and development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7"/>
          </w:tcPr>
          <w:p>
            <w:pPr>
              <w:jc w:val="center"/>
              <w:ind w:left="324"/>
              <w:spacing w:after="0"/>
              <w:rPr>
                <w:sz w:val="20"/>
                <w:szCs w:val="20"/>
                <w:color w:val="auto"/>
              </w:rPr>
            </w:pPr>
            <w:r>
              <w:rPr>
                <w:rFonts w:ascii="Arial" w:cs="Arial" w:eastAsia="Arial" w:hAnsi="Arial"/>
                <w:sz w:val="14"/>
                <w:szCs w:val="14"/>
                <w:b w:val="1"/>
                <w:bCs w:val="1"/>
                <w:color w:val="auto"/>
                <w:w w:val="91"/>
              </w:rPr>
              <w:t>Nine months ended September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20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6"/>
                <w:szCs w:val="16"/>
                <w:color w:val="auto"/>
              </w:rPr>
            </w:pPr>
          </w:p>
        </w:tc>
        <w:tc>
          <w:tcPr>
            <w:tcW w:w="660" w:type="dxa"/>
            <w:vAlign w:val="bottom"/>
          </w:tcPr>
          <w:p>
            <w:pPr>
              <w:jc w:val="right"/>
              <w:ind w:right="18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36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29 %  $</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33,282</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Research and development expenses were $11.2 million for the three months ended September 30, 2023 as compared to $8.7 million for the three months ended September 30, 2022. The increase of $2.5 million in research and development expenses was primarily due to an increase in headcount and personnel-related expenses of $2.4 million, including stock-based compensation and other payroll costs. This was primarily due to increased headcount from the Luminex acquisition.</w:t>
      </w:r>
    </w:p>
    <w:p>
      <w:pPr>
        <w:spacing w:after="0" w:line="79" w:lineRule="exact"/>
        <w:rPr>
          <w:sz w:val="20"/>
          <w:szCs w:val="20"/>
          <w:color w:val="auto"/>
        </w:rPr>
      </w:pPr>
    </w:p>
    <w:p>
      <w:pPr>
        <w:ind w:right="20" w:firstLine="1134"/>
        <w:spacing w:after="0" w:line="259" w:lineRule="auto"/>
        <w:rPr>
          <w:sz w:val="20"/>
          <w:szCs w:val="20"/>
          <w:color w:val="auto"/>
        </w:rPr>
      </w:pPr>
      <w:r>
        <w:rPr>
          <w:rFonts w:ascii="Arial" w:cs="Arial" w:eastAsia="Arial" w:hAnsi="Arial"/>
          <w:sz w:val="18"/>
          <w:szCs w:val="18"/>
          <w:color w:val="auto"/>
        </w:rPr>
        <w:t>Research and development expenses were $33.3 million for the nine months ended September 30, 2023 as compared to $25.1 million for the nine months ended September 30, 2022. The increase of $8.2 million in research and development expenses was primarily due to an increase in headcount and personnel-related expenses of $7.8 million, including stock-based compensation and other payroll costs. This was primarily due to increased headcount from the Luminex acquisition.</w:t>
      </w:r>
    </w:p>
    <w:p>
      <w:pPr>
        <w:spacing w:after="0" w:line="79"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 increase in research and development expenses for the three and nine months ended September 30, 2023 was primarily driven by costs relating to the FCI business. We expect our research and development expense to increase in absolute dollars as we continue to develop new products and enhance existing instruments and technologies.</w:t>
      </w:r>
    </w:p>
    <w:p>
      <w:pPr>
        <w:spacing w:after="0" w:line="76"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7"/>
          </w:tcPr>
          <w:p>
            <w:pPr>
              <w:jc w:val="center"/>
              <w:ind w:left="324"/>
              <w:spacing w:after="0"/>
              <w:rPr>
                <w:sz w:val="20"/>
                <w:szCs w:val="20"/>
                <w:color w:val="auto"/>
              </w:rPr>
            </w:pPr>
            <w:r>
              <w:rPr>
                <w:rFonts w:ascii="Arial" w:cs="Arial" w:eastAsia="Arial" w:hAnsi="Arial"/>
                <w:sz w:val="14"/>
                <w:szCs w:val="14"/>
                <w:b w:val="1"/>
                <w:bCs w:val="1"/>
                <w:color w:val="auto"/>
                <w:w w:val="91"/>
              </w:rPr>
              <w:t>Nine months ended September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20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6"/>
                <w:szCs w:val="16"/>
                <w:color w:val="auto"/>
              </w:rPr>
            </w:pPr>
          </w:p>
        </w:tc>
        <w:tc>
          <w:tcPr>
            <w:tcW w:w="660" w:type="dxa"/>
            <w:vAlign w:val="bottom"/>
          </w:tcPr>
          <w:p>
            <w:pPr>
              <w:jc w:val="right"/>
              <w:ind w:right="18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36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2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37 %  $</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37,587</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Sales and marketing expenses were $12.1 million for the three months ended September 30, 2023 as compared to $8.8 million for the three months ended September 30, 2022. The increase of $3.3 million in sales and marketing expenses was primarily due to an increase in headcount and personnel-related expenses of $2.4 million, including stock-based compensation and other payroll costs, and increase in trade shows and other sales and marketing costs of $0.6 million, and an increase in fixed assets and intangible asset amortization costs of $0.6 million. This was primarily due to increased headcount from the Luminex acquisition.</w:t>
      </w:r>
    </w:p>
    <w:p>
      <w:pPr>
        <w:spacing w:after="0" w:line="80"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Sales and marketing expenses were $37.6 million for the nine months ended September 30, 2023 as compared to $24.2 million for the nine months ended September 30, 2022. The increase of $13.4 million in sales and marketing expenses was primarily due to an increase in headcount and personnel-related expenses of $9.7 million, including stock-based compensation and other payroll costs, and increase in trade shows and other sales and marketing costs of $1.5 million, and an increase in depreciation and amortization costs of $1.2 million. This was primarily due to increased headcount from the Luminex acquisition.</w:t>
      </w:r>
    </w:p>
    <w:p>
      <w:pPr>
        <w:spacing w:after="0" w:line="80" w:lineRule="exact"/>
        <w:rPr>
          <w:sz w:val="20"/>
          <w:szCs w:val="20"/>
          <w:color w:val="auto"/>
        </w:rPr>
      </w:pPr>
    </w:p>
    <w:p>
      <w:pPr>
        <w:jc w:val="both"/>
        <w:ind w:firstLine="1134"/>
        <w:spacing w:after="0" w:line="342" w:lineRule="auto"/>
        <w:rPr>
          <w:sz w:val="20"/>
          <w:szCs w:val="20"/>
          <w:color w:val="auto"/>
        </w:rPr>
      </w:pPr>
      <w:r>
        <w:rPr>
          <w:rFonts w:ascii="Arial" w:cs="Arial" w:eastAsia="Arial" w:hAnsi="Arial"/>
          <w:sz w:val="16"/>
          <w:szCs w:val="16"/>
          <w:color w:val="auto"/>
        </w:rPr>
        <w:t>We expect our sales and marketing expenses to increase in absolute dollars as we hire additional sales and marketing personnel, expand our sales support infrastructure and invest in our brand and product awareness to further penetrate the United States and the international markets.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Nine months ended September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20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8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36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2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29 %  $</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33,217</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General and administrative expenses were $10.4 million for the three months ended September 30, 2023 as compared to $8.0 million for the three months ended September 30, 2022. The increase of $2.3 million in general and administrative expenses was primarily due to an increase in general corporate personnel-related costs of $1.6 million,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including stock-based compensation and other payroll costs, and other outside service increase of $0.7 million. This was primarily due to increased headcount from the Luminex acquisition.</w:t>
      </w:r>
    </w:p>
    <w:p>
      <w:pPr>
        <w:spacing w:after="0" w:line="62"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General and administrative expenses were $33.2 million for the nine months ended September 30, 2023 as compared to $24.2 million for the nine months ended September 30, 2022. The increase of $9.0 million in general and administrative expenses was primarily due to an increase in legal and other professional service fees of $2.3 million, which includes $1.5 million related to the FCI acquisition in February 2023, increase in general corporate personnel-related costs of $5.4 million, including stock-based compensation and other payroll costs to support the growth of our overall operations. This was primarily due to increased headcount from the Luminex acquisition.</w:t>
      </w:r>
    </w:p>
    <w:p>
      <w:pPr>
        <w:spacing w:after="0" w:line="80"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We expect to continue to incur additional general and administrative expenses as a result of operating as a public company, including expenses related to compliance with the rules and regulations of the SEC and the Nasdaq Stock Market, additional insurance costs, investor relations activities and other administrative and professional services. As a result, we expect general and administrative expenses to increase in absolute dollars in future periods.</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1"/>
              </w:rPr>
              <w:t>Nine months ended September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0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ind w:right="36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(595)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8"/>
              <w:spacing w:after="0"/>
              <w:rPr>
                <w:sz w:val="20"/>
                <w:szCs w:val="20"/>
                <w:color w:val="auto"/>
              </w:rPr>
            </w:pPr>
            <w:r>
              <w:rPr>
                <w:rFonts w:ascii="Arial" w:cs="Arial" w:eastAsia="Arial" w:hAnsi="Arial"/>
                <w:sz w:val="16"/>
                <w:szCs w:val="16"/>
                <w:color w:val="auto"/>
              </w:rPr>
              <w:t>-8 %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33"/>
        </w:trPr>
        <w:tc>
          <w:tcPr>
            <w:tcW w:w="2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Interest expense was $0.6 million and $1.7 million for the three and nine months ended September 30, 2023, respectively, as compared to $0.6 million and $1.9 million for the three and nine months ended September 30, 2022, respectively. The decrease during the three and nine months ended September 30, 2023 as compared to 2022 was mainly due to the accretion of the present value discount related to the settlement agreement with Becton, Dickinson and Company (“BD”). See Note 11 to our unaudited interim consolidated financial statements included elsewhere in this Quarterly Report on Form 10-Q for further details.</w:t>
      </w:r>
    </w:p>
    <w:p>
      <w:pPr>
        <w:spacing w:after="0" w:line="80"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08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8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00" w:type="dxa"/>
            <w:vAlign w:val="bottom"/>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8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8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jc w:val="right"/>
              <w:ind w:right="32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2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1,622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2,972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7"/>
          <w:szCs w:val="17"/>
          <w:color w:val="auto"/>
        </w:rPr>
        <w:t>Interest income was $1.6 million and $5.0 million for the three and nine months ended September 30, 2023, respectively, as compared to $1.6 million and $2.0 million for the three and nine months ended September 30, 2022, respectively. The increase in interest income was the result of higher interest earned on our cash and cash equivalents and short term investment due to an increase in interest rates as compared to 2022.</w:t>
      </w:r>
    </w:p>
    <w:p>
      <w:pPr>
        <w:spacing w:after="0" w:line="57"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gridSpan w:val="7"/>
          </w:tcPr>
          <w:p>
            <w:pPr>
              <w:ind w:left="60"/>
              <w:spacing w:after="0"/>
              <w:rPr>
                <w:sz w:val="20"/>
                <w:szCs w:val="20"/>
                <w:color w:val="auto"/>
              </w:rPr>
            </w:pPr>
            <w:r>
              <w:rPr>
                <w:rFonts w:ascii="Arial" w:cs="Arial" w:eastAsia="Arial" w:hAnsi="Arial"/>
                <w:sz w:val="14"/>
                <w:szCs w:val="14"/>
                <w:b w:val="1"/>
                <w:bCs w:val="1"/>
                <w:color w:val="auto"/>
                <w:w w:val="96"/>
              </w:rPr>
              <w:t>Nine months ended September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0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30,</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42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640" w:type="dxa"/>
            <w:vAlign w:val="bottom"/>
          </w:tcPr>
          <w:p>
            <w:pPr>
              <w:jc w:val="right"/>
              <w:ind w:right="18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ind w:right="36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1,208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1,653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-371 %</w:t>
            </w:r>
          </w:p>
        </w:tc>
        <w:tc>
          <w:tcPr>
            <w:tcW w:w="26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-529 %</w:t>
            </w:r>
          </w:p>
        </w:tc>
        <w:tc>
          <w:tcPr>
            <w:tcW w:w="0" w:type="dxa"/>
            <w:vAlign w:val="bottom"/>
          </w:tcPr>
          <w:p>
            <w:pPr>
              <w:spacing w:after="0"/>
              <w:rPr>
                <w:sz w:val="1"/>
                <w:szCs w:val="1"/>
                <w:color w:val="auto"/>
              </w:rPr>
            </w:pPr>
          </w:p>
        </w:tc>
      </w:tr>
      <w:tr>
        <w:trPr>
          <w:trHeight w:val="33"/>
        </w:trPr>
        <w:tc>
          <w:tcPr>
            <w:tcW w:w="2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Other income, net was $1.2 million and $4.6 million for the three and nine months ended September 30, 2023, respectively, as compared to other expense, net of $0.4 million of expenses and $1.1 million of expenses for the three and nine months ended September 30, 2022, respectively. The income was primarily from the short-term investment.</w:t>
      </w:r>
    </w:p>
    <w:p>
      <w:pPr>
        <w:spacing w:after="0" w:line="76"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Nine months ended September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6"/>
                <w:szCs w:val="16"/>
                <w:color w:val="auto"/>
              </w:rPr>
            </w:pPr>
          </w:p>
        </w:tc>
        <w:tc>
          <w:tcPr>
            <w:tcW w:w="720" w:type="dxa"/>
            <w:vAlign w:val="bottom"/>
          </w:tcPr>
          <w:p>
            <w:pPr>
              <w:jc w:val="right"/>
              <w:ind w:right="24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36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2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98"/>
              </w:rPr>
              <w:t>914 %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33"/>
        </w:trPr>
        <w:tc>
          <w:tcPr>
            <w:tcW w:w="2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Provision for income taxes was $2.3 million and benefit from income taxes was $2.2 million for the three and nine months ended September 30, 2023, respectively, as compared to the provision for income taxes of $0.2 million and benefit from income tax of $1.6 million for the three and nine months ended September 30, 2022, respectively. The net change of provision of $2.0 million for the three months ended September 30, 2023 was primarily a result of more taxable income in the current quarter. The net benefit of $0.5 million for the nine months ended September 30, 2023 includes the third quarter tax increase offset by previous quarter tax benefit.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both"/>
        <w:ind w:firstLine="1134"/>
        <w:spacing w:after="0" w:line="293" w:lineRule="auto"/>
        <w:rPr>
          <w:sz w:val="20"/>
          <w:szCs w:val="20"/>
          <w:color w:val="auto"/>
        </w:rPr>
      </w:pPr>
      <w:r>
        <w:rPr>
          <w:rFonts w:ascii="Arial" w:cs="Arial" w:eastAsia="Arial" w:hAnsi="Arial"/>
          <w:sz w:val="16"/>
          <w:szCs w:val="16"/>
          <w:color w:val="auto"/>
        </w:rPr>
        <w:t>To supplement our unaudited interim consolidated financial statements presented in accordance with generally accepted accounting principles, we use constant currency revenue, which is a non-GAAP financial measure. We believe the presentation of revenue on a constant currency basis, in addition to results reported in accordance with U.S. GAAP, provides useful information about our operating performance because the constant currency presentation excludes the effects of foreign currency volatility and highlights our core operating results. The presentation of revenue on a constant currency basis should be considered in addition to, but not as a substitute for, measures of financial performance reported in accordance with U.S. GAAP. Revenue on a constant currency basis, as we present it, may not be comparable to similarly titled measures used by other companies.</w:t>
      </w:r>
    </w:p>
    <w:p>
      <w:pPr>
        <w:spacing w:after="0" w:line="56" w:lineRule="exact"/>
        <w:rPr>
          <w:sz w:val="20"/>
          <w:szCs w:val="20"/>
          <w:color w:val="auto"/>
        </w:rPr>
      </w:pPr>
    </w:p>
    <w:p>
      <w:pPr>
        <w:jc w:val="both"/>
        <w:ind w:right="20" w:firstLine="1134"/>
        <w:spacing w:after="0" w:line="342" w:lineRule="auto"/>
        <w:rPr>
          <w:sz w:val="20"/>
          <w:szCs w:val="20"/>
          <w:color w:val="auto"/>
        </w:rPr>
      </w:pPr>
      <w:r>
        <w:rPr>
          <w:rFonts w:ascii="Arial" w:cs="Arial" w:eastAsia="Arial" w:hAnsi="Arial"/>
          <w:sz w:val="16"/>
          <w:szCs w:val="16"/>
          <w:color w:val="auto"/>
        </w:rPr>
        <w:t>The FX Impact is calculated as the difference between the current year amounts and the current year amounts translated at prior period average exchange rates. The FX Impact % represents the percentage change on a period-over-period basis adjusted for foreign currency impacts.</w:t>
      </w:r>
    </w:p>
    <w:p>
      <w:pPr>
        <w:spacing w:after="0" w:line="16"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following table presents a reconciliation of constant currency revenue to our reported net revenue for the periods indicated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Three months ended</w:t>
            </w:r>
          </w:p>
        </w:tc>
        <w:tc>
          <w:tcPr>
            <w:tcW w:w="160" w:type="dxa"/>
            <w:vAlign w:val="bottom"/>
          </w:tcPr>
          <w:p>
            <w:pPr>
              <w:spacing w:after="0"/>
              <w:rPr>
                <w:sz w:val="14"/>
                <w:szCs w:val="1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7"/>
              </w:rPr>
              <w:t>Three months ended</w:t>
            </w:r>
          </w:p>
        </w:tc>
        <w:tc>
          <w:tcPr>
            <w:tcW w:w="22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Nine Months Ended</w:t>
            </w:r>
          </w:p>
        </w:tc>
      </w:tr>
      <w:tr>
        <w:trPr>
          <w:trHeight w:val="200"/>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7"/>
                <w:szCs w:val="17"/>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September 30, 2022</w:t>
            </w:r>
          </w:p>
        </w:tc>
      </w:tr>
      <w:tr>
        <w:trPr>
          <w:trHeight w:val="26"/>
        </w:trPr>
        <w:tc>
          <w:tcPr>
            <w:tcW w:w="4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18"/>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As reported</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48,000</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40,477</w:t>
            </w:r>
          </w:p>
        </w:tc>
        <w:tc>
          <w:tcPr>
            <w:tcW w:w="8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134,782</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115,700</w:t>
            </w:r>
          </w:p>
        </w:tc>
      </w:tr>
      <w:tr>
        <w:trPr>
          <w:trHeight w:val="26"/>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Non-GAAP constant currency</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47,703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40,501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135,903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117,647</w:t>
            </w:r>
          </w:p>
        </w:tc>
      </w:tr>
      <w:tr>
        <w:trPr>
          <w:trHeight w:val="197"/>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FX Impact [$]</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1,121</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1,947</w:t>
            </w:r>
          </w:p>
        </w:tc>
      </w:tr>
      <w:tr>
        <w:trPr>
          <w:trHeight w:val="25"/>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FX Impact [%]</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25"/>
        </w:trPr>
        <w:tc>
          <w:tcPr>
            <w:tcW w:w="4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To date, our primary sources of capital have been through sales of our securities and revenue from the sale of our products and services. As of September 30, 2023 and December 31, 2022, we had approximately $288.0 million and $344.0 million, respectively, in cash and cash equivalents and short term investments, which were primarily held in U.S. short-term bank deposit accounts, money market funds, U.S. Treasury notes, Federal agency security notes, and short term commercial paper.</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Funding and material cash requirements</w:t>
      </w:r>
    </w:p>
    <w:p>
      <w:pPr>
        <w:spacing w:after="0" w:line="117"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84"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We currently anticipate making additional capital expenditures during the next 12 months, which is expected to primarily include equipment to be used for manufacturing and investment in research and development, as well as spend associated with the expansion of our facilities in Wuxi, China.</w:t>
      </w:r>
    </w:p>
    <w:p>
      <w:pPr>
        <w:spacing w:after="0" w:line="76"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In addition, we lease certain office facilities under operating lease arrangements that expire on various dates through fiscal year 2027. Under the terms of the leases, we are responsible for certain expenses related to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maintenance, repairs and management fees. Future minimum lease payments under non-cancelable operating leases totaled $13.9 million as of September 30, 2023.</w:t>
      </w:r>
    </w:p>
    <w:p>
      <w:pPr>
        <w:spacing w:after="0" w:line="62" w:lineRule="exact"/>
        <w:rPr>
          <w:sz w:val="20"/>
          <w:szCs w:val="20"/>
          <w:color w:val="auto"/>
        </w:rPr>
      </w:pPr>
    </w:p>
    <w:p>
      <w:pPr>
        <w:jc w:val="both"/>
        <w:ind w:firstLine="1134"/>
        <w:spacing w:after="0" w:line="342" w:lineRule="auto"/>
        <w:rPr>
          <w:sz w:val="20"/>
          <w:szCs w:val="20"/>
          <w:color w:val="auto"/>
        </w:rPr>
      </w:pPr>
      <w:r>
        <w:rPr>
          <w:rFonts w:ascii="Arial" w:cs="Arial" w:eastAsia="Arial" w:hAnsi="Arial"/>
          <w:sz w:val="16"/>
          <w:szCs w:val="16"/>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1134"/>
        <w:spacing w:after="0" w:line="308" w:lineRule="auto"/>
        <w:rPr>
          <w:sz w:val="20"/>
          <w:szCs w:val="20"/>
          <w:color w:val="auto"/>
        </w:rPr>
      </w:pPr>
      <w:r>
        <w:rPr>
          <w:rFonts w:ascii="Arial" w:cs="Arial" w:eastAsia="Arial" w:hAnsi="Arial"/>
          <w:sz w:val="17"/>
          <w:szCs w:val="17"/>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38"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On August 26, 2022, we entered into a sales agreement (the “Sales Agreement”) with Piper Sandler &amp; Co. (“Piper”) as sales agent to sell from time to time up to $150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(18,424)</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(135,871)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(23,095)</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1134"/>
        <w:spacing w:after="0" w:line="291" w:lineRule="auto"/>
        <w:rPr>
          <w:sz w:val="20"/>
          <w:szCs w:val="20"/>
          <w:color w:val="auto"/>
        </w:rPr>
      </w:pPr>
      <w:r>
        <w:rPr>
          <w:rFonts w:ascii="Arial" w:cs="Arial" w:eastAsia="Arial" w:hAnsi="Arial"/>
          <w:sz w:val="16"/>
          <w:szCs w:val="16"/>
          <w:color w:val="auto"/>
        </w:rPr>
        <w:t>Net cash used in operating activities for the nine months ended September 30, 2023 was $4.2 million including net loss of $17.7 million. We also incurred gain on investments, accretion and amortization, non-cash provision for excess and obsolete inventory, stock-based compensation expense, depreciation and amortization, amortization of right-of-use assets, and interest expenses for accretion of the legal settlement liabilities of $5.3 million, $0.8 million, $16.4 million, $4.4 million, $2.4 million, and $1.3 million, respectively. Usage of cash included a decrease in lease liability of $2.2 million, an increase of inventories of $2.0 million and an increase in legal settlement liability of $0.4 million. Additionally, there was an increase of trade accounts receivable of $7.6 million, an increase in prepaid expenses and other assets of $2.3 million, an increase in accrued expenses and other liabilities of $0.6 million, an increase in deferred revenue of $7.2 million and an increase of trade accounts payables of $0.01 million.</w:t>
      </w:r>
    </w:p>
    <w:p>
      <w:pPr>
        <w:spacing w:after="0" w:line="58" w:lineRule="exact"/>
        <w:rPr>
          <w:sz w:val="20"/>
          <w:szCs w:val="20"/>
          <w:color w:val="auto"/>
        </w:rPr>
      </w:pPr>
    </w:p>
    <w:p>
      <w:pPr>
        <w:jc w:val="both"/>
        <w:ind w:firstLine="1134"/>
        <w:spacing w:after="0" w:line="293" w:lineRule="auto"/>
        <w:rPr>
          <w:sz w:val="20"/>
          <w:szCs w:val="20"/>
          <w:color w:val="auto"/>
        </w:rPr>
      </w:pPr>
      <w:r>
        <w:rPr>
          <w:rFonts w:ascii="Arial" w:cs="Arial" w:eastAsia="Arial" w:hAnsi="Arial"/>
          <w:sz w:val="16"/>
          <w:szCs w:val="16"/>
          <w:color w:val="auto"/>
        </w:rPr>
        <w:t>Net cash used in operating activities for the nine months ended September 30, 2022 was $18.4 million. Net loss was $1.2 million; we also incurred non-cash stock-based compensation expense, depreciation and amortization, amortization of right-of-use assets, and interest expenses for accretion of the legal settlement liabilities of $12.1 million, $1.7 million, $2.1 million, and $1.6 million, respectively. Usage of cash included an increase of inventories of $19.5 million, an increase of trade accounts receivable of $11.8 million due to an increase in sales, and a decrease in prepaid expenses and other assets of $15.0 million. This was partially offset by an increase of trade accounts payables of $2.8 million, an increase in deferred revenue of $6.5 million, an increase in accrued expenses and other liabilities of $2.8 million and an increase in the legal settlement liability of $0.5 million.</w:t>
      </w:r>
    </w:p>
    <w:p>
      <w:pPr>
        <w:spacing w:after="0" w:line="56"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Net cash used in investing activities during the nine months ended September 30, 2023 was $123.0 million driven by purchase of property and equipment of $3.1 million, proceeds from maturities of marketable securities of $78.0 million, additional purchase of marketable securities of $152.6 million and purchases of business of $44.9 million, purchases of patents of $0.1 million, and payment of additional investments in Cytek Japan of $0.2 million.</w:t>
      </w:r>
    </w:p>
    <w:p>
      <w:pPr>
        <w:spacing w:after="0" w:line="79"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2022 was $4.8 million driven by purchases of property and equipment of $3.2 million, purchase of patents $0.04 million and payment of investments of $1.6 million.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Net cash used in financing activities during the nine months ended September 30, 2023 was $8.1 million driven by the issuance of our common stock under our equity incentive plans of $1.1 million, offset by repayment of loan of $0.4 million, payments for taxes related to net share settlement of equity awards of $0.3 million and $9.4 million costs related to the repurchase of our shares.</w:t>
      </w:r>
    </w:p>
    <w:p>
      <w:pPr>
        <w:spacing w:after="0" w:line="76"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Net cash provided by financing activities during the nine months ended September 30, 2022 was $1.7 million driven by issuance of our common stock under our equity incentive plans, as well as the shares issues related to purchase under the Employee Stock Purchase Plan, offset by taxes from net settlement of RSU release.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499"/>
        <w:spacing w:after="0" w:line="342" w:lineRule="auto"/>
        <w:rPr>
          <w:sz w:val="20"/>
          <w:szCs w:val="20"/>
          <w:color w:val="auto"/>
        </w:rPr>
      </w:pPr>
      <w:r>
        <w:rPr>
          <w:rFonts w:ascii="Arial" w:cs="Arial" w:eastAsia="Arial" w:hAnsi="Arial"/>
          <w:sz w:val="16"/>
          <w:szCs w:val="16"/>
          <w:color w:val="auto"/>
        </w:rPr>
        <w:t>During the nine months ended September 30, 2023, there were no material changes to our contractual obligations and commitments from those described under “Management’s Discussion and Analysis of Financial Condition” which is contained in our 10-K and filed with the SEC on March 1, 2023.</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2022 included in our Annual Report on Form 10-K filed with the SEC on March 1, 2023. There were no material changes to our critical accounting policies during the nine months ended September 30, 2023.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right="160" w:firstLine="501"/>
        <w:spacing w:after="0" w:line="263" w:lineRule="auto"/>
        <w:rPr>
          <w:sz w:val="20"/>
          <w:szCs w:val="20"/>
          <w:color w:val="auto"/>
        </w:rPr>
      </w:pPr>
      <w:r>
        <w:rPr>
          <w:rFonts w:ascii="Arial" w:cs="Arial" w:eastAsia="Arial" w:hAnsi="Arial"/>
          <w:sz w:val="18"/>
          <w:szCs w:val="18"/>
          <w:color w:val="auto"/>
        </w:rPr>
        <w:t xml:space="preserve">Information with respect to this item may be found in Note 2, </w:t>
      </w:r>
      <w:r>
        <w:rPr>
          <w:rFonts w:ascii="Arial" w:cs="Arial" w:eastAsia="Arial" w:hAnsi="Arial"/>
          <w:sz w:val="18"/>
          <w:szCs w:val="18"/>
          <w:i w:val="1"/>
          <w:iCs w:val="1"/>
          <w:color w:val="auto"/>
        </w:rPr>
        <w:t>Basis of presentation and summary of significant accounting policies</w:t>
      </w:r>
      <w:r>
        <w:rPr>
          <w:rFonts w:ascii="Arial" w:cs="Arial" w:eastAsia="Arial" w:hAnsi="Arial"/>
          <w:sz w:val="18"/>
          <w:szCs w:val="18"/>
          <w:color w:val="auto"/>
        </w:rPr>
        <w:t>, in our notes to unaudited interim consolidated financial statements included in Part I, Item 1, of this Quarterly Report on Form 10-Q, which information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The market risk inherent in our financial instruments and in our financial condition represents the potential loss arising from adverse changes in interest rates or exchange rates. As of September 30, 2023, we had cash and cash equivalents of $163.6 million, which consisted primarily of money market funds and bank deposits. The primary objective of our investment is to preserve principal and provide liquidity. These money market funds and bank deposits generate interest income at variable rates.</w:t>
      </w:r>
    </w:p>
    <w:p>
      <w:pPr>
        <w:spacing w:after="0" w:line="79"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7"/>
          <w:szCs w:val="17"/>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63" w:lineRule="exact"/>
        <w:rPr>
          <w:sz w:val="20"/>
          <w:szCs w:val="20"/>
          <w:color w:val="auto"/>
        </w:rPr>
      </w:pPr>
    </w:p>
    <w:p>
      <w:pPr>
        <w:jc w:val="both"/>
        <w:ind w:firstLine="1134"/>
        <w:spacing w:after="0" w:line="291" w:lineRule="auto"/>
        <w:rPr>
          <w:sz w:val="20"/>
          <w:szCs w:val="20"/>
          <w:color w:val="auto"/>
        </w:rPr>
      </w:pPr>
      <w:r>
        <w:rPr>
          <w:rFonts w:ascii="Arial" w:cs="Arial" w:eastAsia="Arial" w:hAnsi="Arial"/>
          <w:sz w:val="16"/>
          <w:szCs w:val="16"/>
          <w:color w:val="auto"/>
        </w:rPr>
        <w:t>We do not believe that either inflation or foreign currency risk had a material effect on our business, financial condition, or results of operations during the periods presented. See the section entitled “Management's Discussion and Analysis of Financial Condition and Results of Operations</w:t>
      </w:r>
    </w:p>
    <w:p>
      <w:pPr>
        <w:spacing w:after="0" w:line="260" w:lineRule="auto"/>
        <w:rPr>
          <w:sz w:val="20"/>
          <w:szCs w:val="20"/>
          <w:color w:val="auto"/>
        </w:rPr>
      </w:pPr>
      <w:r>
        <w:rPr>
          <w:rFonts w:ascii="Arial" w:cs="Arial" w:eastAsia="Arial" w:hAnsi="Arial"/>
          <w:sz w:val="18"/>
          <w:szCs w:val="18"/>
          <w:color w:val="auto"/>
        </w:rPr>
        <w:t>— Non-GAAP Financial Measure” for a presentation of revenue on a constant currency basis, which provides information regarding our operating performance excluding the effects of foreign currency volatility.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 our disclosure controls and procedures were not effective as of September 30, 2023.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In connection with our financial statement close process for the year ended December 31, 2022, we identified deficiencies in the control environment and control activities components of the Committee of Sponsoring Organizations (“COSO”) framework that constitute material weaknesses, either individually or in the aggregate.</w:t>
      </w:r>
    </w:p>
    <w:p>
      <w:pPr>
        <w:spacing w:after="0" w:line="76" w:lineRule="exact"/>
        <w:rPr>
          <w:sz w:val="20"/>
          <w:szCs w:val="20"/>
          <w:color w:val="auto"/>
        </w:rPr>
      </w:pPr>
    </w:p>
    <w:p>
      <w:pPr>
        <w:jc w:val="both"/>
        <w:ind w:left="2360" w:hanging="1218"/>
        <w:spacing w:after="0" w:line="293" w:lineRule="auto"/>
        <w:tabs>
          <w:tab w:leader="none" w:pos="235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Control environment – Management did not maintain an effective control environment based on the criteria established in the COSO framework and identified deficiencies in the principles associated with the control environment of the COSO framework. Specifically, the Company does not have a sufficient number of qualified resources within our accounting and IT function with the appropriate level of technical accounting or other requisite knowledge to (1) timely identify and assess accounting implications of transactions and (2) perform assigned responsibilities and have appropriate accountability for the design and operation of internal control over financial reporting.</w:t>
      </w:r>
    </w:p>
    <w:p>
      <w:pPr>
        <w:spacing w:after="0" w:line="56" w:lineRule="exact"/>
        <w:rPr>
          <w:rFonts w:ascii="Arial" w:cs="Arial" w:eastAsia="Arial" w:hAnsi="Arial"/>
          <w:sz w:val="16"/>
          <w:szCs w:val="16"/>
          <w:color w:val="auto"/>
        </w:rPr>
      </w:pPr>
    </w:p>
    <w:p>
      <w:pPr>
        <w:jc w:val="both"/>
        <w:ind w:left="2360" w:hanging="1218"/>
        <w:spacing w:after="0" w:line="254" w:lineRule="auto"/>
        <w:tabs>
          <w:tab w:leader="none" w:pos="23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spacing w:after="0" w:line="86" w:lineRule="exact"/>
        <w:rPr>
          <w:rFonts w:ascii="Arial" w:cs="Arial" w:eastAsia="Arial" w:hAnsi="Arial"/>
          <w:sz w:val="18"/>
          <w:szCs w:val="18"/>
          <w:color w:val="auto"/>
        </w:rPr>
      </w:pPr>
    </w:p>
    <w:p>
      <w:pPr>
        <w:jc w:val="both"/>
        <w:ind w:left="2360"/>
        <w:spacing w:after="0" w:line="296" w:lineRule="auto"/>
        <w:rPr>
          <w:rFonts w:ascii="Arial" w:cs="Arial" w:eastAsia="Arial" w:hAnsi="Arial"/>
          <w:sz w:val="18"/>
          <w:szCs w:val="18"/>
          <w:color w:val="auto"/>
        </w:rPr>
      </w:pPr>
      <w:r>
        <w:rPr>
          <w:rFonts w:ascii="Arial" w:cs="Arial" w:eastAsia="Arial" w:hAnsi="Arial"/>
          <w:sz w:val="16"/>
          <w:szCs w:val="16"/>
          <w:color w:val="auto"/>
        </w:rPr>
        <w:t>The following material weaknesses were contributing factors: (i) inadequate general information technology controls (GITCs) in the areas of access security and program change-management over certain information technology systems that support the Company’s financial reporting processes. Some of our business process controls (automated and manual) are dependent on the affected GITCs; they too were deemed ineffective because they could have been adversely impacted; and (ii) ineffective design and/or review procedures for journal entries and balance sheet account reconciliations.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and Status</w:t>
      </w:r>
    </w:p>
    <w:p>
      <w:pPr>
        <w:spacing w:after="0" w:line="117"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We are committed to remediating the control deficiencies that constituted the above material weaknesses by implementing changes to our internal control over financial reporting. Management has implemented, and continues to implement, measures designed to ensure that control deficiencies contributing to the material weaknesses are remediated, such that these controls are designed, implemented and operating effectively. During 2022 and the nine months ended September 30, 2023, we executed and will continue to execute the following steps intended to remediate the material weaknesses described above and strengthen our internal control over financial reporting:</w:t>
      </w:r>
    </w:p>
    <w:p>
      <w:pPr>
        <w:spacing w:after="0" w:line="80" w:lineRule="exact"/>
        <w:rPr>
          <w:sz w:val="20"/>
          <w:szCs w:val="20"/>
          <w:color w:val="auto"/>
        </w:rPr>
      </w:pPr>
    </w:p>
    <w:p>
      <w:pPr>
        <w:ind w:left="2360" w:right="20" w:hanging="1218"/>
        <w:spacing w:after="0" w:line="277" w:lineRule="auto"/>
        <w:tabs>
          <w:tab w:leader="none" w:pos="23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support from external consultants, we will revise and improve the design of our controls, implement reviews and monitor the effectiveness of our system of internal controls, including GITCs.</w:t>
      </w:r>
    </w:p>
    <w:p>
      <w:pPr>
        <w:spacing w:after="0" w:line="62" w:lineRule="exact"/>
        <w:rPr>
          <w:rFonts w:ascii="Arial" w:cs="Arial" w:eastAsia="Arial" w:hAnsi="Arial"/>
          <w:sz w:val="18"/>
          <w:szCs w:val="18"/>
          <w:color w:val="auto"/>
        </w:rPr>
      </w:pPr>
    </w:p>
    <w:p>
      <w:pPr>
        <w:ind w:left="2360" w:right="20" w:hanging="1218"/>
        <w:spacing w:after="0" w:line="277" w:lineRule="auto"/>
        <w:tabs>
          <w:tab w:leader="none" w:pos="23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identify and assign qualified personnel to implement appropriate accountability for the design and operation of internal control over financial reporting and monitor the progress of remediation.</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committed to adding qualified personnel within our accounting and information technology functions.</w:t>
      </w:r>
    </w:p>
    <w:p>
      <w:pPr>
        <w:spacing w:after="0" w:line="117"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continue to revise and enhance the design of existing controls and implement new controls, update documentation, expand education and training, and strengthen supervisory reviews by our management.</w:t>
      </w:r>
    </w:p>
    <w:p>
      <w:pPr>
        <w:spacing w:after="0" w:line="62" w:lineRule="exact"/>
        <w:rPr>
          <w:rFonts w:ascii="Arial" w:cs="Arial" w:eastAsia="Arial" w:hAnsi="Arial"/>
          <w:sz w:val="18"/>
          <w:szCs w:val="18"/>
          <w:color w:val="auto"/>
        </w:rPr>
      </w:pPr>
    </w:p>
    <w:p>
      <w:pPr>
        <w:ind w:left="2360" w:right="20" w:hanging="1218"/>
        <w:spacing w:after="0" w:line="277" w:lineRule="auto"/>
        <w:tabs>
          <w:tab w:leader="none" w:pos="23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strengthened, and will continue to strengthen, GITCs related to financial accounting and reporting systems including implementing monitoring controls as appropriate.</w:t>
      </w:r>
    </w:p>
    <w:p>
      <w:pPr>
        <w:spacing w:after="0" w:line="62" w:lineRule="exact"/>
        <w:rPr>
          <w:rFonts w:ascii="Arial" w:cs="Arial" w:eastAsia="Arial" w:hAnsi="Arial"/>
          <w:sz w:val="18"/>
          <w:szCs w:val="18"/>
          <w:color w:val="auto"/>
        </w:rPr>
      </w:pPr>
    </w:p>
    <w:p>
      <w:pPr>
        <w:ind w:left="2360" w:hanging="1218"/>
        <w:spacing w:after="0" w:line="308" w:lineRule="auto"/>
        <w:tabs>
          <w:tab w:leader="none" w:pos="23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continue to automate workflows and enhance oversight over the execution and review of manual journal entry controls and account reconciliations, and will continue to provide training for such enhanced oversight and review.</w:t>
      </w:r>
    </w:p>
    <w:p>
      <w:pPr>
        <w:spacing w:after="0" w:line="38" w:lineRule="exact"/>
        <w:rPr>
          <w:sz w:val="20"/>
          <w:szCs w:val="20"/>
          <w:color w:val="auto"/>
        </w:rPr>
      </w:pPr>
    </w:p>
    <w:p>
      <w:pPr>
        <w:jc w:val="both"/>
        <w:ind w:firstLine="499"/>
        <w:spacing w:after="0" w:line="275" w:lineRule="auto"/>
        <w:rPr>
          <w:sz w:val="20"/>
          <w:szCs w:val="20"/>
          <w:color w:val="auto"/>
        </w:rPr>
      </w:pPr>
      <w:r>
        <w:rPr>
          <w:rFonts w:ascii="Arial" w:cs="Arial" w:eastAsia="Arial" w:hAnsi="Arial"/>
          <w:sz w:val="17"/>
          <w:szCs w:val="17"/>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1134"/>
        <w:spacing w:after="0" w:line="311" w:lineRule="auto"/>
        <w:rPr>
          <w:sz w:val="20"/>
          <w:szCs w:val="20"/>
          <w:color w:val="auto"/>
        </w:rPr>
      </w:pPr>
      <w:r>
        <w:rPr>
          <w:rFonts w:ascii="Arial" w:cs="Arial" w:eastAsia="Arial" w:hAnsi="Arial"/>
          <w:sz w:val="16"/>
          <w:szCs w:val="16"/>
          <w:color w:val="auto"/>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three months ended September 30, 2023 that materially affected, or were reasonably likely to materially affect, our internal control over financial reporting.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00" w:firstLine="1134"/>
        <w:spacing w:after="0" w:line="277" w:lineRule="auto"/>
        <w:rPr>
          <w:sz w:val="20"/>
          <w:szCs w:val="20"/>
          <w:color w:val="auto"/>
        </w:rPr>
      </w:pPr>
      <w:r>
        <w:rPr>
          <w:rFonts w:ascii="Arial" w:cs="Arial" w:eastAsia="Arial" w:hAnsi="Arial"/>
          <w:sz w:val="18"/>
          <w:szCs w:val="18"/>
          <w:color w:val="auto"/>
        </w:rPr>
        <w:t>We are not currently engaged in any material pending legal proceedings. From time to time, we may be subject to legal proceedings and claims arising in the ordinary course of business.</w:t>
      </w:r>
    </w:p>
    <w:p>
      <w:pPr>
        <w:spacing w:after="0" w:line="200" w:lineRule="exact"/>
        <w:rPr>
          <w:sz w:val="20"/>
          <w:szCs w:val="20"/>
          <w:color w:val="auto"/>
        </w:rPr>
      </w:pP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80" w:lineRule="exact"/>
        <w:rPr>
          <w:sz w:val="20"/>
          <w:szCs w:val="20"/>
          <w:color w:val="auto"/>
        </w:rPr>
      </w:pPr>
    </w:p>
    <w:p>
      <w:pPr>
        <w:jc w:val="both"/>
        <w:ind w:left="2360" w:hanging="1218"/>
        <w:spacing w:after="0" w:line="263" w:lineRule="auto"/>
        <w:tabs>
          <w:tab w:leader="none" w:pos="23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75" w:lineRule="exact"/>
        <w:rPr>
          <w:rFonts w:ascii="Arial" w:cs="Arial" w:eastAsia="Arial" w:hAnsi="Arial"/>
          <w:sz w:val="18"/>
          <w:szCs w:val="18"/>
          <w:color w:val="auto"/>
        </w:rPr>
      </w:pPr>
    </w:p>
    <w:p>
      <w:pPr>
        <w:jc w:val="both"/>
        <w:ind w:left="2360" w:hanging="1218"/>
        <w:spacing w:after="0" w:line="259" w:lineRule="auto"/>
        <w:tabs>
          <w:tab w:leader="none" w:pos="23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highly dependent on a limited number of product offerings. Our revenue has been primarily generated from sales of our core Aurora and Northern Light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78" w:lineRule="exact"/>
        <w:rPr>
          <w:rFonts w:ascii="Arial" w:cs="Arial" w:eastAsia="Arial" w:hAnsi="Arial"/>
          <w:sz w:val="18"/>
          <w:szCs w:val="18"/>
          <w:color w:val="auto"/>
        </w:rPr>
      </w:pPr>
    </w:p>
    <w:p>
      <w:pPr>
        <w:jc w:val="both"/>
        <w:ind w:left="2360" w:hanging="1218"/>
        <w:spacing w:after="0" w:line="254" w:lineRule="auto"/>
        <w:tabs>
          <w:tab w:leader="none" w:pos="23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w:t>
      </w:r>
    </w:p>
    <w:p>
      <w:pPr>
        <w:spacing w:after="0" w:line="83"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results of operations will be harmed if we are unable to accurately forecast customer demand for our products and manage our inventory.</w:t>
      </w:r>
    </w:p>
    <w:p>
      <w:pPr>
        <w:spacing w:after="0" w:line="62" w:lineRule="exact"/>
        <w:rPr>
          <w:rFonts w:ascii="Arial" w:cs="Arial" w:eastAsia="Arial" w:hAnsi="Arial"/>
          <w:sz w:val="18"/>
          <w:szCs w:val="18"/>
          <w:color w:val="auto"/>
        </w:rPr>
      </w:pPr>
    </w:p>
    <w:p>
      <w:pPr>
        <w:jc w:val="both"/>
        <w:ind w:left="2360" w:hanging="1218"/>
        <w:spacing w:after="0" w:line="257" w:lineRule="auto"/>
        <w:tabs>
          <w:tab w:leader="none" w:pos="23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79"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manufacture our products in high-quality commercial quantities successfully and consistently to meet demand, our growth will be limited.</w:t>
      </w:r>
    </w:p>
    <w:p>
      <w:pPr>
        <w:spacing w:after="0" w:line="62" w:lineRule="exact"/>
        <w:rPr>
          <w:rFonts w:ascii="Arial" w:cs="Arial" w:eastAsia="Arial" w:hAnsi="Arial"/>
          <w:sz w:val="18"/>
          <w:szCs w:val="18"/>
          <w:color w:val="auto"/>
        </w:rPr>
      </w:pPr>
    </w:p>
    <w:p>
      <w:pPr>
        <w:jc w:val="both"/>
        <w:ind w:left="2360" w:hanging="1218"/>
        <w:spacing w:after="0" w:line="311" w:lineRule="auto"/>
        <w:tabs>
          <w:tab w:leader="none" w:pos="23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40" w:lineRule="exact"/>
        <w:rPr>
          <w:rFonts w:ascii="Arial" w:cs="Arial" w:eastAsia="Arial" w:hAnsi="Arial"/>
          <w:sz w:val="16"/>
          <w:szCs w:val="16"/>
          <w:color w:val="auto"/>
        </w:rPr>
      </w:pPr>
    </w:p>
    <w:p>
      <w:pPr>
        <w:jc w:val="both"/>
        <w:ind w:left="2360" w:hanging="1218"/>
        <w:spacing w:after="0" w:line="257" w:lineRule="auto"/>
        <w:tabs>
          <w:tab w:leader="none" w:pos="23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w:t>
      </w:r>
    </w:p>
    <w:p>
      <w:pPr>
        <w:spacing w:after="0" w:line="79" w:lineRule="exact"/>
        <w:rPr>
          <w:rFonts w:ascii="Arial" w:cs="Arial" w:eastAsia="Arial" w:hAnsi="Arial"/>
          <w:sz w:val="18"/>
          <w:szCs w:val="18"/>
          <w:color w:val="auto"/>
        </w:rPr>
      </w:pPr>
    </w:p>
    <w:p>
      <w:pPr>
        <w:jc w:val="both"/>
        <w:ind w:left="2360" w:hanging="1218"/>
        <w:spacing w:after="0" w:line="255" w:lineRule="auto"/>
        <w:tabs>
          <w:tab w:leader="none" w:pos="23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Concentration of ownership of our common stock among our executive officers, directors, principal stockholders and their respective affiliates may prevent new investors from influencing significant corporate decisions. Based on shares outstanding as of September 30, 2023, our executive officers, directors, holders of 5% or more of our common stock and their respective affiliates (based on filings with the SEC), in the aggregate, own approximately 39.6% of our common stock. These stockholders, acting together, will be able to significantly influence all matters requiring stockholder approval,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including the election and removal of directors and any merger or other significant corporate transaction.</w:t>
      </w:r>
    </w:p>
    <w:p>
      <w:pPr>
        <w:spacing w:after="0" w:line="117" w:lineRule="exact"/>
        <w:rPr>
          <w:sz w:val="20"/>
          <w:szCs w:val="20"/>
          <w:color w:val="auto"/>
        </w:rPr>
      </w:pPr>
    </w:p>
    <w:p>
      <w:pPr>
        <w:jc w:val="both"/>
        <w:ind w:left="2360" w:hanging="1218"/>
        <w:spacing w:after="0" w:line="259" w:lineRule="auto"/>
        <w:tabs>
          <w:tab w:leader="none" w:pos="2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78" w:lineRule="exact"/>
        <w:rPr>
          <w:rFonts w:ascii="Arial" w:cs="Arial" w:eastAsia="Arial" w:hAnsi="Arial"/>
          <w:sz w:val="18"/>
          <w:szCs w:val="18"/>
          <w:color w:val="auto"/>
        </w:rPr>
      </w:pPr>
    </w:p>
    <w:p>
      <w:pPr>
        <w:jc w:val="both"/>
        <w:ind w:left="2360" w:hanging="1218"/>
        <w:spacing w:after="0" w:line="263" w:lineRule="auto"/>
        <w:tabs>
          <w:tab w:leader="none" w:pos="2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75"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operations and expansion of our international business exposes us to business, regulatory, political, operational, financial and economic risks associated with doing business outside of the United States.</w:t>
      </w:r>
    </w:p>
    <w:p>
      <w:pPr>
        <w:spacing w:after="0" w:line="62" w:lineRule="exact"/>
        <w:rPr>
          <w:rFonts w:ascii="Arial" w:cs="Arial" w:eastAsia="Arial" w:hAnsi="Arial"/>
          <w:sz w:val="18"/>
          <w:szCs w:val="18"/>
          <w:color w:val="auto"/>
        </w:rPr>
      </w:pPr>
    </w:p>
    <w:p>
      <w:pPr>
        <w:jc w:val="both"/>
        <w:ind w:left="2360" w:hanging="1218"/>
        <w:spacing w:after="0" w:line="257" w:lineRule="auto"/>
        <w:tabs>
          <w:tab w:leader="none" w:pos="2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79" w:lineRule="exact"/>
        <w:rPr>
          <w:rFonts w:ascii="Arial" w:cs="Arial" w:eastAsia="Arial" w:hAnsi="Arial"/>
          <w:sz w:val="18"/>
          <w:szCs w:val="18"/>
          <w:color w:val="auto"/>
        </w:rPr>
      </w:pPr>
    </w:p>
    <w:p>
      <w:pPr>
        <w:ind w:left="2360" w:hanging="1218"/>
        <w:spacing w:after="0"/>
        <w:tabs>
          <w:tab w:leader="none" w:pos="2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our products do not perform as expected, our operating results, reputation and business will suffer.</w:t>
      </w:r>
    </w:p>
    <w:p>
      <w:pPr>
        <w:spacing w:after="0" w:line="117" w:lineRule="exact"/>
        <w:rPr>
          <w:rFonts w:ascii="Arial" w:cs="Arial" w:eastAsia="Arial" w:hAnsi="Arial"/>
          <w:sz w:val="18"/>
          <w:szCs w:val="18"/>
          <w:color w:val="auto"/>
        </w:rPr>
      </w:pPr>
    </w:p>
    <w:p>
      <w:pPr>
        <w:jc w:val="both"/>
        <w:ind w:left="2360" w:hanging="1218"/>
        <w:spacing w:after="0" w:line="263" w:lineRule="auto"/>
        <w:tabs>
          <w:tab w:leader="none" w:pos="2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75" w:lineRule="exact"/>
        <w:rPr>
          <w:rFonts w:ascii="Arial" w:cs="Arial" w:eastAsia="Arial" w:hAnsi="Arial"/>
          <w:sz w:val="18"/>
          <w:szCs w:val="18"/>
          <w:color w:val="auto"/>
        </w:rPr>
      </w:pPr>
    </w:p>
    <w:p>
      <w:pPr>
        <w:ind w:left="2360" w:hanging="1218"/>
        <w:spacing w:after="0" w:line="342" w:lineRule="auto"/>
        <w:tabs>
          <w:tab w:leader="none" w:pos="23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15" w:lineRule="exact"/>
        <w:rPr>
          <w:rFonts w:ascii="Arial" w:cs="Arial" w:eastAsia="Arial" w:hAnsi="Arial"/>
          <w:sz w:val="16"/>
          <w:szCs w:val="16"/>
          <w:color w:val="auto"/>
        </w:rPr>
      </w:pPr>
    </w:p>
    <w:p>
      <w:pPr>
        <w:jc w:val="both"/>
        <w:ind w:left="2360" w:hanging="1218"/>
        <w:spacing w:after="0" w:line="263" w:lineRule="auto"/>
        <w:tabs>
          <w:tab w:leader="none" w:pos="2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75" w:lineRule="exact"/>
        <w:rPr>
          <w:rFonts w:ascii="Arial" w:cs="Arial" w:eastAsia="Arial" w:hAnsi="Arial"/>
          <w:sz w:val="18"/>
          <w:szCs w:val="18"/>
          <w:color w:val="auto"/>
        </w:rPr>
      </w:pPr>
    </w:p>
    <w:p>
      <w:pPr>
        <w:jc w:val="both"/>
        <w:ind w:left="2360" w:hanging="1218"/>
        <w:spacing w:after="0" w:line="263" w:lineRule="auto"/>
        <w:tabs>
          <w:tab w:leader="none" w:pos="2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75" w:lineRule="exact"/>
        <w:rPr>
          <w:rFonts w:ascii="Arial" w:cs="Arial" w:eastAsia="Arial" w:hAnsi="Arial"/>
          <w:sz w:val="18"/>
          <w:szCs w:val="18"/>
          <w:color w:val="auto"/>
        </w:rPr>
      </w:pPr>
    </w:p>
    <w:p>
      <w:pPr>
        <w:jc w:val="both"/>
        <w:ind w:left="2360" w:hanging="1218"/>
        <w:spacing w:after="0" w:line="259" w:lineRule="auto"/>
        <w:tabs>
          <w:tab w:leader="none" w:pos="2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8"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our products and/or expand our operations.</w:t>
      </w:r>
    </w:p>
    <w:p>
      <w:pPr>
        <w:spacing w:after="0" w:line="62" w:lineRule="exact"/>
        <w:rPr>
          <w:rFonts w:ascii="Arial" w:cs="Arial" w:eastAsia="Arial" w:hAnsi="Arial"/>
          <w:sz w:val="18"/>
          <w:szCs w:val="18"/>
          <w:color w:val="auto"/>
        </w:rPr>
      </w:pPr>
    </w:p>
    <w:p>
      <w:pPr>
        <w:jc w:val="both"/>
        <w:ind w:left="2360" w:hanging="1218"/>
        <w:spacing w:after="0" w:line="301" w:lineRule="auto"/>
        <w:tabs>
          <w:tab w:leader="none" w:pos="23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8"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18"/>
          <w:szCs w:val="18"/>
          <w:color w:val="auto"/>
        </w:rPr>
        <w:t>We have a limited operating history and may encounter unforeseen expenses, difficulties, complications, delays and other known and unknown obstacles. We launched our first core commercial product, the Aurora system, in June 2017. Our limited commercial and operating history makes it difficult to evaluate our current business and predict our future performance. Although we have experienced significant revenue growth in recent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a limited number of product offerings. Our revenue has been primarily generated from sale of our core Aurora and Northern Lights systems, which require a substantial sales cycle and are prone to quarterly fluctuations in revenue.</w:t>
      </w:r>
    </w:p>
    <w:p>
      <w:pPr>
        <w:spacing w:after="0" w:line="62"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7"/>
          <w:szCs w:val="17"/>
          <w:color w:val="auto"/>
        </w:rPr>
        <w:t>Our Aurora system was commercially launched in June 2017, our Northern Lights system was commercially launched in October 2018 and our Aurora CS was first commercially shipped in June 2021. Sales of the Aurora, Northern Lights and Aurora CS systems together accounted for a substantial portion of our revenue for the periods presented. We expect that, for at least the foreseeable future, sales of our Aurora, Northern Lights and Aurora CS systems will continue to account for a substantial portion of our revenue. The sales cycle for our flow cytometer instruments is slow and can take up to six months or longer to complete. As a result of this lengthy and unpredictable sales cycle, we will be prone to quarterly fluctuations in our revenue as sales of the Aurora and Northern Lights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73"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7"/>
          <w:szCs w:val="17"/>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76"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6"/>
          <w:szCs w:val="16"/>
          <w:color w:val="auto"/>
        </w:rPr>
        <w:t>We have sourced and will continue to source certain components of the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the Subsidiary 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7"/>
          <w:szCs w:val="17"/>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70"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76" w:lineRule="exact"/>
        <w:rPr>
          <w:sz w:val="20"/>
          <w:szCs w:val="20"/>
          <w:color w:val="auto"/>
        </w:rPr>
      </w:pPr>
    </w:p>
    <w:p>
      <w:pPr>
        <w:jc w:val="both"/>
        <w:ind w:firstLine="1134"/>
        <w:spacing w:after="0" w:line="290" w:lineRule="auto"/>
        <w:rPr>
          <w:sz w:val="20"/>
          <w:szCs w:val="20"/>
          <w:color w:val="auto"/>
        </w:rPr>
      </w:pPr>
      <w:r>
        <w:rPr>
          <w:rFonts w:ascii="Arial" w:cs="Arial" w:eastAsia="Arial" w:hAnsi="Arial"/>
          <w:sz w:val="16"/>
          <w:szCs w:val="16"/>
          <w:color w:val="auto"/>
        </w:rPr>
        <w:t>Supply interruptions have in the past arisen and could arise in the future from effects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will be harmed if we are unable to accurately forecast customer demand for our products and manage our inventory.</w:t>
      </w:r>
    </w:p>
    <w:p>
      <w:pPr>
        <w:spacing w:after="0" w:line="140"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w:t>
      </w:r>
    </w:p>
    <w:p>
      <w:pPr>
        <w:spacing w:after="0" w:line="70"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62"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7"/>
          <w:szCs w:val="17"/>
          <w:color w:val="auto"/>
        </w:rPr>
        <w:t>We have limited experience manufacturing our products. We currently manufacture our instruments and reagents at our manufacturing facilities in Fremont, California, Seattle, Washington and Wuxi, China,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96" w:lineRule="auto"/>
        <w:rPr>
          <w:sz w:val="20"/>
          <w:szCs w:val="20"/>
          <w:color w:val="auto"/>
        </w:rPr>
      </w:pPr>
      <w:r>
        <w:rPr>
          <w:rFonts w:ascii="Arial" w:cs="Arial" w:eastAsia="Arial" w:hAnsi="Arial"/>
          <w:sz w:val="16"/>
          <w:szCs w:val="16"/>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53"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84"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is dependent upon our ability to increase penetration in our existing markets and expand into adjacent markets.</w:t>
      </w:r>
    </w:p>
    <w:p>
      <w:pPr>
        <w:spacing w:after="0" w:line="129" w:lineRule="exact"/>
        <w:rPr>
          <w:sz w:val="20"/>
          <w:szCs w:val="20"/>
          <w:color w:val="auto"/>
        </w:rPr>
      </w:pPr>
    </w:p>
    <w:p>
      <w:pPr>
        <w:jc w:val="both"/>
        <w:ind w:firstLine="1134"/>
        <w:spacing w:after="0" w:line="293" w:lineRule="auto"/>
        <w:rPr>
          <w:sz w:val="20"/>
          <w:szCs w:val="20"/>
          <w:color w:val="auto"/>
        </w:rPr>
      </w:pPr>
      <w:r>
        <w:rPr>
          <w:rFonts w:ascii="Arial" w:cs="Arial" w:eastAsia="Arial" w:hAnsi="Arial"/>
          <w:sz w:val="16"/>
          <w:szCs w:val="16"/>
          <w:color w:val="auto"/>
        </w:rPr>
        <w:t>Our customer base includes academic and government institutions, pharmaceutical and biotechnology companies, clinical research organizations and clinical laboratories focused on cell analysis. Approximately 42% and 47% of our revenue came from sales to academic and government-owned institutions and 58% and 53% of our revenue came from sales to pharmaceutical and biotechnology companies, distributors and CROs in the three months ended September 30, 2023 and 2022,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56"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63"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p>
    <w:p>
      <w:pPr>
        <w:spacing w:after="0" w:line="80" w:lineRule="exact"/>
        <w:rPr>
          <w:sz w:val="20"/>
          <w:szCs w:val="20"/>
          <w:color w:val="auto"/>
        </w:rPr>
      </w:pPr>
    </w:p>
    <w:p>
      <w:pPr>
        <w:ind w:left="2360" w:hanging="1218"/>
        <w:spacing w:after="0" w:line="277" w:lineRule="auto"/>
        <w:tabs>
          <w:tab w:leader="none" w:pos="23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recruiting or training of talented sales force in existing and new markets to facilitate outreach and further adoption and awareness of our products;</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experience with our products for cell analysis;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tabs>
          <w:tab w:leader="none" w:pos="2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perceived inadequacy of evidence supporting benefits or cost-effectiveness of our products over existing alternatives;</w:t>
      </w:r>
    </w:p>
    <w:p>
      <w:pPr>
        <w:spacing w:after="0" w:line="128" w:lineRule="exact"/>
        <w:rPr>
          <w:rFonts w:ascii="Arial" w:cs="Arial" w:eastAsia="Arial" w:hAnsi="Arial"/>
          <w:sz w:val="17"/>
          <w:szCs w:val="17"/>
          <w:color w:val="auto"/>
        </w:rPr>
      </w:pPr>
    </w:p>
    <w:p>
      <w:pPr>
        <w:ind w:left="2360" w:hanging="1218"/>
        <w:spacing w:after="0"/>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liability risks generally associated with the use of new products and processes;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training required to use new products;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or delay in the research and development activities using our products;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competing products and alternatives; and</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introduction of other novel alternative products for cell analysis.</w:t>
      </w:r>
    </w:p>
    <w:p>
      <w:pPr>
        <w:spacing w:after="0" w:line="117"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62"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Approximately 42% and 47% of our revenue came from sales to academic and government-owned institutions in the three months ended September 30, 2023 and 2022,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p>
    <w:p>
      <w:pPr>
        <w:spacing w:after="0" w:line="80" w:lineRule="exact"/>
        <w:rPr>
          <w:sz w:val="20"/>
          <w:szCs w:val="20"/>
          <w:color w:val="auto"/>
        </w:rPr>
      </w:pPr>
    </w:p>
    <w:p>
      <w:pPr>
        <w:ind w:left="2360" w:hanging="121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17" w:lineRule="exact"/>
        <w:rPr>
          <w:rFonts w:ascii="Arial" w:cs="Arial" w:eastAsia="Arial" w:hAnsi="Arial"/>
          <w:sz w:val="18"/>
          <w:szCs w:val="18"/>
          <w:color w:val="auto"/>
        </w:rPr>
      </w:pPr>
    </w:p>
    <w:p>
      <w:pPr>
        <w:jc w:val="both"/>
        <w:ind w:left="2360" w:hanging="1218"/>
        <w:spacing w:after="0" w:line="263" w:lineRule="auto"/>
        <w:tabs>
          <w:tab w:leader="none" w:pos="23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75" w:lineRule="exact"/>
        <w:rPr>
          <w:rFonts w:ascii="Arial" w:cs="Arial" w:eastAsia="Arial" w:hAnsi="Arial"/>
          <w:sz w:val="18"/>
          <w:szCs w:val="18"/>
          <w:color w:val="auto"/>
        </w:rPr>
      </w:pPr>
    </w:p>
    <w:p>
      <w:pPr>
        <w:ind w:left="2360" w:hanging="121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scientists’ and customers’ opinions of the utility of new products or services;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budgetary cycles;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ours.</w:t>
      </w:r>
    </w:p>
    <w:p>
      <w:pPr>
        <w:spacing w:after="0" w:line="117"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In addition, various state, federal and foreign agencies that provide grants and other funding may be subject to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For example, congressional appropriations to the National Institutes of Health (the “NIH”) have generally increased year-over-year in recent years, but the NIH also experiences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1"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84"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62"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79" w:lineRule="exact"/>
        <w:rPr>
          <w:sz w:val="20"/>
          <w:szCs w:val="20"/>
          <w:color w:val="auto"/>
        </w:rPr>
      </w:pPr>
    </w:p>
    <w:p>
      <w:pPr>
        <w:jc w:val="both"/>
        <w:ind w:left="2360" w:hanging="1218"/>
        <w:spacing w:after="0" w:line="263" w:lineRule="auto"/>
        <w:tabs>
          <w:tab w:leader="none" w:pos="23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75" w:lineRule="exact"/>
        <w:rPr>
          <w:rFonts w:ascii="Arial" w:cs="Arial" w:eastAsia="Arial" w:hAnsi="Arial"/>
          <w:sz w:val="18"/>
          <w:szCs w:val="18"/>
          <w:color w:val="auto"/>
        </w:rPr>
      </w:pPr>
    </w:p>
    <w:p>
      <w:pPr>
        <w:ind w:left="2360" w:hanging="1218"/>
        <w:spacing w:after="0"/>
        <w:tabs>
          <w:tab w:leader="none" w:pos="2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us or our distributors to obtain approvals to conduct our business in various countries;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intellectual property rights;</w:t>
      </w:r>
    </w:p>
    <w:p>
      <w:pPr>
        <w:spacing w:after="0" w:line="117"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enforcing our intellectual property and defending against third party intellectual property claims;</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systems and parts and components for our products, as well as transportation delays;</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travel restrictions that limit the ability of marketing, presales, sales, services and support teams to service customers;</w:t>
      </w:r>
    </w:p>
    <w:p>
      <w:pPr>
        <w:spacing w:after="0" w:line="128" w:lineRule="exact"/>
        <w:rPr>
          <w:rFonts w:ascii="Arial" w:cs="Arial" w:eastAsia="Arial" w:hAnsi="Arial"/>
          <w:sz w:val="17"/>
          <w:szCs w:val="17"/>
          <w:color w:val="auto"/>
        </w:rPr>
      </w:pPr>
    </w:p>
    <w:p>
      <w:pPr>
        <w:ind w:left="2360" w:hanging="1218"/>
        <w:spacing w:after="0" w:line="342" w:lineRule="auto"/>
        <w:tabs>
          <w:tab w:leader="none" w:pos="23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5" w:lineRule="exact"/>
        <w:rPr>
          <w:rFonts w:ascii="Arial" w:cs="Arial" w:eastAsia="Arial" w:hAnsi="Arial"/>
          <w:sz w:val="16"/>
          <w:szCs w:val="16"/>
          <w:color w:val="auto"/>
        </w:rPr>
      </w:pPr>
    </w:p>
    <w:p>
      <w:pPr>
        <w:ind w:left="2360" w:hanging="1218"/>
        <w:spacing w:after="0"/>
        <w:tabs>
          <w:tab w:leader="none" w:pos="2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trade disputes that could result in tariffs and other protective measures;</w:t>
      </w:r>
    </w:p>
    <w:p>
      <w:pPr>
        <w:spacing w:after="0" w:line="117" w:lineRule="exact"/>
        <w:rPr>
          <w:rFonts w:ascii="Arial" w:cs="Arial" w:eastAsia="Arial" w:hAnsi="Arial"/>
          <w:sz w:val="18"/>
          <w:szCs w:val="18"/>
          <w:color w:val="auto"/>
        </w:rPr>
      </w:pPr>
    </w:p>
    <w:p>
      <w:pPr>
        <w:jc w:val="both"/>
        <w:ind w:left="2360" w:hanging="1218"/>
        <w:spacing w:after="0" w:line="263" w:lineRule="auto"/>
        <w:tabs>
          <w:tab w:leader="none" w:pos="23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such as the ongoing war in Ukraine, the Israel and Palestine conflict, outbreak of disease, boycotts, curtailment of trade and other business restrictions; and</w:t>
      </w:r>
    </w:p>
    <w:p>
      <w:pPr>
        <w:spacing w:after="0" w:line="75" w:lineRule="exact"/>
        <w:rPr>
          <w:rFonts w:ascii="Arial" w:cs="Arial" w:eastAsia="Arial" w:hAnsi="Arial"/>
          <w:sz w:val="18"/>
          <w:szCs w:val="18"/>
          <w:color w:val="auto"/>
        </w:rPr>
      </w:pPr>
    </w:p>
    <w:p>
      <w:pPr>
        <w:jc w:val="both"/>
        <w:ind w:left="2360" w:hanging="1218"/>
        <w:spacing w:after="0" w:line="263" w:lineRule="auto"/>
        <w:tabs>
          <w:tab w:leader="none" w:pos="23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76"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38"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We face significant competition in the cell analysis and life sciences tools markets. We currently compete with both established and early stage life sciences and in vitro diagnostics (“IVD”) companies that design, manufacture and market flow cytometry instruments,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quality and regulatory staff or more established marketing and sales forces.</w:t>
      </w:r>
    </w:p>
    <w:p>
      <w:pPr>
        <w:spacing w:after="0" w:line="7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Our competitors and potential competitors may enjoy a number of competitive advantages over us, including:</w:t>
      </w:r>
    </w:p>
    <w:p>
      <w:pPr>
        <w:spacing w:after="0" w:line="117" w:lineRule="exact"/>
        <w:rPr>
          <w:sz w:val="20"/>
          <w:szCs w:val="20"/>
          <w:color w:val="auto"/>
        </w:rPr>
      </w:pPr>
    </w:p>
    <w:p>
      <w:pPr>
        <w:ind w:left="2360" w:hanging="121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operating histories;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larger customer bases;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brand recognition and market penetration;</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financial resources and capabilities;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technological and research and development resources;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larger intellectual property portfolios;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better system reliability and robustness;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selling and marketing capabilities; and</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17" w:lineRule="exact"/>
        <w:rPr>
          <w:sz w:val="20"/>
          <w:szCs w:val="20"/>
          <w:color w:val="auto"/>
        </w:rPr>
      </w:pPr>
    </w:p>
    <w:p>
      <w:pPr>
        <w:jc w:val="both"/>
        <w:ind w:firstLine="1134"/>
        <w:spacing w:after="0" w:line="272" w:lineRule="auto"/>
        <w:rPr>
          <w:sz w:val="20"/>
          <w:szCs w:val="20"/>
          <w:color w:val="auto"/>
        </w:rPr>
      </w:pPr>
      <w:r>
        <w:rPr>
          <w:rFonts w:ascii="Arial" w:cs="Arial" w:eastAsia="Arial" w:hAnsi="Arial"/>
          <w:sz w:val="17"/>
          <w:szCs w:val="17"/>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develop and successfully introduce new and enhanced products that meet the needs of our customers.</w:t>
      </w:r>
    </w:p>
    <w:p>
      <w:pPr>
        <w:spacing w:after="0" w:line="152"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Our current products include instruments,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79" w:lineRule="exact"/>
        <w:rPr>
          <w:sz w:val="20"/>
          <w:szCs w:val="20"/>
          <w:color w:val="auto"/>
        </w:rPr>
      </w:pPr>
    </w:p>
    <w:p>
      <w:pPr>
        <w:jc w:val="both"/>
        <w:ind w:firstLine="1134"/>
        <w:spacing w:after="0" w:line="301" w:lineRule="auto"/>
        <w:rPr>
          <w:sz w:val="20"/>
          <w:szCs w:val="20"/>
          <w:color w:val="auto"/>
        </w:rPr>
      </w:pPr>
      <w:r>
        <w:rPr>
          <w:rFonts w:ascii="Arial" w:cs="Arial" w:eastAsia="Arial" w:hAnsi="Arial"/>
          <w:sz w:val="16"/>
          <w:szCs w:val="16"/>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needs of our customers, or effectively coordinate with our suppliers, our net sales may be reduced and our business would be harmed.</w:t>
      </w:r>
    </w:p>
    <w:p>
      <w:pPr>
        <w:spacing w:after="0" w:line="117" w:lineRule="exact"/>
        <w:rPr>
          <w:sz w:val="20"/>
          <w:szCs w:val="20"/>
          <w:color w:val="auto"/>
        </w:rPr>
      </w:pPr>
    </w:p>
    <w:p>
      <w:pPr>
        <w:jc w:val="both"/>
        <w:ind w:firstLine="1134"/>
        <w:spacing w:after="0" w:line="301" w:lineRule="auto"/>
        <w:rPr>
          <w:sz w:val="20"/>
          <w:szCs w:val="20"/>
          <w:color w:val="auto"/>
        </w:rPr>
      </w:pPr>
      <w:r>
        <w:rPr>
          <w:rFonts w:ascii="Arial" w:cs="Arial" w:eastAsia="Arial" w:hAnsi="Arial"/>
          <w:sz w:val="16"/>
          <w:szCs w:val="16"/>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76"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18"/>
          <w:szCs w:val="18"/>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88"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6"/>
          <w:szCs w:val="16"/>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New product development involves a lengthy and complex process and we may be unable to develop or commercialize products on a timely basis, or at all.</w:t>
      </w:r>
    </w:p>
    <w:p>
      <w:pPr>
        <w:spacing w:after="0" w:line="62"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7"/>
          <w:szCs w:val="17"/>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63" w:lineRule="exact"/>
        <w:rPr>
          <w:sz w:val="20"/>
          <w:szCs w:val="20"/>
          <w:color w:val="auto"/>
        </w:rPr>
      </w:pPr>
    </w:p>
    <w:p>
      <w:pPr>
        <w:ind w:left="2360" w:hanging="1218"/>
        <w:spacing w:after="0"/>
        <w:tabs>
          <w:tab w:leader="none" w:pos="2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substantial research and development;</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necessary regulatory approval;</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further develop and scale our laboratory, engineering and manufacturing processes to accommodate different products;</w:t>
      </w:r>
    </w:p>
    <w:p>
      <w:pPr>
        <w:spacing w:after="0" w:line="140" w:lineRule="exact"/>
        <w:rPr>
          <w:rFonts w:ascii="Arial" w:cs="Arial" w:eastAsia="Arial" w:hAnsi="Arial"/>
          <w:sz w:val="16"/>
          <w:szCs w:val="16"/>
          <w:color w:val="auto"/>
        </w:rPr>
      </w:pPr>
    </w:p>
    <w:p>
      <w:pPr>
        <w:ind w:left="2360" w:hanging="1218"/>
        <w:spacing w:after="0"/>
        <w:tabs>
          <w:tab w:leader="none" w:pos="2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and enter into agreements with new suppliers; and</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 develop and scale our infrastructure.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62"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systems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76"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18"/>
          <w:szCs w:val="18"/>
          <w:color w:val="auto"/>
        </w:rPr>
        <w:t>Our success depends on our ability to provide reliable, high quality products that enable high-content and high-sensitivity cell analysis through flexible, efficient and cost-effective solutions. Our systems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86"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7"/>
          <w:szCs w:val="17"/>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57" w:lineRule="exact"/>
        <w:rPr>
          <w:sz w:val="20"/>
          <w:szCs w:val="20"/>
          <w:color w:val="auto"/>
        </w:rPr>
      </w:pPr>
    </w:p>
    <w:p>
      <w:pPr>
        <w:ind w:left="2360" w:hanging="1218"/>
        <w:spacing w:after="0"/>
        <w:tabs>
          <w:tab w:leader="none" w:pos="2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customers or orders;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of warranty expenses;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attract new customers;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development, engineering and manufacturing resources;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actions by governmental authorities; and</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7"/>
          <w:szCs w:val="17"/>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68"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7"/>
          <w:szCs w:val="17"/>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68"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September 30, 2023, we had accrued approximately $2.8 million in expenses relating to product warranty accruals. Substantial amounts of warranty claims could have an adverse effect on our business, financial condition and results of operations.</w:t>
      </w:r>
    </w:p>
    <w:p>
      <w:pPr>
        <w:spacing w:after="0" w:line="49"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38"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6"/>
          <w:szCs w:val="16"/>
          <w:color w:val="auto"/>
        </w:rPr>
        <w:t>From time to time, we may pursue acquisitions of businesses and assets. For example, in February 2023, we entered into an asset purchase agreement with Luminex Corporation (“Luminex”) and acquired certain assets related to the flow cytometry and imaging (“FCI”)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including the recent FCI Acquisition,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62"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6"/>
          <w:szCs w:val="16"/>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and Wuxi, China require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62"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93" w:lineRule="auto"/>
        <w:rPr>
          <w:sz w:val="20"/>
          <w:szCs w:val="20"/>
          <w:color w:val="auto"/>
        </w:rPr>
      </w:pPr>
      <w:r>
        <w:rPr>
          <w:rFonts w:ascii="Arial" w:cs="Arial" w:eastAsia="Arial" w:hAnsi="Arial"/>
          <w:sz w:val="16"/>
          <w:szCs w:val="16"/>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56" w:lineRule="exact"/>
        <w:rPr>
          <w:sz w:val="20"/>
          <w:szCs w:val="20"/>
          <w:color w:val="auto"/>
        </w:rPr>
      </w:pPr>
    </w:p>
    <w:p>
      <w:pPr>
        <w:jc w:val="both"/>
        <w:ind w:firstLine="1134"/>
        <w:spacing w:after="0" w:line="272" w:lineRule="auto"/>
        <w:rPr>
          <w:sz w:val="20"/>
          <w:szCs w:val="20"/>
          <w:color w:val="auto"/>
        </w:rPr>
      </w:pPr>
      <w:r>
        <w:rPr>
          <w:rFonts w:ascii="Arial" w:cs="Arial" w:eastAsia="Arial" w:hAnsi="Arial"/>
          <w:sz w:val="17"/>
          <w:szCs w:val="17"/>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2"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7"/>
          <w:szCs w:val="17"/>
          <w:color w:val="auto"/>
        </w:rPr>
        <w:t>We rely on a significant base of peer-reviewed publications to showcase and validate the importance and application of our technology in academic and clinical research settings. As of September 30, 2023, there have been more than 1,450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2"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7"/>
          <w:szCs w:val="17"/>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68" w:lineRule="exact"/>
        <w:rPr>
          <w:sz w:val="20"/>
          <w:szCs w:val="20"/>
          <w:color w:val="auto"/>
        </w:rPr>
      </w:pPr>
    </w:p>
    <w:p>
      <w:pPr>
        <w:jc w:val="both"/>
        <w:ind w:firstLine="1134"/>
        <w:spacing w:after="0" w:line="291" w:lineRule="auto"/>
        <w:rPr>
          <w:sz w:val="20"/>
          <w:szCs w:val="20"/>
          <w:color w:val="auto"/>
        </w:rPr>
      </w:pPr>
      <w:r>
        <w:rPr>
          <w:rFonts w:ascii="Arial" w:cs="Arial" w:eastAsia="Arial" w:hAnsi="Arial"/>
          <w:sz w:val="16"/>
          <w:szCs w:val="16"/>
          <w:color w:val="auto"/>
        </w:rPr>
        <w:t>Competition for skilled personnel in our market is intense and has recently intensified further due to macro-economic conditions and industry trends in many areas where our employees are located.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58"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7"/>
          <w:szCs w:val="17"/>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84"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6"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As of September 30, 2023, we had 688 full-time employees worldwide. As our sales and marketing strategies develop, we expect to need additional managerial, operational, sales, marketing, financial and other personnel. Future growth would impose significant added responsibilities on members of management, including:</w:t>
      </w:r>
    </w:p>
    <w:p>
      <w:pPr>
        <w:spacing w:after="0" w:line="76" w:lineRule="exact"/>
        <w:rPr>
          <w:sz w:val="20"/>
          <w:szCs w:val="20"/>
          <w:color w:val="auto"/>
        </w:rPr>
      </w:pPr>
    </w:p>
    <w:p>
      <w:pPr>
        <w:ind w:left="2360" w:hanging="1218"/>
        <w:spacing w:after="0"/>
        <w:tabs>
          <w:tab w:leader="none" w:pos="2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17"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6"/>
          <w:szCs w:val="16"/>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6" w:lineRule="exact"/>
        <w:rPr>
          <w:sz w:val="20"/>
          <w:szCs w:val="20"/>
          <w:color w:val="auto"/>
        </w:rPr>
      </w:pPr>
    </w:p>
    <w:p>
      <w:pPr>
        <w:jc w:val="both"/>
        <w:ind w:firstLine="1134"/>
        <w:spacing w:after="0" w:line="289" w:lineRule="auto"/>
        <w:rPr>
          <w:sz w:val="20"/>
          <w:szCs w:val="20"/>
          <w:color w:val="auto"/>
        </w:rPr>
      </w:pPr>
      <w:r>
        <w:rPr>
          <w:rFonts w:ascii="Arial" w:cs="Arial" w:eastAsia="Arial" w:hAnsi="Arial"/>
          <w:sz w:val="16"/>
          <w:szCs w:val="16"/>
          <w:color w:val="auto"/>
        </w:rPr>
        <w:t>In connection with our financial statement close process for the year ended December 31, 2022, we identified deficiencies in the control environment and control activities components of the Committee of Sponsoring Organizations (“COSO”) framework that constitute material weaknesses, either individually or in the aggregate. Deficiencies in the control environment related to (i) the lack of a sufficient number of qualified resources within our accounting and IT functions with the appropriate level of technical accounting or other requisite knowledge to (a) timely identify and assess accounting implications of transactions; and (b) perform assigned responsibilities and have appropriate accountability for the design and operation of internal control over financial reporting.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See the section entitled “Item 4. Controls and Procedures" for additional information.</w:t>
      </w:r>
    </w:p>
    <w:p>
      <w:pPr>
        <w:spacing w:after="0" w:line="58"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its financial statements would not be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prevented or detected on a timely basis. These deficiencies could result in additional material misstatements to our consolidated financial statements that could not be prevented or detected on a timely basis.</w:t>
      </w:r>
    </w:p>
    <w:p>
      <w:pPr>
        <w:spacing w:after="0" w:line="62"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18"/>
          <w:szCs w:val="18"/>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We currently do not have an internal audit group, and we will need to hire additional accounting and finance staff and consultants with appropriate public company experience and technical accounting knowledge to remediate the control deficiencies.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our products and/or expand our operations.</w:t>
      </w:r>
    </w:p>
    <w:p>
      <w:pPr>
        <w:spacing w:after="0" w:line="117"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79" w:lineRule="exact"/>
        <w:rPr>
          <w:sz w:val="20"/>
          <w:szCs w:val="20"/>
          <w:color w:val="auto"/>
        </w:rPr>
      </w:pPr>
    </w:p>
    <w:p>
      <w:pPr>
        <w:jc w:val="both"/>
        <w:ind w:firstLine="1134"/>
        <w:spacing w:after="0" w:line="311" w:lineRule="auto"/>
        <w:rPr>
          <w:sz w:val="20"/>
          <w:szCs w:val="20"/>
          <w:color w:val="auto"/>
        </w:rPr>
      </w:pPr>
      <w:r>
        <w:rPr>
          <w:rFonts w:ascii="Arial" w:cs="Arial" w:eastAsia="Arial" w:hAnsi="Arial"/>
          <w:sz w:val="16"/>
          <w:szCs w:val="16"/>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Our present and future funding requirements will depend on many factors, some of which are beyond our control, including:</w:t>
      </w:r>
    </w:p>
    <w:p>
      <w:pPr>
        <w:spacing w:after="0" w:line="117" w:lineRule="exact"/>
        <w:rPr>
          <w:sz w:val="20"/>
          <w:szCs w:val="20"/>
          <w:color w:val="auto"/>
        </w:rPr>
      </w:pPr>
    </w:p>
    <w:p>
      <w:pPr>
        <w:ind w:left="2360" w:hanging="1218"/>
        <w:spacing w:after="0"/>
        <w:tabs>
          <w:tab w:leader="none" w:pos="2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achieve and maintain revenue growth;</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expanding our operations, including our sales and marketing efforts;</w:t>
      </w:r>
    </w:p>
    <w:p>
      <w:pPr>
        <w:spacing w:after="0" w:line="117"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new products, and the cost of the sales and marketing activities associated with, establishing adoption of our products;</w:t>
      </w:r>
    </w:p>
    <w:p>
      <w:pPr>
        <w:spacing w:after="0" w:line="62" w:lineRule="exact"/>
        <w:rPr>
          <w:rFonts w:ascii="Arial" w:cs="Arial" w:eastAsia="Arial" w:hAnsi="Arial"/>
          <w:sz w:val="18"/>
          <w:szCs w:val="18"/>
          <w:color w:val="auto"/>
        </w:rPr>
      </w:pPr>
    </w:p>
    <w:p>
      <w:pPr>
        <w:ind w:left="2360" w:right="20" w:hanging="1218"/>
        <w:spacing w:after="0" w:line="277" w:lineRule="auto"/>
        <w:tabs>
          <w:tab w:leader="none" w:pos="23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potential cost of and delays in product development as a result of any regulatory oversight applicable to our products;</w:t>
      </w:r>
    </w:p>
    <w:p>
      <w:pPr>
        <w:spacing w:after="0" w:line="140" w:lineRule="exact"/>
        <w:rPr>
          <w:rFonts w:ascii="Arial" w:cs="Arial" w:eastAsia="Arial" w:hAnsi="Arial"/>
          <w:sz w:val="16"/>
          <w:szCs w:val="16"/>
          <w:color w:val="auto"/>
        </w:rPr>
      </w:pPr>
    </w:p>
    <w:p>
      <w:pPr>
        <w:ind w:left="2360" w:hanging="1218"/>
        <w:spacing w:after="0"/>
        <w:tabs>
          <w:tab w:leader="none" w:pos="2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domestic and international expansion;</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attaining, defending and enforcing our intellectual property rights; and</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117"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relinquish valuable rights to our technologies, future revenue streams, research programs or products or grant licenses on terms that may not be favorable to us.</w:t>
      </w:r>
    </w:p>
    <w:p>
      <w:pPr>
        <w:spacing w:after="0" w:line="62"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the Israel and Palestine conflict, government actions implemented as a result of either of the foregoing, as 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103" w:lineRule="exact"/>
        <w:rPr>
          <w:sz w:val="20"/>
          <w:szCs w:val="20"/>
          <w:color w:val="auto"/>
        </w:rPr>
      </w:pPr>
    </w:p>
    <w:p>
      <w:pPr>
        <w:ind w:left="2360" w:hanging="1218"/>
        <w:spacing w:after="0"/>
        <w:tabs>
          <w:tab w:leader="none" w:pos="2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117"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seasonality and customer mix of the cell analysis market;</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and marketing efforts and expenses;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newly-hired salespeople become effective;</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productivity of our sales force;</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distribution partners in selling our products;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positive or negative coverage in the media or publications of our products or competitive products;</w:t>
      </w:r>
    </w:p>
    <w:p>
      <w:pPr>
        <w:spacing w:after="0" w:line="117"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arrangements with our suppliers;</w:t>
      </w:r>
    </w:p>
    <w:p>
      <w:pPr>
        <w:spacing w:after="0" w:line="62" w:lineRule="exact"/>
        <w:rPr>
          <w:rFonts w:ascii="Arial" w:cs="Arial" w:eastAsia="Arial" w:hAnsi="Arial"/>
          <w:sz w:val="18"/>
          <w:szCs w:val="18"/>
          <w:color w:val="auto"/>
        </w:rPr>
      </w:pPr>
    </w:p>
    <w:p>
      <w:pPr>
        <w:jc w:val="both"/>
        <w:ind w:left="2360" w:hanging="1218"/>
        <w:spacing w:after="0" w:line="263" w:lineRule="auto"/>
        <w:tabs>
          <w:tab w:leader="none" w:pos="23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75" w:lineRule="exact"/>
        <w:rPr>
          <w:rFonts w:ascii="Arial" w:cs="Arial" w:eastAsia="Arial" w:hAnsi="Arial"/>
          <w:sz w:val="18"/>
          <w:szCs w:val="18"/>
          <w:color w:val="auto"/>
        </w:rPr>
      </w:pPr>
    </w:p>
    <w:p>
      <w:pPr>
        <w:ind w:left="2360" w:hanging="1218"/>
        <w:spacing w:after="0"/>
        <w:tabs>
          <w:tab w:leader="none" w:pos="2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2360" w:right="20" w:hanging="1218"/>
        <w:spacing w:after="0" w:line="277" w:lineRule="auto"/>
        <w:tabs>
          <w:tab w:leader="none" w:pos="23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the industry in which we do business, including those related to widespread health crises;</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future global financial crises and economic downturns, including those caused by widespread public health crises;</w:t>
      </w:r>
    </w:p>
    <w:p>
      <w:pPr>
        <w:spacing w:after="0" w:line="128" w:lineRule="exact"/>
        <w:rPr>
          <w:rFonts w:ascii="Arial" w:cs="Arial" w:eastAsia="Arial" w:hAnsi="Arial"/>
          <w:sz w:val="17"/>
          <w:szCs w:val="17"/>
          <w:color w:val="auto"/>
        </w:rPr>
      </w:pPr>
    </w:p>
    <w:p>
      <w:pPr>
        <w:ind w:left="2360" w:hanging="1218"/>
        <w:spacing w:after="0" w:line="342" w:lineRule="auto"/>
        <w:tabs>
          <w:tab w:leader="none" w:pos="23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economic factors, including changes in inflation, interest rates, foreign currency rates, liquidity concerns at, and failures of, banks and other financial institutions and the potential effect of such factors on revenues and expenses;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line="277" w:lineRule="auto"/>
        <w:tabs>
          <w:tab w:leader="none" w:pos="23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62"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sizes of the markets for our products may be smaller than we estimate.</w:t>
      </w:r>
    </w:p>
    <w:p>
      <w:pPr>
        <w:spacing w:after="0" w:line="117" w:lineRule="exact"/>
        <w:rPr>
          <w:sz w:val="20"/>
          <w:szCs w:val="20"/>
          <w:color w:val="auto"/>
        </w:rPr>
      </w:pPr>
    </w:p>
    <w:p>
      <w:pPr>
        <w:jc w:val="both"/>
        <w:ind w:firstLine="1134"/>
        <w:spacing w:after="0" w:line="285" w:lineRule="auto"/>
        <w:rPr>
          <w:sz w:val="20"/>
          <w:szCs w:val="20"/>
          <w:color w:val="auto"/>
        </w:rPr>
      </w:pPr>
      <w:r>
        <w:rPr>
          <w:rFonts w:ascii="Arial" w:cs="Arial" w:eastAsia="Arial" w:hAnsi="Arial"/>
          <w:sz w:val="16"/>
          <w:szCs w:val="16"/>
          <w:color w:val="auto"/>
        </w:rPr>
        <w:t xml:space="preserve">Within the life sciences technology market, flow cytometry technologies currently provide solutions largely within cell proliferation, cell counting, cell identification, cell quality control and single-cell applications, representing an initial total addressable market (“TAM”) of nearly $12 billion. However, we believe that the enhanced capabilities of our FSP platform has the potential to capture an increasingly greater share of the broader cell analysis TAM.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While we believe our assumptions and the data underlying our estimates are reasonable, we have not independently verified the accuracy of the third-party data on which we have based our assumptions and estimates, and these assumptions and estimates may not be correct and significantly different than actual market sizes, and the conditions supporting our assumptions or estimates may change at any time, including as a result of factors outside our control, thereby reducing the predictive accuracy of these underlying factors.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68"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sizes of the annual total addressable market for new markets and new products are even more difficult to predict.</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62"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84" w:lineRule="exact"/>
        <w:rPr>
          <w:sz w:val="20"/>
          <w:szCs w:val="20"/>
          <w:color w:val="auto"/>
        </w:rPr>
      </w:pPr>
    </w:p>
    <w:p>
      <w:pPr>
        <w:ind w:left="2360" w:hanging="1218"/>
        <w:spacing w:after="0"/>
        <w:tabs>
          <w:tab w:leader="none" w:pos="2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our products or new products;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damage to our business reputation;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tabs>
          <w:tab w:leader="none" w:pos="2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or withdrawals from the market;</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sales; or</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existing agreements by our partners and potential partners failing to partner with us.</w:t>
      </w:r>
    </w:p>
    <w:p>
      <w:pPr>
        <w:spacing w:after="0" w:line="117"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76"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7"/>
          <w:szCs w:val="17"/>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harm our business.</w:t>
      </w:r>
    </w:p>
    <w:p>
      <w:pPr>
        <w:spacing w:after="0" w:line="117"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7"/>
          <w:szCs w:val="17"/>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our information technology systems or data, or those of third parties on which we rely,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9" w:lineRule="exact"/>
        <w:rPr>
          <w:sz w:val="20"/>
          <w:szCs w:val="20"/>
          <w:color w:val="auto"/>
        </w:rPr>
      </w:pPr>
    </w:p>
    <w:p>
      <w:pPr>
        <w:jc w:val="both"/>
        <w:ind w:firstLine="1134"/>
        <w:spacing w:after="0" w:line="282" w:lineRule="auto"/>
        <w:rPr>
          <w:sz w:val="20"/>
          <w:szCs w:val="20"/>
          <w:color w:val="auto"/>
        </w:rPr>
      </w:pPr>
      <w:r>
        <w:rPr>
          <w:rFonts w:ascii="Arial" w:cs="Arial" w:eastAsia="Arial" w:hAnsi="Arial"/>
          <w:sz w:val="16"/>
          <w:szCs w:val="16"/>
          <w:color w:val="auto"/>
        </w:rPr>
        <w:t>In the ordinary course of our business, we and the third parties upon which we rely,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rely upon third parties (such as service providers) for our data processing–related activities and share or receive Sensitive Information with or from third parties.</w:t>
      </w:r>
    </w:p>
    <w:p>
      <w:pPr>
        <w:spacing w:after="0" w:line="2" w:lineRule="exact"/>
        <w:rPr>
          <w:sz w:val="20"/>
          <w:szCs w:val="20"/>
          <w:color w:val="auto"/>
        </w:rPr>
      </w:pPr>
    </w:p>
    <w:p>
      <w:pPr>
        <w:jc w:val="both"/>
        <w:ind w:firstLine="1134"/>
        <w:spacing w:after="0" w:line="249" w:lineRule="auto"/>
        <w:rPr>
          <w:sz w:val="20"/>
          <w:szCs w:val="20"/>
          <w:color w:val="auto"/>
        </w:rPr>
      </w:pPr>
      <w:r>
        <w:rPr>
          <w:rFonts w:ascii="Arial" w:cs="Arial" w:eastAsia="Arial" w:hAnsi="Arial"/>
          <w:sz w:val="17"/>
          <w:szCs w:val="17"/>
          <w:color w:val="auto"/>
        </w:rPr>
        <w:t>We face a variety of evolving threats, which could cause security incidents. 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severe ransomware attacks, including those perpetrated by organized criminal threat actors, nation-states, and nation-state-supported actors, are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becoming increasingly prevalent and severe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poses increased risks to our information technology systems and data when utilizing network connections, computers, and devices outside our premises or network.</w:t>
      </w:r>
    </w:p>
    <w:p>
      <w:pPr>
        <w:spacing w:after="0" w:line="79" w:lineRule="exact"/>
        <w:rPr>
          <w:sz w:val="20"/>
          <w:szCs w:val="20"/>
          <w:color w:val="auto"/>
        </w:rPr>
      </w:pPr>
    </w:p>
    <w:p>
      <w:pPr>
        <w:jc w:val="both"/>
        <w:ind w:firstLine="1134"/>
        <w:spacing w:after="0" w:line="291"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our employee’s, personnel’s, or vendor’s use of generative AI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spacing w:after="0" w:line="58"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4" w:lineRule="exact"/>
        <w:rPr>
          <w:sz w:val="20"/>
          <w:szCs w:val="20"/>
          <w:color w:val="auto"/>
        </w:rPr>
      </w:pPr>
    </w:p>
    <w:p>
      <w:pPr>
        <w:jc w:val="both"/>
        <w:ind w:firstLine="1134"/>
        <w:spacing w:after="0" w:line="288" w:lineRule="auto"/>
        <w:rPr>
          <w:sz w:val="20"/>
          <w:szCs w:val="20"/>
          <w:color w:val="auto"/>
        </w:rPr>
      </w:pPr>
      <w:r>
        <w:rPr>
          <w:rFonts w:ascii="Arial" w:cs="Arial" w:eastAsia="Arial" w:hAnsi="Arial"/>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 While we have implemented security measures designed to protect against security incidents, there can be no assurance that these measures will be effective. We take steps to detect and remediate vulnerabilities, but we may not be able to detect and remediate all vulnerabilities in our information technology systems because the threats and techniques used to exploit the vulnerability change frequently and are often sophisticated in nature. Therefore, such vulnerabilities could be exploited but may not be detected until after a security incident has occurred. Unremediated high risk or critical vulnerabilities pose a material risk to our business.</w:t>
      </w:r>
    </w:p>
    <w:p>
      <w:pPr>
        <w:spacing w:after="0" w:line="60"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7"/>
          <w:szCs w:val="17"/>
          <w:color w:val="auto"/>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and services, deter new customers from purchasing our products and services, and negatively impact our ability to grow and operate our business.</w:t>
      </w:r>
    </w:p>
    <w:p>
      <w:pPr>
        <w:spacing w:after="0" w:line="70"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7"/>
          <w:szCs w:val="17"/>
          <w:color w:val="auto"/>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7"/>
          <w:szCs w:val="17"/>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70"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6"/>
          <w:szCs w:val="16"/>
          <w:color w:val="auto"/>
        </w:rPr>
        <w:t>We manufacture our products at our manufacturing facilities located in Fremont and San Diego, California, Seattle, Washington,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40"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74" w:lineRule="exact"/>
        <w:rPr>
          <w:sz w:val="20"/>
          <w:szCs w:val="20"/>
          <w:color w:val="auto"/>
        </w:rPr>
      </w:pPr>
    </w:p>
    <w:p>
      <w:pPr>
        <w:jc w:val="both"/>
        <w:ind w:firstLine="1134"/>
        <w:spacing w:after="0" w:line="296" w:lineRule="auto"/>
        <w:rPr>
          <w:sz w:val="20"/>
          <w:szCs w:val="20"/>
          <w:color w:val="auto"/>
        </w:rPr>
      </w:pPr>
      <w:r>
        <w:rPr>
          <w:rFonts w:ascii="Arial" w:cs="Arial" w:eastAsia="Arial" w:hAnsi="Arial"/>
          <w:sz w:val="16"/>
          <w:szCs w:val="16"/>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76"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Our research and development and manufacturing processes involve the controlled use of hazardous materials, including flammables, toxics, corrosives and biologics. Our research operations produce hazardous biological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56" w:lineRule="exact"/>
        <w:rPr>
          <w:sz w:val="20"/>
          <w:szCs w:val="20"/>
          <w:color w:val="auto"/>
        </w:rPr>
      </w:pPr>
    </w:p>
    <w:p>
      <w:pPr>
        <w:jc w:val="both"/>
        <w:ind w:firstLine="1134"/>
        <w:spacing w:after="0" w:line="268" w:lineRule="auto"/>
        <w:rPr>
          <w:sz w:val="20"/>
          <w:szCs w:val="20"/>
          <w:color w:val="auto"/>
        </w:rPr>
      </w:pPr>
      <w:r>
        <w:rPr>
          <w:rFonts w:ascii="Arial" w:cs="Arial" w:eastAsia="Arial" w:hAnsi="Arial"/>
          <w:sz w:val="17"/>
          <w:szCs w:val="17"/>
          <w:color w:val="auto"/>
        </w:rPr>
        <w:t>In addition, because our product contains metals and electronic components which are purchased from third-party vendors, we may be required under rules promulgated by the U.S. Securities and Exchange Commission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78"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currency exchange risk.</w:t>
      </w:r>
    </w:p>
    <w:p>
      <w:pPr>
        <w:spacing w:after="0" w:line="117"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7"/>
          <w:szCs w:val="17"/>
          <w:color w:val="auto"/>
        </w:rPr>
        <w:t>A substantial amount of our revenues is derived from international operations, and we anticipate that a significant portion of our sales will continue to come from outside the United States in the future. As we have experienced in the nine months ended September 30, 2023, where our prices are denominated in U.S. dollars, our sales and revenues could be adversely affected by declines in foreign currencies relative to the U.S. dollar.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Our Industry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76" w:lineRule="exact"/>
        <w:rPr>
          <w:sz w:val="20"/>
          <w:szCs w:val="20"/>
          <w:color w:val="auto"/>
        </w:rPr>
      </w:pPr>
    </w:p>
    <w:p>
      <w:pPr>
        <w:jc w:val="both"/>
        <w:ind w:firstLine="1134"/>
        <w:spacing w:after="0" w:line="290" w:lineRule="auto"/>
        <w:rPr>
          <w:sz w:val="20"/>
          <w:szCs w:val="20"/>
          <w:color w:val="auto"/>
        </w:rPr>
      </w:pPr>
      <w:r>
        <w:rPr>
          <w:rFonts w:ascii="Arial" w:cs="Arial" w:eastAsia="Arial" w:hAnsi="Arial"/>
          <w:sz w:val="16"/>
          <w:szCs w:val="16"/>
          <w:color w:val="auto"/>
        </w:rPr>
        <w:t>Currently, our Northern Lights CLC system is available for clinical use in only China and the European Union. Our Aurora and Northern Lights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63" w:lineRule="exact"/>
        <w:rPr>
          <w:sz w:val="20"/>
          <w:szCs w:val="20"/>
          <w:color w:val="auto"/>
        </w:rPr>
      </w:pPr>
    </w:p>
    <w:p>
      <w:pPr>
        <w:jc w:val="both"/>
        <w:ind w:firstLine="1134"/>
        <w:spacing w:after="0" w:line="268" w:lineRule="auto"/>
        <w:rPr>
          <w:sz w:val="20"/>
          <w:szCs w:val="20"/>
          <w:color w:val="auto"/>
        </w:rPr>
      </w:pPr>
      <w:r>
        <w:rPr>
          <w:rFonts w:ascii="Arial" w:cs="Arial" w:eastAsia="Arial" w:hAnsi="Arial"/>
          <w:sz w:val="17"/>
          <w:szCs w:val="17"/>
          <w:color w:val="auto"/>
        </w:rPr>
        <w:t>As part of our growth strategy, we plan to seek approval to offer our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62" w:lineRule="exact"/>
        <w:rPr>
          <w:sz w:val="20"/>
          <w:szCs w:val="20"/>
          <w:color w:val="auto"/>
        </w:rPr>
      </w:pPr>
    </w:p>
    <w:p>
      <w:pPr>
        <w:jc w:val="both"/>
        <w:ind w:firstLine="1134"/>
        <w:spacing w:after="0" w:line="291" w:lineRule="auto"/>
        <w:rPr>
          <w:sz w:val="20"/>
          <w:szCs w:val="20"/>
          <w:color w:val="auto"/>
        </w:rPr>
      </w:pPr>
      <w:r>
        <w:rPr>
          <w:rFonts w:ascii="Arial" w:cs="Arial" w:eastAsia="Arial" w:hAnsi="Arial"/>
          <w:sz w:val="16"/>
          <w:szCs w:val="16"/>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58" w:lineRule="exact"/>
        <w:rPr>
          <w:sz w:val="20"/>
          <w:szCs w:val="20"/>
          <w:color w:val="auto"/>
        </w:rPr>
      </w:pPr>
    </w:p>
    <w:p>
      <w:pPr>
        <w:ind w:left="2360" w:hanging="1218"/>
        <w:spacing w:after="0"/>
        <w:tabs>
          <w:tab w:leader="none" w:pos="2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510(k) clearances on PMA approvals that have already been granted;</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17"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7"/>
          <w:szCs w:val="17"/>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80"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79"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1"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74"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16"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84"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tariffs or other government trade policies may materially adversely affect our business and results of operations, including by reducing demand for our products.</w:t>
      </w:r>
    </w:p>
    <w:p>
      <w:pPr>
        <w:spacing w:after="0" w:line="62"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The imposition of tariffs and trade restrictions as a result of international trade disputes or changes in trade policies may adversely affect our sales and profitability. For example, in 2018 and 2019, the U.S. government imposed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7"/>
          <w:szCs w:val="17"/>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are subject to stringent and changing U.S. and foreign data privacy and security laws, regulations, rules, and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spacing w:after="0" w:line="68"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In the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215"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rights related to their personal information, such as those noted below. The CCPA allows for statutory fines for noncompliance (up to $7,500 per violation) and allows private litigants affected by certain data breaches to recover significant statutory damages. In addition, CPRA expanded the CCPA’s requirements, including by adding a new right for individuals to correct their personal information and establishing a new regulatory agency, the California Privacy Protection Agency, to implement and enforce the law, which could increase the risk of an enforcement action. Other states, such as Virginia, Colorado, Utah, and Connecticut, have enacted comprehensive data privacy and security laws. Similar laws are being considered in several other states, as well as at the federal and local levels. These state laws and the CCPA provide individuals with certain rights concerning their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compliances costs for us and the third parties upon whom we rely.</w:t>
      </w:r>
    </w:p>
    <w:p>
      <w:pPr>
        <w:spacing w:after="0" w:line="188" w:lineRule="exact"/>
        <w:rPr>
          <w:sz w:val="20"/>
          <w:szCs w:val="20"/>
          <w:color w:val="auto"/>
        </w:rPr>
      </w:pPr>
    </w:p>
    <w:p>
      <w:pPr>
        <w:jc w:val="both"/>
        <w:ind w:firstLine="1134"/>
        <w:spacing w:after="0" w:line="268" w:lineRule="auto"/>
        <w:rPr>
          <w:sz w:val="20"/>
          <w:szCs w:val="20"/>
          <w:color w:val="auto"/>
        </w:rPr>
      </w:pPr>
      <w:r>
        <w:rPr>
          <w:rFonts w:ascii="Arial" w:cs="Arial" w:eastAsia="Arial" w:hAnsi="Arial"/>
          <w:sz w:val="17"/>
          <w:szCs w:val="17"/>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Furthermore, in Europe, there is a proposed regulation related to artificial intelligence (“AI”) that, if adopted, could impose onerous obligations related to the use of AI-related systems.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209" w:lineRule="exact"/>
        <w:rPr>
          <w:sz w:val="20"/>
          <w:szCs w:val="20"/>
          <w:color w:val="auto"/>
        </w:rPr>
      </w:pPr>
    </w:p>
    <w:p>
      <w:pPr>
        <w:jc w:val="both"/>
        <w:ind w:firstLine="1134"/>
        <w:spacing w:after="0" w:line="285" w:lineRule="auto"/>
        <w:rPr>
          <w:sz w:val="20"/>
          <w:szCs w:val="20"/>
          <w:color w:val="auto"/>
        </w:rPr>
      </w:pPr>
      <w:r>
        <w:rPr>
          <w:rFonts w:ascii="Arial" w:cs="Arial" w:eastAsia="Arial" w:hAnsi="Arial"/>
          <w:sz w:val="16"/>
          <w:szCs w:val="16"/>
          <w:color w:val="auto"/>
        </w:rPr>
        <w:t>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EU GDPR and UK GDPR generally restrict the transfer of personal information to the United States and other countries that are viewed by some regulators as to not generally provide an adequate level of data privacy and security. Although there are currently various mechanisms that may be used to transfer personal information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63"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19" w:lineRule="exact"/>
        <w:rPr>
          <w:sz w:val="20"/>
          <w:szCs w:val="20"/>
          <w:color w:val="auto"/>
        </w:rPr>
      </w:pPr>
    </w:p>
    <w:p>
      <w:pPr>
        <w:jc w:val="both"/>
        <w:ind w:firstLine="1134"/>
        <w:spacing w:after="0" w:line="267" w:lineRule="auto"/>
        <w:rPr>
          <w:sz w:val="20"/>
          <w:szCs w:val="20"/>
          <w:color w:val="auto"/>
        </w:rPr>
      </w:pPr>
      <w:r>
        <w:rPr>
          <w:rFonts w:ascii="Arial" w:cs="Arial" w:eastAsia="Arial" w:hAnsi="Arial"/>
          <w:sz w:val="17"/>
          <w:szCs w:val="17"/>
          <w:color w:val="auto"/>
        </w:rPr>
        <w:t>Our obligations related to data privacy and security (and consumers’ data privacy and security expectations) are quickly changing in an increasingly stringent fashion and creating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that process personal information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impact our compliance posture and business operations. If we or the third parties on which we rely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62"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87" w:lineRule="exact"/>
        <w:rPr>
          <w:sz w:val="20"/>
          <w:szCs w:val="20"/>
          <w:color w:val="auto"/>
        </w:rPr>
      </w:pPr>
    </w:p>
    <w:p>
      <w:pPr>
        <w:jc w:val="both"/>
        <w:ind w:firstLine="1134"/>
        <w:spacing w:after="0" w:line="291" w:lineRule="auto"/>
        <w:rPr>
          <w:sz w:val="20"/>
          <w:szCs w:val="20"/>
          <w:color w:val="auto"/>
        </w:rPr>
      </w:pPr>
      <w:r>
        <w:rPr>
          <w:rFonts w:ascii="Arial" w:cs="Arial" w:eastAsia="Arial" w:hAnsi="Arial"/>
          <w:sz w:val="16"/>
          <w:szCs w:val="16"/>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38"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38" w:lineRule="exact"/>
        <w:rPr>
          <w:sz w:val="20"/>
          <w:szCs w:val="20"/>
          <w:color w:val="auto"/>
        </w:rPr>
      </w:pPr>
    </w:p>
    <w:p>
      <w:pPr>
        <w:jc w:val="both"/>
        <w:ind w:left="2360" w:hanging="1218"/>
        <w:spacing w:after="0" w:line="267" w:lineRule="auto"/>
        <w:tabs>
          <w:tab w:leader="none" w:pos="23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83" w:lineRule="exact"/>
        <w:rPr>
          <w:rFonts w:ascii="Arial" w:cs="Arial" w:eastAsia="Arial" w:hAnsi="Arial"/>
          <w:sz w:val="17"/>
          <w:szCs w:val="17"/>
          <w:color w:val="auto"/>
        </w:rPr>
      </w:pPr>
    </w:p>
    <w:p>
      <w:pPr>
        <w:jc w:val="both"/>
        <w:ind w:left="2360" w:hanging="1218"/>
        <w:spacing w:after="0" w:line="285" w:lineRule="auto"/>
        <w:tabs>
          <w:tab w:leader="none" w:pos="23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60" w:lineRule="exact"/>
        <w:rPr>
          <w:rFonts w:ascii="Arial" w:cs="Arial" w:eastAsia="Arial" w:hAnsi="Arial"/>
          <w:sz w:val="16"/>
          <w:szCs w:val="16"/>
          <w:color w:val="auto"/>
        </w:rPr>
      </w:pPr>
    </w:p>
    <w:p>
      <w:pPr>
        <w:jc w:val="both"/>
        <w:ind w:left="2360" w:hanging="1218"/>
        <w:spacing w:after="0" w:line="259" w:lineRule="auto"/>
        <w:tabs>
          <w:tab w:leader="none" w:pos="23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360"/>
        <w:spacing w:after="0" w:line="259" w:lineRule="auto"/>
        <w:rPr>
          <w:sz w:val="20"/>
          <w:szCs w:val="20"/>
          <w:color w:val="auto"/>
        </w:rPr>
      </w:pPr>
      <w:r>
        <w:rPr>
          <w:rFonts w:ascii="Arial" w:cs="Arial" w:eastAsia="Arial" w:hAnsi="Arial"/>
          <w:sz w:val="18"/>
          <w:szCs w:val="18"/>
          <w:color w:val="auto"/>
        </w:rPr>
        <w:t>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79" w:lineRule="exact"/>
        <w:rPr>
          <w:sz w:val="20"/>
          <w:szCs w:val="20"/>
          <w:color w:val="auto"/>
        </w:rPr>
      </w:pPr>
    </w:p>
    <w:p>
      <w:pPr>
        <w:ind w:left="2360" w:right="100" w:hanging="1218"/>
        <w:spacing w:after="0" w:line="255" w:lineRule="auto"/>
        <w:tabs>
          <w:tab w:leader="none" w:pos="23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84" w:lineRule="exact"/>
        <w:rPr>
          <w:rFonts w:ascii="Arial" w:cs="Arial" w:eastAsia="Arial" w:hAnsi="Arial"/>
          <w:sz w:val="18"/>
          <w:szCs w:val="18"/>
          <w:color w:val="auto"/>
        </w:rPr>
      </w:pPr>
    </w:p>
    <w:p>
      <w:pPr>
        <w:jc w:val="both"/>
        <w:ind w:left="2360" w:hanging="1218"/>
        <w:spacing w:after="0" w:line="293" w:lineRule="auto"/>
        <w:tabs>
          <w:tab w:leader="none" w:pos="23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56" w:lineRule="exact"/>
        <w:rPr>
          <w:rFonts w:ascii="Arial" w:cs="Arial" w:eastAsia="Arial" w:hAnsi="Arial"/>
          <w:sz w:val="16"/>
          <w:szCs w:val="16"/>
          <w:color w:val="auto"/>
        </w:rPr>
      </w:pPr>
    </w:p>
    <w:p>
      <w:pPr>
        <w:jc w:val="both"/>
        <w:ind w:left="2360" w:hanging="1218"/>
        <w:spacing w:after="0" w:line="254" w:lineRule="auto"/>
        <w:tabs>
          <w:tab w:leader="none" w:pos="23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w:t>
      </w:r>
    </w:p>
    <w:p>
      <w:pPr>
        <w:spacing w:after="0" w:line="86" w:lineRule="exact"/>
        <w:rPr>
          <w:rFonts w:ascii="Arial" w:cs="Arial" w:eastAsia="Arial" w:hAnsi="Arial"/>
          <w:sz w:val="18"/>
          <w:szCs w:val="18"/>
          <w:color w:val="auto"/>
        </w:rPr>
      </w:pPr>
    </w:p>
    <w:p>
      <w:pPr>
        <w:jc w:val="both"/>
        <w:ind w:left="2360" w:hanging="1218"/>
        <w:spacing w:after="0" w:line="270" w:lineRule="auto"/>
        <w:tabs>
          <w:tab w:leader="none" w:pos="23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73"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80" w:lineRule="exact"/>
        <w:rPr>
          <w:sz w:val="20"/>
          <w:szCs w:val="20"/>
          <w:color w:val="auto"/>
        </w:rPr>
      </w:pPr>
    </w:p>
    <w:p>
      <w:pPr>
        <w:ind w:right="20" w:firstLine="1134"/>
        <w:spacing w:after="0" w:line="25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64"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1"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7"/>
          <w:szCs w:val="17"/>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73"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41"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in the United States and other countries that cover, and other intellectual property with respect to, such products, their manufacturing processes and their intended methods of use and enforcing those patent claims once granted as well as our other intellectual property. In some cases, we may not be able to obtain issued patent claims or other intellectual property covering our technologies which are sufficient to prevent third parties, such as our competitors, from utilizing our products and negate any competitive advantage we may have. Any failure to obtain or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maintain patent and other intellectual property protection with respect to our current and any future products or other aspects of our business could harm our business, financial condition and results of operations.</w:t>
      </w:r>
    </w:p>
    <w:p>
      <w:pPr>
        <w:spacing w:after="0" w:line="62"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63"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77" w:lineRule="exact"/>
        <w:rPr>
          <w:sz w:val="20"/>
          <w:szCs w:val="20"/>
          <w:color w:val="auto"/>
        </w:rPr>
      </w:pPr>
    </w:p>
    <w:p>
      <w:pPr>
        <w:jc w:val="both"/>
        <w:ind w:firstLine="1134"/>
        <w:spacing w:after="0" w:line="289" w:lineRule="auto"/>
        <w:rPr>
          <w:sz w:val="20"/>
          <w:szCs w:val="20"/>
          <w:color w:val="auto"/>
        </w:rPr>
      </w:pPr>
      <w:r>
        <w:rPr>
          <w:rFonts w:ascii="Arial" w:cs="Arial" w:eastAsia="Arial" w:hAnsi="Arial"/>
          <w:sz w:val="16"/>
          <w:szCs w:val="16"/>
          <w:color w:val="auto"/>
        </w:rPr>
        <w:t>Including rights acquired in connection with the acquisition of the FCI business unit, as of September 30, 2023, we own 33 issued U.S. utility patents, nine issued Japan utility patents, seven issued European utility patents, three issued China utility patents, one Canada utility patent, one India utility Patent, two Australian utility patents, and three Singapore utility patents. We have 54 pending utility patent applications, including 32 utility patent applications in the United States, two international utility patent applications, eight utility patent applications in the European Union, seven utility patent applications in China, and four utility patent applications in Japan. Assuming all maintenance fees are paid, the U.S. issued patents are expected to naturally expire between years 2025 and 2038. Patents covering intellectual property relating to design specific technologies invented by our researchers in Shanghai and Wuxi, China are filed in China and owned by our China subsidiaries, respectively. As of September 30, 2023, our Shanghai subsidiary owns 14 issued utility patents and three issued invention patent and has eight pending invention patent applications, and our Wuxi subsidiary owns 37 issued patents and has seven pending patent applications, including two pending utility model patent applications and five pending invention patent applications.</w:t>
      </w:r>
    </w:p>
    <w:p>
      <w:pPr>
        <w:spacing w:after="0" w:line="58"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74" w:lineRule="exact"/>
        <w:rPr>
          <w:sz w:val="20"/>
          <w:szCs w:val="20"/>
          <w:color w:val="auto"/>
        </w:rPr>
      </w:pPr>
    </w:p>
    <w:p>
      <w:pPr>
        <w:jc w:val="both"/>
        <w:ind w:firstLine="1134"/>
        <w:spacing w:after="0" w:line="272" w:lineRule="auto"/>
        <w:rPr>
          <w:sz w:val="20"/>
          <w:szCs w:val="20"/>
          <w:color w:val="auto"/>
        </w:rPr>
      </w:pPr>
      <w:r>
        <w:rPr>
          <w:rFonts w:ascii="Arial" w:cs="Arial" w:eastAsia="Arial" w:hAnsi="Arial"/>
          <w:sz w:val="17"/>
          <w:szCs w:val="17"/>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69"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Defects of form in the preparation or filing of our patents or patent applications may exist, or may arise in the future, for example, with respect to proper priority claims, inventorship and the like. If we or any of our current or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53" w:lineRule="exact"/>
        <w:rPr>
          <w:sz w:val="20"/>
          <w:szCs w:val="20"/>
          <w:color w:val="auto"/>
        </w:rPr>
      </w:pPr>
    </w:p>
    <w:p>
      <w:pPr>
        <w:jc w:val="both"/>
        <w:ind w:firstLine="1134"/>
        <w:spacing w:after="0" w:line="268" w:lineRule="auto"/>
        <w:rPr>
          <w:sz w:val="20"/>
          <w:szCs w:val="20"/>
          <w:color w:val="auto"/>
        </w:rPr>
      </w:pPr>
      <w:r>
        <w:rPr>
          <w:rFonts w:ascii="Arial" w:cs="Arial" w:eastAsia="Arial" w:hAnsi="Arial"/>
          <w:sz w:val="17"/>
          <w:szCs w:val="17"/>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76"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6"/>
          <w:szCs w:val="16"/>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66" w:lineRule="exact"/>
        <w:rPr>
          <w:sz w:val="20"/>
          <w:szCs w:val="20"/>
          <w:color w:val="auto"/>
        </w:rPr>
      </w:pPr>
    </w:p>
    <w:p>
      <w:pPr>
        <w:jc w:val="both"/>
        <w:ind w:firstLine="1134"/>
        <w:spacing w:after="0" w:line="272"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69" w:lineRule="exact"/>
        <w:rPr>
          <w:sz w:val="20"/>
          <w:szCs w:val="20"/>
          <w:color w:val="auto"/>
        </w:rPr>
      </w:pPr>
    </w:p>
    <w:p>
      <w:pPr>
        <w:jc w:val="both"/>
        <w:ind w:firstLine="1134"/>
        <w:spacing w:after="0" w:line="301" w:lineRule="auto"/>
        <w:rPr>
          <w:sz w:val="20"/>
          <w:szCs w:val="20"/>
          <w:color w:val="auto"/>
        </w:rPr>
      </w:pPr>
      <w:r>
        <w:rPr>
          <w:rFonts w:ascii="Arial" w:cs="Arial" w:eastAsia="Arial" w:hAnsi="Arial"/>
          <w:sz w:val="16"/>
          <w:szCs w:val="16"/>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parties, and such cooperation may not be provided to us. Any of the foregoing could harm our business, financial condition and results of operations.</w:t>
      </w:r>
    </w:p>
    <w:p>
      <w:pPr>
        <w:spacing w:after="0" w:line="129"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7"/>
          <w:szCs w:val="17"/>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16"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71"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6"/>
          <w:szCs w:val="16"/>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62"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or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76"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6"/>
          <w:szCs w:val="16"/>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The various applicable government agencies, including with respect to patents and patent applications the USPTO and similar agencies outside of the United States, require compliance with several procedural, documentary, fee payment and other similar provisions during the application process.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76" w:lineRule="exact"/>
        <w:rPr>
          <w:sz w:val="20"/>
          <w:szCs w:val="20"/>
          <w:color w:val="auto"/>
        </w:rPr>
      </w:pPr>
    </w:p>
    <w:p>
      <w:pPr>
        <w:jc w:val="both"/>
        <w:ind w:firstLine="1134"/>
        <w:spacing w:after="0" w:line="290" w:lineRule="auto"/>
        <w:rPr>
          <w:sz w:val="20"/>
          <w:szCs w:val="20"/>
          <w:color w:val="auto"/>
        </w:rPr>
      </w:pPr>
      <w:r>
        <w:rPr>
          <w:rFonts w:ascii="Arial" w:cs="Arial" w:eastAsia="Arial" w:hAnsi="Arial"/>
          <w:sz w:val="16"/>
          <w:szCs w:val="16"/>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57" w:lineRule="exact"/>
        <w:rPr>
          <w:sz w:val="20"/>
          <w:szCs w:val="20"/>
          <w:color w:val="auto"/>
        </w:rPr>
      </w:pPr>
    </w:p>
    <w:p>
      <w:pPr>
        <w:jc w:val="both"/>
        <w:ind w:firstLine="1134"/>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our ability to protect our current and any future products.</w:t>
      </w:r>
    </w:p>
    <w:p>
      <w:pPr>
        <w:spacing w:after="0" w:line="152" w:lineRule="exact"/>
        <w:rPr>
          <w:sz w:val="20"/>
          <w:szCs w:val="20"/>
          <w:color w:val="auto"/>
        </w:rPr>
      </w:pPr>
    </w:p>
    <w:p>
      <w:pPr>
        <w:jc w:val="both"/>
        <w:ind w:firstLine="1134"/>
        <w:spacing w:after="0" w:line="288"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60" w:lineRule="exact"/>
        <w:rPr>
          <w:sz w:val="20"/>
          <w:szCs w:val="20"/>
          <w:color w:val="auto"/>
        </w:rPr>
      </w:pPr>
    </w:p>
    <w:p>
      <w:pPr>
        <w:jc w:val="both"/>
        <w:ind w:firstLine="1134"/>
        <w:spacing w:after="0" w:line="311"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41"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84" w:lineRule="exact"/>
        <w:rPr>
          <w:sz w:val="20"/>
          <w:szCs w:val="20"/>
          <w:color w:val="auto"/>
        </w:rPr>
      </w:pPr>
    </w:p>
    <w:p>
      <w:pPr>
        <w:jc w:val="both"/>
        <w:ind w:firstLine="1134"/>
        <w:spacing w:after="0" w:line="272" w:lineRule="auto"/>
        <w:rPr>
          <w:sz w:val="20"/>
          <w:szCs w:val="20"/>
          <w:color w:val="auto"/>
        </w:rPr>
      </w:pPr>
      <w:r>
        <w:rPr>
          <w:rFonts w:ascii="Arial" w:cs="Arial" w:eastAsia="Arial" w:hAnsi="Arial"/>
          <w:sz w:val="17"/>
          <w:szCs w:val="17"/>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62" w:lineRule="exact"/>
        <w:rPr>
          <w:sz w:val="20"/>
          <w:szCs w:val="20"/>
          <w:color w:val="auto"/>
        </w:rPr>
      </w:pPr>
    </w:p>
    <w:p>
      <w:pPr>
        <w:jc w:val="both"/>
        <w:ind w:firstLine="1134"/>
        <w:spacing w:after="0" w:line="290" w:lineRule="auto"/>
        <w:rPr>
          <w:sz w:val="20"/>
          <w:szCs w:val="20"/>
          <w:color w:val="auto"/>
        </w:rPr>
      </w:pPr>
      <w:r>
        <w:rPr>
          <w:rFonts w:ascii="Arial" w:cs="Arial" w:eastAsia="Arial" w:hAnsi="Arial"/>
          <w:sz w:val="16"/>
          <w:szCs w:val="16"/>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57"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41"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77"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6"/>
          <w:szCs w:val="16"/>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60" w:lineRule="exact"/>
        <w:rPr>
          <w:sz w:val="20"/>
          <w:szCs w:val="20"/>
          <w:color w:val="auto"/>
        </w:rPr>
      </w:pPr>
    </w:p>
    <w:p>
      <w:pPr>
        <w:jc w:val="both"/>
        <w:ind w:firstLine="1134"/>
        <w:spacing w:after="0" w:line="268" w:lineRule="auto"/>
        <w:rPr>
          <w:sz w:val="20"/>
          <w:szCs w:val="20"/>
          <w:color w:val="auto"/>
        </w:rPr>
      </w:pPr>
      <w:r>
        <w:rPr>
          <w:rFonts w:ascii="Arial" w:cs="Arial" w:eastAsia="Arial" w:hAnsi="Arial"/>
          <w:sz w:val="17"/>
          <w:szCs w:val="17"/>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74"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7"/>
          <w:szCs w:val="17"/>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business, financial condition and results of operations. We also might have to redesign our infringing products or technologies, which may be impossible or require substantial time and monetary expenditure.</w:t>
      </w:r>
    </w:p>
    <w:p>
      <w:pPr>
        <w:spacing w:after="0" w:line="62"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7"/>
          <w:szCs w:val="17"/>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62" w:lineRule="exact"/>
        <w:rPr>
          <w:sz w:val="20"/>
          <w:szCs w:val="20"/>
          <w:color w:val="auto"/>
        </w:rPr>
      </w:pPr>
    </w:p>
    <w:p>
      <w:pPr>
        <w:jc w:val="both"/>
        <w:ind w:firstLine="1134"/>
        <w:spacing w:after="0" w:line="296" w:lineRule="auto"/>
        <w:rPr>
          <w:sz w:val="20"/>
          <w:szCs w:val="20"/>
          <w:color w:val="auto"/>
        </w:rPr>
      </w:pPr>
      <w:r>
        <w:rPr>
          <w:rFonts w:ascii="Arial" w:cs="Arial" w:eastAsia="Arial" w:hAnsi="Arial"/>
          <w:sz w:val="16"/>
          <w:szCs w:val="16"/>
          <w:color w:val="auto"/>
        </w:rPr>
        <w:t>Competitors may infringe our patents, or the patents of any future licensing partners, or we may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53"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73" w:lineRule="exact"/>
        <w:rPr>
          <w:sz w:val="20"/>
          <w:szCs w:val="20"/>
          <w:color w:val="auto"/>
        </w:rPr>
      </w:pPr>
    </w:p>
    <w:p>
      <w:pPr>
        <w:jc w:val="both"/>
        <w:ind w:firstLine="1134"/>
        <w:spacing w:after="0" w:line="301" w:lineRule="auto"/>
        <w:rPr>
          <w:sz w:val="20"/>
          <w:szCs w:val="20"/>
          <w:color w:val="auto"/>
        </w:rPr>
      </w:pPr>
      <w:r>
        <w:rPr>
          <w:rFonts w:ascii="Arial" w:cs="Arial" w:eastAsia="Arial" w:hAnsi="Arial"/>
          <w:sz w:val="16"/>
          <w:szCs w:val="16"/>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76" w:lineRule="exact"/>
        <w:rPr>
          <w:sz w:val="20"/>
          <w:szCs w:val="20"/>
          <w:color w:val="auto"/>
        </w:rPr>
      </w:pPr>
    </w:p>
    <w:p>
      <w:pPr>
        <w:jc w:val="both"/>
        <w:ind w:firstLine="1134"/>
        <w:spacing w:after="0" w:line="290" w:lineRule="auto"/>
        <w:rPr>
          <w:sz w:val="20"/>
          <w:szCs w:val="20"/>
          <w:color w:val="auto"/>
        </w:rPr>
      </w:pPr>
      <w:r>
        <w:rPr>
          <w:rFonts w:ascii="Arial" w:cs="Arial" w:eastAsia="Arial" w:hAnsi="Arial"/>
          <w:sz w:val="16"/>
          <w:szCs w:val="16"/>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57"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ind w:firstLine="1134"/>
        <w:spacing w:after="0" w:line="291" w:lineRule="auto"/>
        <w:rPr>
          <w:sz w:val="20"/>
          <w:szCs w:val="20"/>
          <w:color w:val="auto"/>
        </w:rPr>
      </w:pPr>
      <w:r>
        <w:rPr>
          <w:rFonts w:ascii="Arial" w:cs="Arial" w:eastAsia="Arial" w:hAnsi="Arial"/>
          <w:sz w:val="16"/>
          <w:szCs w:val="16"/>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58"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77"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a key information technology system, process, or site could have an adverse effect on our business.</w:t>
      </w:r>
    </w:p>
    <w:p>
      <w:pPr>
        <w:spacing w:after="0" w:line="117"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compromise our ability to offer our services and subject us to possible litigation.</w:t>
      </w:r>
    </w:p>
    <w:p>
      <w:pPr>
        <w:spacing w:after="0" w:line="117"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may continue to be volatile, and our stockholders may not be able to resell shares of our common stock at or above the price they paid.</w:t>
      </w:r>
    </w:p>
    <w:p>
      <w:pPr>
        <w:spacing w:after="0" w:line="152"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76" w:lineRule="exact"/>
        <w:rPr>
          <w:sz w:val="20"/>
          <w:szCs w:val="20"/>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degree and rate of market adoption of our products;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117"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products;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by us or our stockholders, as well as the anticipation of lock-up releases;</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17"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developments concerning any of our third-party distribution partners and suppliers, including our single and sole-source suppliers;</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engage additional distribution partners and establish collaborations, if needed;</w:t>
      </w:r>
    </w:p>
    <w:p>
      <w:pPr>
        <w:spacing w:after="0" w:line="117" w:lineRule="exact"/>
        <w:rPr>
          <w:rFonts w:ascii="Arial" w:cs="Arial" w:eastAsia="Arial" w:hAnsi="Arial"/>
          <w:sz w:val="18"/>
          <w:szCs w:val="18"/>
          <w:color w:val="auto"/>
        </w:rPr>
      </w:pPr>
    </w:p>
    <w:p>
      <w:pPr>
        <w:ind w:left="2360" w:right="20" w:hanging="1218"/>
        <w:spacing w:after="0" w:line="342" w:lineRule="auto"/>
        <w:tabs>
          <w:tab w:leader="none" w:pos="23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right="20" w:hanging="1218"/>
        <w:spacing w:after="0" w:line="277" w:lineRule="auto"/>
        <w:tabs>
          <w:tab w:leader="none" w:pos="23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regulatory and market conditions, including economic recessions or slowdowns, the ongoing war in Ukraine and the general inflationary environment; and</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17"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62" w:lineRule="exact"/>
        <w:rPr>
          <w:sz w:val="20"/>
          <w:szCs w:val="20"/>
          <w:color w:val="auto"/>
        </w:rPr>
      </w:pPr>
    </w:p>
    <w:p>
      <w:pPr>
        <w:jc w:val="both"/>
        <w:ind w:firstLine="1134"/>
        <w:spacing w:after="0" w:line="272" w:lineRule="auto"/>
        <w:rPr>
          <w:sz w:val="20"/>
          <w:szCs w:val="20"/>
          <w:color w:val="auto"/>
        </w:rPr>
      </w:pPr>
      <w:r>
        <w:rPr>
          <w:rFonts w:ascii="Arial" w:cs="Arial" w:eastAsia="Arial" w:hAnsi="Arial"/>
          <w:sz w:val="17"/>
          <w:szCs w:val="17"/>
          <w:color w:val="auto"/>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common stock or securities convertible into our common stock will result in additional dilution of the percentage of ownership of our stockholders and could cause the market price of our common stock to decline.</w:t>
      </w:r>
    </w:p>
    <w:p>
      <w:pPr>
        <w:spacing w:after="0" w:line="62"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7"/>
          <w:szCs w:val="17"/>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57"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In addition, we may offer and sell up to $150 million shares of common stock registered under our universal shelf registration statement on Form S-3 pursuant to the Sales Agreement with Piper in one or more “at the market” offerings. To date, we have not made any sales of common stock pursuant to the Sales Agreement. The extent to which we utilize the Sales Agreement with Piper as a source of funding will depend on a number of factors, including the prevailing market price of our common stock, general market conditions and other restrictions and the extent to which we are able to secure funds from other sources.</w:t>
      </w:r>
    </w:p>
    <w:p>
      <w:pPr>
        <w:spacing w:after="0" w:line="80"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80" w:lineRule="exact"/>
        <w:rPr>
          <w:sz w:val="20"/>
          <w:szCs w:val="20"/>
          <w:color w:val="auto"/>
        </w:rPr>
      </w:pPr>
    </w:p>
    <w:p>
      <w:pPr>
        <w:jc w:val="both"/>
        <w:ind w:firstLine="1134"/>
        <w:spacing w:after="0" w:line="263" w:lineRule="auto"/>
        <w:rPr>
          <w:sz w:val="20"/>
          <w:szCs w:val="20"/>
          <w:color w:val="auto"/>
        </w:rPr>
      </w:pPr>
      <w:r>
        <w:rPr>
          <w:rFonts w:ascii="Arial" w:cs="Arial" w:eastAsia="Arial" w:hAnsi="Arial"/>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62"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Based on the number of shares of common stock outstanding as of September 30, 2023, our executive officers, directors, holders of 5% or more of our common stock and their respective affiliates (based on filings with the SEC), in the aggregate, own approximately 39.6%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or our shares and have held their shares for a longer period, they may be more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interested in selling our company to an acquirer than other investors, or they may want us to pursue strategies that deviate from the interests of other stockholders.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62"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We are subject to the periodic reporting requirements of the Securities Exchange Act of 1934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80"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jc w:val="both"/>
        <w:ind w:firstLine="1134"/>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2360" w:hanging="1218"/>
        <w:spacing w:after="0" w:line="277" w:lineRule="auto"/>
        <w:tabs>
          <w:tab w:leader="none" w:pos="23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jc w:val="both"/>
        <w:ind w:left="2360" w:hanging="1218"/>
        <w:spacing w:after="0" w:line="263" w:lineRule="auto"/>
        <w:tabs>
          <w:tab w:leader="none" w:pos="23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2360" w:hanging="1218"/>
        <w:spacing w:after="0" w:line="277" w:lineRule="auto"/>
        <w:tabs>
          <w:tab w:leader="none" w:pos="23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jc w:val="both"/>
        <w:ind w:left="2360" w:hanging="1218"/>
        <w:spacing w:after="0" w:line="263" w:lineRule="auto"/>
        <w:tabs>
          <w:tab w:leader="none" w:pos="23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76"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77"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of 1933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77"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6"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2"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We expect such expenses to further increase as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17"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62"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7"/>
          <w:szCs w:val="17"/>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57"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68"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7"/>
          <w:szCs w:val="17"/>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(“NOLs”) to offset future taxable income may be subject to certain limitations.</w:t>
      </w:r>
    </w:p>
    <w:p>
      <w:pPr>
        <w:spacing w:after="0" w:line="117" w:lineRule="exact"/>
        <w:rPr>
          <w:sz w:val="20"/>
          <w:szCs w:val="20"/>
          <w:color w:val="auto"/>
        </w:rPr>
      </w:pPr>
    </w:p>
    <w:p>
      <w:pPr>
        <w:jc w:val="both"/>
        <w:ind w:firstLine="1134"/>
        <w:spacing w:after="0" w:line="342" w:lineRule="auto"/>
        <w:rPr>
          <w:sz w:val="20"/>
          <w:szCs w:val="20"/>
          <w:color w:val="auto"/>
        </w:rPr>
      </w:pPr>
      <w:r>
        <w:rPr>
          <w:rFonts w:ascii="Arial" w:cs="Arial" w:eastAsia="Arial" w:hAnsi="Arial"/>
          <w:sz w:val="16"/>
          <w:szCs w:val="16"/>
          <w:color w:val="auto"/>
        </w:rPr>
        <w:t>As of December 31, 2022, we had no federal and state NOL carryforwards, except in California. The California NOLs will begin to expire in calendar year 2036, unless previously utilized. These California NOLs could expire unused and be unavailable to offset future income tax liabilities.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90" w:lineRule="auto"/>
        <w:rPr>
          <w:sz w:val="20"/>
          <w:szCs w:val="20"/>
          <w:color w:val="auto"/>
        </w:rPr>
      </w:pPr>
      <w:r>
        <w:rPr>
          <w:rFonts w:ascii="Arial" w:cs="Arial" w:eastAsia="Arial" w:hAnsi="Arial"/>
          <w:sz w:val="16"/>
          <w:szCs w:val="16"/>
          <w:color w:val="auto"/>
        </w:rPr>
        <w:t>Separately, 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October 23, 2020, and in connection with our IPO on July 23, 2021. As of December 31, 2022, we had not experienced an ownership change subsequent to the ownership change on July 23, 2021. In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Many states have provisions similar to Code Section 382. Annual limitations may result in the expiration of the state net operating loss carryforwards before utilization.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2360" w:hanging="1218"/>
        <w:spacing w:after="0" w:line="277" w:lineRule="auto"/>
        <w:tabs>
          <w:tab w:leader="none" w:pos="23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62" w:lineRule="exact"/>
        <w:rPr>
          <w:rFonts w:ascii="Arial" w:cs="Arial" w:eastAsia="Arial" w:hAnsi="Arial"/>
          <w:sz w:val="18"/>
          <w:szCs w:val="18"/>
          <w:color w:val="auto"/>
        </w:rPr>
      </w:pPr>
    </w:p>
    <w:p>
      <w:pPr>
        <w:ind w:left="2360" w:hanging="1218"/>
        <w:spacing w:after="0"/>
        <w:tabs>
          <w:tab w:leader="none" w:pos="2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17" w:lineRule="exact"/>
        <w:rPr>
          <w:rFonts w:ascii="Arial" w:cs="Arial" w:eastAsia="Arial" w:hAnsi="Arial"/>
          <w:sz w:val="18"/>
          <w:szCs w:val="18"/>
          <w:color w:val="auto"/>
        </w:rPr>
      </w:pPr>
    </w:p>
    <w:p>
      <w:pPr>
        <w:jc w:val="both"/>
        <w:ind w:left="2360" w:hanging="1218"/>
        <w:spacing w:after="0" w:line="263" w:lineRule="auto"/>
        <w:tabs>
          <w:tab w:leader="none" w:pos="23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75" w:lineRule="exact"/>
        <w:rPr>
          <w:rFonts w:ascii="Arial" w:cs="Arial" w:eastAsia="Arial" w:hAnsi="Arial"/>
          <w:sz w:val="18"/>
          <w:szCs w:val="18"/>
          <w:color w:val="auto"/>
        </w:rPr>
      </w:pPr>
    </w:p>
    <w:p>
      <w:pPr>
        <w:ind w:left="2360" w:hanging="1218"/>
        <w:spacing w:after="0"/>
        <w:tabs>
          <w:tab w:leader="none" w:pos="2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2360" w:hanging="1218"/>
        <w:spacing w:after="0"/>
        <w:tabs>
          <w:tab w:leader="none" w:pos="2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17"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 and regulations may have a material adverse effect on our business, financial condition and results of operations.</w:t>
      </w:r>
    </w:p>
    <w:p>
      <w:pPr>
        <w:spacing w:after="0" w:line="129" w:lineRule="exact"/>
        <w:rPr>
          <w:sz w:val="20"/>
          <w:szCs w:val="20"/>
          <w:color w:val="auto"/>
        </w:rPr>
      </w:pPr>
    </w:p>
    <w:p>
      <w:pPr>
        <w:jc w:val="both"/>
        <w:ind w:firstLine="1134"/>
        <w:spacing w:after="0" w:line="296" w:lineRule="auto"/>
        <w:rPr>
          <w:sz w:val="20"/>
          <w:szCs w:val="20"/>
          <w:color w:val="auto"/>
        </w:rPr>
      </w:pPr>
      <w:r>
        <w:rPr>
          <w:rFonts w:ascii="Arial" w:cs="Arial" w:eastAsia="Arial" w:hAnsi="Arial"/>
          <w:sz w:val="16"/>
          <w:szCs w:val="16"/>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62" w:lineRule="exact"/>
        <w:rPr>
          <w:sz w:val="20"/>
          <w:szCs w:val="20"/>
          <w:color w:val="auto"/>
        </w:rPr>
      </w:pPr>
    </w:p>
    <w:p>
      <w:pPr>
        <w:jc w:val="both"/>
        <w:ind w:firstLine="1134"/>
        <w:spacing w:after="0" w:line="290" w:lineRule="auto"/>
        <w:rPr>
          <w:sz w:val="20"/>
          <w:szCs w:val="20"/>
          <w:color w:val="auto"/>
        </w:rPr>
      </w:pPr>
      <w:r>
        <w:rPr>
          <w:rFonts w:ascii="Arial" w:cs="Arial" w:eastAsia="Arial" w:hAnsi="Arial"/>
          <w:sz w:val="16"/>
          <w:szCs w:val="16"/>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378" w:lineRule="auto"/>
        <w:rPr>
          <w:sz w:val="20"/>
          <w:szCs w:val="20"/>
          <w:color w:val="auto"/>
        </w:rPr>
      </w:pPr>
      <w:r>
        <w:rPr>
          <w:rFonts w:ascii="Arial" w:cs="Arial" w:eastAsia="Arial" w:hAnsi="Arial"/>
          <w:sz w:val="18"/>
          <w:szCs w:val="18"/>
          <w:b w:val="1"/>
          <w:bCs w:val="1"/>
          <w:color w:val="auto"/>
        </w:rPr>
        <w:t xml:space="preserve">ITEM 2. UNREGISTERED SALES OF EQUITY SECURITIES, USE OF PROCEEDS AND ISSUER PURCHASES OF EQUITY SECURITIES. </w:t>
      </w:r>
      <w:r>
        <w:rPr>
          <w:rFonts w:ascii="Arial" w:cs="Arial" w:eastAsia="Arial" w:hAnsi="Arial"/>
          <w:sz w:val="18"/>
          <w:szCs w:val="18"/>
          <w:b w:val="1"/>
          <w:bCs w:val="1"/>
          <w:i w:val="1"/>
          <w:iCs w:val="1"/>
          <w:color w:val="auto"/>
        </w:rPr>
        <w:t>Unregistered Sales of Equity Securities</w:t>
      </w:r>
    </w:p>
    <w:p>
      <w:pPr>
        <w:jc w:val="center"/>
        <w:ind w:right="85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ind w:right="8460"/>
        <w:spacing w:after="0"/>
        <w:rPr>
          <w:sz w:val="20"/>
          <w:szCs w:val="20"/>
          <w:color w:val="auto"/>
        </w:rPr>
      </w:pPr>
      <w:r>
        <w:rPr>
          <w:rFonts w:ascii="Arial" w:cs="Arial" w:eastAsia="Arial" w:hAnsi="Arial"/>
          <w:sz w:val="15"/>
          <w:szCs w:val="15"/>
          <w:b w:val="1"/>
          <w:bCs w:val="1"/>
          <w:i w:val="1"/>
          <w:iCs w:val="1"/>
          <w:color w:val="auto"/>
        </w:rPr>
        <w:t>Issuer Purchases of Equity Securities</w:t>
      </w:r>
    </w:p>
    <w:p>
      <w:pPr>
        <w:spacing w:after="0" w:line="152"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On May 17, 2023, the Board approved a program for the repurchase by the Company of up to an aggregate of $50 million of its outstanding common stock. As of September 30,2023, there was approximately $40.6 million remaining under this program.</w:t>
      </w:r>
    </w:p>
    <w:p>
      <w:pPr>
        <w:spacing w:after="0" w:line="62" w:lineRule="exact"/>
        <w:rPr>
          <w:sz w:val="20"/>
          <w:szCs w:val="20"/>
          <w:color w:val="auto"/>
        </w:rPr>
      </w:pPr>
    </w:p>
    <w:p>
      <w:pPr>
        <w:jc w:val="both"/>
        <w:ind w:right="40" w:firstLine="1134"/>
        <w:spacing w:after="0" w:line="277" w:lineRule="auto"/>
        <w:rPr>
          <w:sz w:val="20"/>
          <w:szCs w:val="20"/>
          <w:color w:val="auto"/>
        </w:rPr>
      </w:pPr>
      <w:r>
        <w:rPr>
          <w:rFonts w:ascii="Arial" w:cs="Arial" w:eastAsia="Arial" w:hAnsi="Arial"/>
          <w:sz w:val="18"/>
          <w:szCs w:val="18"/>
          <w:color w:val="auto"/>
        </w:rPr>
        <w:t>The following table provides information with respect to the shares of the Company's common stock repurchased from the beginning of the repurchase start to the end of September 30, 2023.</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(Except for the share amount and average price per share, dollar value in thousands)</w:t>
      </w: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600" w:type="dxa"/>
            <w:vAlign w:val="bottom"/>
            <w:tcBorders>
              <w:top w:val="single" w:sz="8" w:color="auto"/>
              <w:left w:val="single" w:sz="8" w:color="auto"/>
              <w:right w:val="single" w:sz="8" w:color="auto"/>
            </w:tcBorders>
          </w:tcPr>
          <w:p>
            <w:pPr>
              <w:spacing w:after="0"/>
              <w:rPr>
                <w:sz w:val="15"/>
                <w:szCs w:val="15"/>
                <w:color w:val="auto"/>
              </w:rPr>
            </w:pPr>
          </w:p>
        </w:tc>
        <w:tc>
          <w:tcPr>
            <w:tcW w:w="160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60" w:type="dxa"/>
            <w:vAlign w:val="bottom"/>
            <w:tcBorders>
              <w:top w:val="single" w:sz="8" w:color="auto"/>
              <w:right w:val="single" w:sz="8" w:color="auto"/>
            </w:tcBorders>
          </w:tcPr>
          <w:p>
            <w:pPr>
              <w:spacing w:after="0"/>
              <w:rPr>
                <w:sz w:val="15"/>
                <w:szCs w:val="15"/>
                <w:color w:val="auto"/>
              </w:rPr>
            </w:pPr>
          </w:p>
        </w:tc>
        <w:tc>
          <w:tcPr>
            <w:tcW w:w="160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2"/>
              </w:rPr>
              <w:t>Total number of</w:t>
            </w:r>
          </w:p>
        </w:tc>
        <w:tc>
          <w:tcPr>
            <w:tcW w:w="100" w:type="dxa"/>
            <w:vAlign w:val="bottom"/>
            <w:tcBorders>
              <w:top w:val="single" w:sz="8" w:color="auto"/>
            </w:tcBorders>
          </w:tcPr>
          <w:p>
            <w:pPr>
              <w:spacing w:after="0"/>
              <w:rPr>
                <w:sz w:val="15"/>
                <w:szCs w:val="15"/>
                <w:color w:val="auto"/>
              </w:rPr>
            </w:pPr>
          </w:p>
        </w:tc>
        <w:tc>
          <w:tcPr>
            <w:tcW w:w="1520" w:type="dxa"/>
            <w:vAlign w:val="bottom"/>
            <w:tcBorders>
              <w:top w:val="single" w:sz="8" w:color="auto"/>
              <w:right w:val="single" w:sz="8" w:color="auto"/>
            </w:tcBorders>
          </w:tcPr>
          <w:p>
            <w:pPr>
              <w:spacing w:after="0"/>
              <w:rPr>
                <w:sz w:val="15"/>
                <w:szCs w:val="15"/>
                <w:color w:val="auto"/>
              </w:rPr>
            </w:pPr>
          </w:p>
        </w:tc>
        <w:tc>
          <w:tcPr>
            <w:tcW w:w="162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6"/>
              </w:rPr>
              <w:t>Maximum dollar that</w:t>
            </w: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600" w:type="dxa"/>
            <w:vAlign w:val="bottom"/>
            <w:tcBorders>
              <w:right w:val="single" w:sz="8" w:color="auto"/>
            </w:tcBorders>
            <w:vMerge w:val="restart"/>
          </w:tcPr>
          <w:p>
            <w:pPr>
              <w:jc w:val="right"/>
              <w:ind w:right="159"/>
              <w:spacing w:after="0" w:line="162" w:lineRule="exact"/>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7"/>
                <w:szCs w:val="7"/>
                <w:color w:val="auto"/>
              </w:rPr>
            </w:pPr>
          </w:p>
        </w:tc>
        <w:tc>
          <w:tcPr>
            <w:tcW w:w="1480" w:type="dxa"/>
            <w:vAlign w:val="bottom"/>
            <w:tcBorders>
              <w:right w:val="single" w:sz="8" w:color="auto"/>
            </w:tcBorders>
            <w:vMerge w:val="restart"/>
          </w:tcPr>
          <w:p>
            <w:pPr>
              <w:jc w:val="right"/>
              <w:ind w:right="79"/>
              <w:spacing w:after="0" w:line="162" w:lineRule="exact"/>
              <w:rPr>
                <w:sz w:val="20"/>
                <w:szCs w:val="20"/>
                <w:color w:val="auto"/>
              </w:rPr>
            </w:pPr>
            <w:r>
              <w:rPr>
                <w:rFonts w:ascii="Arial" w:cs="Arial" w:eastAsia="Arial" w:hAnsi="Arial"/>
                <w:sz w:val="16"/>
                <w:szCs w:val="16"/>
                <w:b w:val="1"/>
                <w:bCs w:val="1"/>
                <w:color w:val="auto"/>
                <w:w w:val="90"/>
              </w:rPr>
              <w:t>Average price paid</w:t>
            </w:r>
          </w:p>
        </w:tc>
        <w:tc>
          <w:tcPr>
            <w:tcW w:w="160" w:type="dxa"/>
            <w:vAlign w:val="bottom"/>
          </w:tcPr>
          <w:p>
            <w:pPr>
              <w:spacing w:after="0"/>
              <w:rPr>
                <w:sz w:val="7"/>
                <w:szCs w:val="7"/>
                <w:color w:val="auto"/>
              </w:rPr>
            </w:pPr>
          </w:p>
        </w:tc>
        <w:tc>
          <w:tcPr>
            <w:tcW w:w="1460" w:type="dxa"/>
            <w:vAlign w:val="bottom"/>
            <w:tcBorders>
              <w:right w:val="single" w:sz="8" w:color="auto"/>
            </w:tcBorders>
            <w:vMerge w:val="restart"/>
          </w:tcPr>
          <w:p>
            <w:pPr>
              <w:jc w:val="right"/>
              <w:ind w:right="179"/>
              <w:spacing w:after="0" w:line="162" w:lineRule="exact"/>
              <w:rPr>
                <w:sz w:val="20"/>
                <w:szCs w:val="20"/>
                <w:color w:val="auto"/>
              </w:rPr>
            </w:pPr>
            <w:r>
              <w:rPr>
                <w:rFonts w:ascii="Arial" w:cs="Arial" w:eastAsia="Arial" w:hAnsi="Arial"/>
                <w:sz w:val="16"/>
                <w:szCs w:val="16"/>
                <w:b w:val="1"/>
                <w:bCs w:val="1"/>
                <w:color w:val="auto"/>
                <w:w w:val="94"/>
              </w:rPr>
              <w:t>Cost of buyback</w:t>
            </w:r>
          </w:p>
        </w:tc>
        <w:tc>
          <w:tcPr>
            <w:tcW w:w="160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Borders>
              <w:right w:val="single" w:sz="8" w:color="auto"/>
            </w:tcBorders>
            <w:vMerge w:val="restart"/>
          </w:tcPr>
          <w:p>
            <w:pPr>
              <w:jc w:val="right"/>
              <w:ind w:right="79"/>
              <w:spacing w:after="0" w:line="162" w:lineRule="exact"/>
              <w:rPr>
                <w:sz w:val="20"/>
                <w:szCs w:val="20"/>
                <w:color w:val="auto"/>
              </w:rPr>
            </w:pPr>
            <w:r>
              <w:rPr>
                <w:rFonts w:ascii="Arial" w:cs="Arial" w:eastAsia="Arial" w:hAnsi="Arial"/>
                <w:sz w:val="16"/>
                <w:szCs w:val="16"/>
                <w:b w:val="1"/>
                <w:bCs w:val="1"/>
                <w:color w:val="auto"/>
                <w:w w:val="91"/>
              </w:rPr>
              <w:t>Cumulative Cost of</w:t>
            </w:r>
          </w:p>
        </w:tc>
        <w:tc>
          <w:tcPr>
            <w:tcW w:w="1620" w:type="dxa"/>
            <w:vAlign w:val="bottom"/>
            <w:tcBorders>
              <w:right w:val="single" w:sz="8" w:color="auto"/>
            </w:tcBorders>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b w:val="1"/>
                <w:bCs w:val="1"/>
                <w:color w:val="auto"/>
                <w:w w:val="94"/>
              </w:rPr>
              <w:t>part of publicly</w:t>
            </w:r>
          </w:p>
        </w:tc>
        <w:tc>
          <w:tcPr>
            <w:tcW w:w="100" w:type="dxa"/>
            <w:vAlign w:val="bottom"/>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600" w:type="dxa"/>
            <w:vAlign w:val="bottom"/>
            <w:tcBorders>
              <w:right w:val="single" w:sz="8" w:color="auto"/>
            </w:tcBorders>
            <w:vMerge w:val="restart"/>
          </w:tcPr>
          <w:p>
            <w:pPr>
              <w:jc w:val="right"/>
              <w:ind w:right="59"/>
              <w:spacing w:after="0" w:line="162" w:lineRule="exact"/>
              <w:rPr>
                <w:sz w:val="20"/>
                <w:szCs w:val="20"/>
                <w:color w:val="auto"/>
              </w:rPr>
            </w:pPr>
            <w:r>
              <w:rPr>
                <w:rFonts w:ascii="Arial" w:cs="Arial" w:eastAsia="Arial" w:hAnsi="Arial"/>
                <w:sz w:val="16"/>
                <w:szCs w:val="16"/>
                <w:b w:val="1"/>
                <w:bCs w:val="1"/>
                <w:color w:val="auto"/>
                <w:w w:val="94"/>
              </w:rPr>
              <w:t>shares repurchased</w:t>
            </w:r>
          </w:p>
        </w:tc>
        <w:tc>
          <w:tcPr>
            <w:tcW w:w="120" w:type="dxa"/>
            <w:vAlign w:val="bottom"/>
          </w:tcPr>
          <w:p>
            <w:pPr>
              <w:spacing w:after="0"/>
              <w:rPr>
                <w:sz w:val="7"/>
                <w:szCs w:val="7"/>
                <w:color w:val="auto"/>
              </w:rPr>
            </w:pPr>
          </w:p>
        </w:tc>
        <w:tc>
          <w:tcPr>
            <w:tcW w:w="1480" w:type="dxa"/>
            <w:vAlign w:val="bottom"/>
            <w:tcBorders>
              <w:right w:val="single" w:sz="8" w:color="auto"/>
            </w:tcBorders>
            <w:vMerge w:val="restart"/>
          </w:tcPr>
          <w:p>
            <w:pPr>
              <w:jc w:val="right"/>
              <w:ind w:right="399"/>
              <w:spacing w:after="0" w:line="162" w:lineRule="exact"/>
              <w:rPr>
                <w:sz w:val="20"/>
                <w:szCs w:val="20"/>
                <w:color w:val="auto"/>
              </w:rPr>
            </w:pPr>
            <w:r>
              <w:rPr>
                <w:rFonts w:ascii="Arial" w:cs="Arial" w:eastAsia="Arial" w:hAnsi="Arial"/>
                <w:sz w:val="16"/>
                <w:szCs w:val="16"/>
                <w:b w:val="1"/>
                <w:bCs w:val="1"/>
                <w:color w:val="auto"/>
              </w:rPr>
              <w:t>per share</w:t>
            </w:r>
          </w:p>
        </w:tc>
        <w:tc>
          <w:tcPr>
            <w:tcW w:w="160" w:type="dxa"/>
            <w:vAlign w:val="bottom"/>
          </w:tcPr>
          <w:p>
            <w:pPr>
              <w:spacing w:after="0"/>
              <w:rPr>
                <w:sz w:val="7"/>
                <w:szCs w:val="7"/>
                <w:color w:val="auto"/>
              </w:rPr>
            </w:pPr>
          </w:p>
        </w:tc>
        <w:tc>
          <w:tcPr>
            <w:tcW w:w="1460" w:type="dxa"/>
            <w:vAlign w:val="bottom"/>
            <w:tcBorders>
              <w:right w:val="single" w:sz="8" w:color="auto"/>
            </w:tcBorders>
            <w:vMerge w:val="restart"/>
          </w:tcPr>
          <w:p>
            <w:pPr>
              <w:jc w:val="right"/>
              <w:ind w:right="519"/>
              <w:spacing w:after="0" w:line="162" w:lineRule="exact"/>
              <w:rPr>
                <w:sz w:val="20"/>
                <w:szCs w:val="20"/>
                <w:color w:val="auto"/>
              </w:rPr>
            </w:pPr>
            <w:r>
              <w:rPr>
                <w:rFonts w:ascii="Arial" w:cs="Arial" w:eastAsia="Arial" w:hAnsi="Arial"/>
                <w:sz w:val="16"/>
                <w:szCs w:val="16"/>
                <w:b w:val="1"/>
                <w:bCs w:val="1"/>
                <w:color w:val="auto"/>
              </w:rPr>
              <w:t>shares</w:t>
            </w:r>
          </w:p>
        </w:tc>
        <w:tc>
          <w:tcPr>
            <w:tcW w:w="160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Borders>
              <w:right w:val="single" w:sz="8" w:color="auto"/>
            </w:tcBorders>
            <w:vMerge w:val="restart"/>
          </w:tcPr>
          <w:p>
            <w:pPr>
              <w:jc w:val="right"/>
              <w:ind w:right="199"/>
              <w:spacing w:after="0" w:line="162" w:lineRule="exact"/>
              <w:rPr>
                <w:sz w:val="20"/>
                <w:szCs w:val="20"/>
                <w:color w:val="auto"/>
              </w:rPr>
            </w:pPr>
            <w:r>
              <w:rPr>
                <w:rFonts w:ascii="Arial" w:cs="Arial" w:eastAsia="Arial" w:hAnsi="Arial"/>
                <w:sz w:val="16"/>
                <w:szCs w:val="16"/>
                <w:b w:val="1"/>
                <w:bCs w:val="1"/>
                <w:color w:val="auto"/>
              </w:rPr>
              <w:t>buyback shares</w:t>
            </w:r>
          </w:p>
        </w:tc>
        <w:tc>
          <w:tcPr>
            <w:tcW w:w="120" w:type="dxa"/>
            <w:vAlign w:val="bottom"/>
          </w:tcPr>
          <w:p>
            <w:pPr>
              <w:spacing w:after="0"/>
              <w:rPr>
                <w:sz w:val="7"/>
                <w:szCs w:val="7"/>
                <w:color w:val="auto"/>
              </w:rPr>
            </w:pPr>
          </w:p>
        </w:tc>
        <w:tc>
          <w:tcPr>
            <w:tcW w:w="1500" w:type="dxa"/>
            <w:vAlign w:val="bottom"/>
            <w:tcBorders>
              <w:right w:val="single" w:sz="8" w:color="auto"/>
            </w:tcBorders>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Borders>
              <w:right w:val="single" w:sz="8" w:color="auto"/>
            </w:tcBorders>
            <w:vMerge w:val="restart"/>
          </w:tcPr>
          <w:p>
            <w:pPr>
              <w:jc w:val="center"/>
              <w:ind w:right="59"/>
              <w:spacing w:after="0"/>
              <w:rPr>
                <w:sz w:val="20"/>
                <w:szCs w:val="20"/>
                <w:color w:val="auto"/>
              </w:rPr>
            </w:pPr>
            <w:r>
              <w:rPr>
                <w:rFonts w:ascii="Arial" w:cs="Arial" w:eastAsia="Arial" w:hAnsi="Arial"/>
                <w:sz w:val="16"/>
                <w:szCs w:val="16"/>
                <w:b w:val="1"/>
                <w:bCs w:val="1"/>
                <w:color w:val="auto"/>
                <w:w w:val="92"/>
              </w:rPr>
              <w:t>programs</w:t>
            </w:r>
          </w:p>
        </w:tc>
        <w:tc>
          <w:tcPr>
            <w:tcW w:w="0" w:type="dxa"/>
            <w:vAlign w:val="bottom"/>
          </w:tcPr>
          <w:p>
            <w:pPr>
              <w:spacing w:after="0"/>
              <w:rPr>
                <w:sz w:val="1"/>
                <w:szCs w:val="1"/>
                <w:color w:val="auto"/>
              </w:rPr>
            </w:pP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programs</w:t>
            </w:r>
          </w:p>
        </w:tc>
        <w:tc>
          <w:tcPr>
            <w:tcW w:w="100" w:type="dxa"/>
            <w:vAlign w:val="bottom"/>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6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May 2023</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782</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49,218</w:t>
            </w:r>
          </w:p>
        </w:tc>
        <w:tc>
          <w:tcPr>
            <w:tcW w:w="0" w:type="dxa"/>
            <w:vAlign w:val="bottom"/>
          </w:tcPr>
          <w:p>
            <w:pPr>
              <w:spacing w:after="0"/>
              <w:rPr>
                <w:sz w:val="1"/>
                <w:szCs w:val="1"/>
                <w:color w:val="auto"/>
              </w:rPr>
            </w:pPr>
          </w:p>
        </w:tc>
      </w:tr>
      <w:tr>
        <w:trPr>
          <w:trHeight w:val="209"/>
        </w:trPr>
        <w:tc>
          <w:tcPr>
            <w:tcW w:w="1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June 2023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25,159</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125,782</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49,019</w:t>
            </w: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July 2023</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125,782</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49,019</w:t>
            </w:r>
          </w:p>
        </w:tc>
        <w:tc>
          <w:tcPr>
            <w:tcW w:w="0" w:type="dxa"/>
            <w:vAlign w:val="bottom"/>
          </w:tcPr>
          <w:p>
            <w:pPr>
              <w:spacing w:after="0"/>
              <w:rPr>
                <w:sz w:val="1"/>
                <w:szCs w:val="1"/>
                <w:color w:val="auto"/>
              </w:rPr>
            </w:pPr>
          </w:p>
        </w:tc>
      </w:tr>
      <w:tr>
        <w:trPr>
          <w:trHeight w:val="209"/>
        </w:trPr>
        <w:tc>
          <w:tcPr>
            <w:tcW w:w="1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August 2023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295,574</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2,269</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421,356</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3,250</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46,750</w:t>
            </w:r>
          </w:p>
        </w:tc>
        <w:tc>
          <w:tcPr>
            <w:tcW w:w="0" w:type="dxa"/>
            <w:vAlign w:val="bottom"/>
          </w:tcPr>
          <w:p>
            <w:pPr>
              <w:spacing w:after="0"/>
              <w:rPr>
                <w:sz w:val="1"/>
                <w:szCs w:val="1"/>
                <w:color w:val="auto"/>
              </w:rPr>
            </w:pPr>
          </w:p>
        </w:tc>
      </w:tr>
      <w:tr>
        <w:trPr>
          <w:trHeight w:val="209"/>
        </w:trPr>
        <w:tc>
          <w:tcPr>
            <w:tcW w:w="16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September 2023</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859,655</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6,159</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1,281,011</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9,409</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40,590</w:t>
            </w: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Year to Date Total</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1,281,011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7.33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9,409</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1,281,011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9,409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40,590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40" w:firstLine="1134"/>
        <w:spacing w:after="0" w:line="277" w:lineRule="auto"/>
        <w:rPr>
          <w:sz w:val="20"/>
          <w:szCs w:val="20"/>
          <w:color w:val="auto"/>
        </w:rPr>
      </w:pPr>
      <w:r>
        <w:rPr>
          <w:rFonts w:ascii="Arial" w:cs="Arial" w:eastAsia="Arial" w:hAnsi="Arial"/>
          <w:sz w:val="18"/>
          <w:szCs w:val="18"/>
          <w:color w:val="auto"/>
        </w:rPr>
        <w:t>The repurchase program was used to return capital to shareholders and to minimize the dilutive impact of stock options and other share-based awards. The repurchased shares of common stock were retired.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jc w:val="both"/>
        <w:ind w:right="20" w:firstLine="1134"/>
        <w:spacing w:after="0" w:line="273" w:lineRule="auto"/>
        <w:rPr>
          <w:sz w:val="20"/>
          <w:szCs w:val="20"/>
          <w:color w:val="auto"/>
        </w:rPr>
      </w:pPr>
      <w:r>
        <w:rPr>
          <w:rFonts w:ascii="Arial" w:cs="Arial" w:eastAsia="Arial" w:hAnsi="Arial"/>
          <w:sz w:val="17"/>
          <w:szCs w:val="17"/>
          <w:color w:val="auto"/>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
                <w:szCs w:val="2"/>
                <w:color w:val="auto"/>
              </w:rPr>
            </w:pPr>
          </w:p>
        </w:tc>
        <w:tc>
          <w:tcPr>
            <w:tcW w:w="4360" w:type="dxa"/>
            <w:vAlign w:val="bottom"/>
            <w:gridSpan w:val="12"/>
            <w:vMerge w:val="restart"/>
          </w:tcPr>
          <w:p>
            <w:pPr>
              <w:ind w:left="1640"/>
              <w:spacing w:after="0"/>
              <w:rPr>
                <w:sz w:val="20"/>
                <w:szCs w:val="20"/>
                <w:color w:val="auto"/>
              </w:rPr>
            </w:pPr>
            <w:r>
              <w:rPr>
                <w:rFonts w:ascii="Arial" w:cs="Arial" w:eastAsia="Arial" w:hAnsi="Arial"/>
                <w:sz w:val="18"/>
                <w:szCs w:val="18"/>
                <w:b w:val="1"/>
                <w:bCs w:val="1"/>
                <w:color w:val="auto"/>
              </w:rPr>
              <w:t>Exhibit Title</w:t>
            </w: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1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360" w:type="dxa"/>
            <w:vAlign w:val="bottom"/>
            <w:gridSpan w:val="12"/>
            <w:vMerge w:val="continue"/>
          </w:tcPr>
          <w:p>
            <w:pPr>
              <w:spacing w:after="0"/>
              <w:rPr>
                <w:sz w:val="16"/>
                <w:szCs w:val="16"/>
                <w:color w:val="auto"/>
              </w:rPr>
            </w:pPr>
          </w:p>
        </w:tc>
        <w:tc>
          <w:tcPr>
            <w:tcW w:w="8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Form</w:t>
            </w:r>
          </w:p>
        </w:tc>
        <w:tc>
          <w:tcPr>
            <w:tcW w:w="240" w:type="dxa"/>
            <w:vAlign w:val="bottom"/>
          </w:tcPr>
          <w:p>
            <w:pPr>
              <w:spacing w:after="0"/>
              <w:rPr>
                <w:sz w:val="16"/>
                <w:szCs w:val="16"/>
                <w:color w:val="auto"/>
              </w:rPr>
            </w:pPr>
          </w:p>
        </w:tc>
        <w:tc>
          <w:tcPr>
            <w:tcW w:w="10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2"/>
              </w:rPr>
              <w:t>File No.</w:t>
            </w:r>
          </w:p>
        </w:tc>
        <w:tc>
          <w:tcPr>
            <w:tcW w:w="126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Exhibit</w:t>
            </w:r>
          </w:p>
        </w:tc>
        <w:tc>
          <w:tcPr>
            <w:tcW w:w="118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Filing</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Date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4"/>
          </w:tcPr>
          <w:p>
            <w:pPr>
              <w:spacing w:after="0" w:line="196" w:lineRule="exact"/>
              <w:rPr>
                <w:rFonts w:ascii="Arial" w:cs="Arial" w:eastAsia="Arial" w:hAnsi="Arial"/>
                <w:sz w:val="18"/>
                <w:szCs w:val="18"/>
                <w:color w:val="0000FF"/>
                <w:w w:val="89"/>
              </w:rPr>
            </w:pPr>
            <w:hyperlink r:id="rId107">
              <w:r>
                <w:rPr>
                  <w:rFonts w:ascii="Arial" w:cs="Arial" w:eastAsia="Arial" w:hAnsi="Arial"/>
                  <w:sz w:val="18"/>
                  <w:szCs w:val="18"/>
                  <w:color w:val="0000FF"/>
                  <w:w w:val="89"/>
                </w:rPr>
                <w:t>Amended and Restated Certificate of Incorporation</w:t>
              </w:r>
            </w:hyperlink>
          </w:p>
        </w:tc>
        <w:tc>
          <w:tcPr>
            <w:tcW w:w="680" w:type="dxa"/>
            <w:vAlign w:val="bottom"/>
            <w:gridSpan w:val="8"/>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gridSpan w:val="3"/>
          </w:tcPr>
          <w:p>
            <w:pPr>
              <w:jc w:val="center"/>
              <w:spacing w:after="0" w:line="19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001-40632</w:t>
              </w:r>
            </w:hyperlink>
          </w:p>
        </w:tc>
        <w:tc>
          <w:tcPr>
            <w:tcW w:w="1260" w:type="dxa"/>
            <w:vAlign w:val="bottom"/>
            <w:gridSpan w:val="3"/>
          </w:tcPr>
          <w:p>
            <w:pPr>
              <w:jc w:val="center"/>
              <w:ind w:right="220"/>
              <w:spacing w:after="0" w:line="196" w:lineRule="exact"/>
              <w:rPr>
                <w:sz w:val="20"/>
                <w:szCs w:val="20"/>
                <w:color w:val="auto"/>
              </w:rPr>
            </w:pPr>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07/27/2021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tcPr>
          <w:p>
            <w:pPr>
              <w:spacing w:after="0"/>
              <w:rPr>
                <w:rFonts w:ascii="Arial" w:cs="Arial" w:eastAsia="Arial" w:hAnsi="Arial"/>
                <w:sz w:val="18"/>
                <w:szCs w:val="18"/>
                <w:color w:val="0000FF"/>
                <w:w w:val="89"/>
              </w:rPr>
            </w:pPr>
            <w:hyperlink r:id="rId108">
              <w:r>
                <w:rPr>
                  <w:rFonts w:ascii="Arial" w:cs="Arial" w:eastAsia="Arial" w:hAnsi="Arial"/>
                  <w:sz w:val="18"/>
                  <w:szCs w:val="18"/>
                  <w:color w:val="0000FF"/>
                  <w:w w:val="89"/>
                </w:rPr>
                <w:t>Amended and Restated Bylaws</w:t>
              </w:r>
            </w:hyperlink>
          </w:p>
        </w:tc>
        <w:tc>
          <w:tcPr>
            <w:tcW w:w="1420" w:type="dxa"/>
            <w:vAlign w:val="bottom"/>
            <w:gridSpan w:val="3"/>
          </w:tcPr>
          <w:p>
            <w:pPr>
              <w:spacing w:after="0"/>
              <w:rPr>
                <w:sz w:val="20"/>
                <w:szCs w:val="20"/>
                <w:color w:val="auto"/>
              </w:rPr>
            </w:pPr>
          </w:p>
        </w:tc>
        <w:tc>
          <w:tcPr>
            <w:tcW w:w="680" w:type="dxa"/>
            <w:vAlign w:val="bottom"/>
            <w:gridSpan w:val="8"/>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3"/>
          </w:tcPr>
          <w:p>
            <w:pPr>
              <w:jc w:val="center"/>
              <w:spacing w:after="0"/>
              <w:rPr>
                <w:rFonts w:ascii="Arial" w:cs="Arial" w:eastAsia="Arial" w:hAnsi="Arial"/>
                <w:sz w:val="18"/>
                <w:szCs w:val="18"/>
                <w:color w:val="0000FF"/>
                <w:w w:val="90"/>
              </w:rPr>
            </w:pPr>
            <w:hyperlink r:id="rId108">
              <w:r>
                <w:rPr>
                  <w:rFonts w:ascii="Arial" w:cs="Arial" w:eastAsia="Arial" w:hAnsi="Arial"/>
                  <w:sz w:val="18"/>
                  <w:szCs w:val="18"/>
                  <w:color w:val="0000FF"/>
                  <w:w w:val="90"/>
                </w:rPr>
                <w:t>001-40632</w:t>
              </w:r>
            </w:hyperlink>
          </w:p>
        </w:tc>
        <w:tc>
          <w:tcPr>
            <w:tcW w:w="1260" w:type="dxa"/>
            <w:vAlign w:val="bottom"/>
            <w:gridSpan w:val="3"/>
          </w:tcPr>
          <w:p>
            <w:pPr>
              <w:jc w:val="center"/>
              <w:ind w:right="220"/>
              <w:spacing w:after="0"/>
              <w:rPr>
                <w:sz w:val="20"/>
                <w:szCs w:val="20"/>
                <w:color w:val="auto"/>
              </w:rPr>
            </w:pPr>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07/27/2021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required by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6"/>
              </w:rPr>
              <w:t>Rules 13a-14(a) and 15d-14(a) under the Securities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Arial" w:cs="Arial" w:eastAsia="Arial" w:hAnsi="Arial"/>
                <w:sz w:val="18"/>
                <w:szCs w:val="18"/>
                <w:color w:val="0000FF"/>
                <w:w w:val="92"/>
              </w:rPr>
              <w:t>Exchange Act of 1934, as adopted pursuant to Section 302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0"/>
              </w:rPr>
              <w:t>of the Sarbanes-Oxley Act of 2002.</w:t>
            </w:r>
          </w:p>
        </w:tc>
        <w:tc>
          <w:tcPr>
            <w:tcW w:w="1660" w:type="dxa"/>
            <w:vAlign w:val="bottom"/>
            <w:tcBorders>
              <w:top w:val="single" w:sz="8" w:color="0000FF"/>
            </w:tcBorders>
            <w:gridSpan w:val="8"/>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required by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0"/>
              </w:rPr>
              <w:t>Rule 13a-14(a) or Rule 15d-14(a) of the Securities</w:t>
            </w:r>
          </w:p>
        </w:tc>
        <w:tc>
          <w:tcPr>
            <w:tcW w:w="26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Arial" w:cs="Arial" w:eastAsia="Arial" w:hAnsi="Arial"/>
                <w:sz w:val="18"/>
                <w:szCs w:val="18"/>
                <w:color w:val="0000FF"/>
                <w:w w:val="92"/>
              </w:rPr>
              <w:t>Exchange Act of 1934, as adopted pursuant to Section 302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0"/>
              </w:rPr>
              <w:t>of the Sarbanes-Oxley Act of 2002.</w:t>
            </w:r>
          </w:p>
        </w:tc>
        <w:tc>
          <w:tcPr>
            <w:tcW w:w="1660" w:type="dxa"/>
            <w:vAlign w:val="bottom"/>
            <w:tcBorders>
              <w:top w:val="single" w:sz="8" w:color="0000FF"/>
            </w:tcBorders>
            <w:gridSpan w:val="8"/>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0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Certification of Chief Executive Officer pursuant to 18</w:t>
            </w:r>
          </w:p>
        </w:tc>
        <w:tc>
          <w:tcPr>
            <w:tcW w:w="400" w:type="dxa"/>
            <w:vAlign w:val="bottom"/>
            <w:gridSpan w:val="5"/>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88"/>
              </w:rPr>
              <w:t>U.S.C. Section 1350, as adopted pursuant to Section 906</w:t>
            </w: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Arial" w:cs="Arial" w:eastAsia="Arial" w:hAnsi="Arial"/>
                <w:sz w:val="18"/>
                <w:szCs w:val="18"/>
                <w:color w:val="0000FF"/>
              </w:rPr>
              <w:t>of the Sarbanes-Oxley Act of 2002.*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Certification of Chief Financial Officer pursuant to 18</w:t>
            </w:r>
          </w:p>
        </w:tc>
        <w:tc>
          <w:tcPr>
            <w:tcW w:w="460" w:type="dxa"/>
            <w:vAlign w:val="bottom"/>
            <w:gridSpan w:val="7"/>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88"/>
              </w:rPr>
              <w:t>U.S.C. Section 1350, as adopted pursuant to Section 906</w:t>
            </w: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Arial" w:cs="Arial" w:eastAsia="Arial" w:hAnsi="Arial"/>
                <w:sz w:val="18"/>
                <w:szCs w:val="18"/>
                <w:color w:val="0000FF"/>
              </w:rPr>
              <w:t>of the Sarbanes-Oxley Act of 2002.*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1"/>
                <w:szCs w:val="21"/>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w w:val="95"/>
              </w:rPr>
              <w:t>Inline XBRL Instance Document – the instance document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2"/>
          </w:tcPr>
          <w:p>
            <w:pPr>
              <w:spacing w:after="0" w:line="202" w:lineRule="exact"/>
              <w:rPr>
                <w:sz w:val="20"/>
                <w:szCs w:val="20"/>
                <w:color w:val="auto"/>
              </w:rPr>
            </w:pPr>
            <w:r>
              <w:rPr>
                <w:rFonts w:ascii="Arial" w:cs="Arial" w:eastAsia="Arial" w:hAnsi="Arial"/>
                <w:sz w:val="18"/>
                <w:szCs w:val="18"/>
                <w:color w:val="auto"/>
                <w:w w:val="92"/>
              </w:rPr>
              <w:t>does not appear in the Interactive Data File because XBRL</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tags are embedded within the Inline XBRL 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1"/>
        </w:trPr>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w w:val="98"/>
              </w:rPr>
              <w:t>Inline XBRL Taxonomy Extension Calculation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w w:val="96"/>
              </w:rPr>
              <w:t>Inline XBRL Taxonomy Extension Presentation Linkbase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XBRL and contained in Exhibits 101).</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53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2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117" w:lineRule="exact"/>
        <w:rPr>
          <w:sz w:val="20"/>
          <w:szCs w:val="20"/>
          <w:color w:val="auto"/>
        </w:rPr>
      </w:pPr>
    </w:p>
    <w:p>
      <w:pPr>
        <w:jc w:val="both"/>
        <w:ind w:left="180" w:hanging="172"/>
        <w:spacing w:after="0" w:line="259" w:lineRule="auto"/>
        <w:tabs>
          <w:tab w:leader="none" w:pos="1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Cytek Biosciences, Inc.</w:t>
      </w:r>
    </w:p>
    <w:p>
      <w:pPr>
        <w:spacing w:after="0" w:line="324" w:lineRule="exact"/>
        <w:rPr>
          <w:sz w:val="20"/>
          <w:szCs w:val="20"/>
          <w:color w:val="auto"/>
        </w:rPr>
      </w:pPr>
    </w:p>
    <w:p>
      <w:pPr>
        <w:ind w:left="20"/>
        <w:spacing w:after="0"/>
        <w:tabs>
          <w:tab w:leader="none" w:pos="5080" w:val="left"/>
          <w:tab w:leader="none" w:pos="78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23495</wp:posOffset>
            </wp:positionV>
            <wp:extent cx="3549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Wenbin Jiang, Ph.D.</w:t>
      </w:r>
    </w:p>
    <w:p>
      <w:pPr>
        <w:spacing w:after="0" w:line="5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President and Chief Executive Officer</w:t>
      </w:r>
    </w:p>
    <w:p>
      <w:pPr>
        <w:spacing w:after="0" w:line="12"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5080" w:val="left"/>
          <w:tab w:leader="none" w:pos="768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Patrik Jeanmonod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23495</wp:posOffset>
            </wp:positionV>
            <wp:extent cx="3549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Patrik Jeanmonod</w:t>
      </w:r>
    </w:p>
    <w:p>
      <w:pPr>
        <w:spacing w:after="0" w:line="50"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Chief Financial Officer</w:t>
      </w:r>
    </w:p>
    <w:p>
      <w:pPr>
        <w:spacing w:after="0" w:line="12"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Wenbin Jiang, Ph.D., certify that:</w:t>
      </w:r>
    </w:p>
    <w:p>
      <w:pPr>
        <w:spacing w:after="0" w:line="252"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spacing w:after="0" w:line="23" w:lineRule="exact"/>
        <w:rPr>
          <w:rFonts w:ascii="Arial" w:cs="Arial" w:eastAsia="Arial" w:hAnsi="Arial"/>
          <w:sz w:val="18"/>
          <w:szCs w:val="18"/>
          <w:color w:val="auto"/>
        </w:rPr>
      </w:pPr>
    </w:p>
    <w:p>
      <w:pPr>
        <w:ind w:left="260" w:right="20" w:hanging="252"/>
        <w:spacing w:after="0" w:line="281" w:lineRule="auto"/>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260" w:right="480" w:hanging="252"/>
        <w:spacing w:after="0" w:line="265" w:lineRule="auto"/>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81" w:lineRule="exact"/>
        <w:rPr>
          <w:rFonts w:ascii="Arial" w:cs="Arial" w:eastAsia="Arial" w:hAnsi="Arial"/>
          <w:sz w:val="18"/>
          <w:szCs w:val="18"/>
          <w:color w:val="auto"/>
        </w:rPr>
      </w:pPr>
    </w:p>
    <w:p>
      <w:pPr>
        <w:ind w:left="1800" w:right="60" w:hanging="820"/>
        <w:spacing w:after="0" w:line="286" w:lineRule="auto"/>
        <w:tabs>
          <w:tab w:leader="none" w:pos="1791"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800" w:right="380" w:hanging="820"/>
        <w:spacing w:after="0" w:line="286" w:lineRule="auto"/>
        <w:tabs>
          <w:tab w:leader="none" w:pos="1788"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800" w:right="20" w:hanging="820"/>
        <w:spacing w:after="0" w:line="263" w:lineRule="auto"/>
        <w:tabs>
          <w:tab w:leader="none" w:pos="1791"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800" w:right="120" w:hanging="820"/>
        <w:spacing w:after="0" w:line="286" w:lineRule="auto"/>
        <w:tabs>
          <w:tab w:leader="none" w:pos="1788"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260" w:right="420" w:hanging="252"/>
        <w:spacing w:after="0" w:line="308" w:lineRule="auto"/>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800" w:right="60" w:hanging="820"/>
        <w:spacing w:after="0" w:line="342" w:lineRule="auto"/>
        <w:tabs>
          <w:tab w:leader="none" w:pos="1791"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right="260" w:hanging="820"/>
        <w:spacing w:after="0" w:line="277" w:lineRule="auto"/>
        <w:tabs>
          <w:tab w:leader="none" w:pos="17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560" w:type="dxa"/>
            <w:vAlign w:val="bottom"/>
          </w:tcPr>
          <w:p>
            <w:pPr>
              <w:spacing w:after="0"/>
              <w:rPr>
                <w:sz w:val="20"/>
                <w:szCs w:val="20"/>
                <w:color w:val="auto"/>
              </w:rPr>
            </w:pPr>
            <w:r>
              <w:rPr>
                <w:rFonts w:ascii="Arial" w:cs="Arial" w:eastAsia="Arial" w:hAnsi="Arial"/>
                <w:sz w:val="18"/>
                <w:szCs w:val="18"/>
                <w:color w:val="auto"/>
              </w:rPr>
              <w:t>Date: November 14, 2023</w:t>
            </w:r>
          </w:p>
        </w:tc>
        <w:tc>
          <w:tcPr>
            <w:tcW w:w="1380" w:type="dxa"/>
            <w:vAlign w:val="bottom"/>
            <w:vMerge w:val="restart"/>
          </w:tcPr>
          <w:p>
            <w:pPr>
              <w:ind w:left="700"/>
              <w:spacing w:after="0"/>
              <w:rPr>
                <w:sz w:val="20"/>
                <w:szCs w:val="20"/>
                <w:color w:val="auto"/>
              </w:rPr>
            </w:pPr>
            <w:r>
              <w:rPr>
                <w:rFonts w:ascii="Arial" w:cs="Arial" w:eastAsia="Arial" w:hAnsi="Arial"/>
                <w:sz w:val="18"/>
                <w:szCs w:val="18"/>
                <w:color w:val="auto"/>
              </w:rPr>
              <w:t>By:</w:t>
            </w: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9"/>
              </w:rPr>
              <w:t>/s/ Wenbin Jiang, Ph.D.</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Wenbin Jiang, Ph.D.</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39"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Patrik Jeanmonod, certify that:</w:t>
      </w:r>
    </w:p>
    <w:p>
      <w:pPr>
        <w:spacing w:after="0" w:line="252"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spacing w:after="0" w:line="23" w:lineRule="exact"/>
        <w:rPr>
          <w:rFonts w:ascii="Arial" w:cs="Arial" w:eastAsia="Arial" w:hAnsi="Arial"/>
          <w:sz w:val="18"/>
          <w:szCs w:val="18"/>
          <w:color w:val="auto"/>
        </w:rPr>
      </w:pPr>
    </w:p>
    <w:p>
      <w:pPr>
        <w:ind w:left="260" w:right="20" w:hanging="252"/>
        <w:spacing w:after="0" w:line="281" w:lineRule="auto"/>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260" w:right="480" w:hanging="252"/>
        <w:spacing w:after="0" w:line="265" w:lineRule="auto"/>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81" w:lineRule="exact"/>
        <w:rPr>
          <w:rFonts w:ascii="Arial" w:cs="Arial" w:eastAsia="Arial" w:hAnsi="Arial"/>
          <w:sz w:val="18"/>
          <w:szCs w:val="18"/>
          <w:color w:val="auto"/>
        </w:rPr>
      </w:pPr>
    </w:p>
    <w:p>
      <w:pPr>
        <w:ind w:left="1800" w:right="60" w:hanging="820"/>
        <w:spacing w:after="0" w:line="286" w:lineRule="auto"/>
        <w:tabs>
          <w:tab w:leader="none" w:pos="1791"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800" w:right="380" w:hanging="820"/>
        <w:spacing w:after="0" w:line="286" w:lineRule="auto"/>
        <w:tabs>
          <w:tab w:leader="none" w:pos="1788"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800" w:right="20" w:hanging="820"/>
        <w:spacing w:after="0" w:line="263" w:lineRule="auto"/>
        <w:tabs>
          <w:tab w:leader="none" w:pos="1791"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800" w:right="120" w:hanging="820"/>
        <w:spacing w:after="0" w:line="286" w:lineRule="auto"/>
        <w:tabs>
          <w:tab w:leader="none" w:pos="1788"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260" w:right="420" w:hanging="252"/>
        <w:spacing w:after="0" w:line="308" w:lineRule="auto"/>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800" w:right="60" w:hanging="820"/>
        <w:spacing w:after="0" w:line="342" w:lineRule="auto"/>
        <w:tabs>
          <w:tab w:leader="none" w:pos="1791"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right="260" w:hanging="820"/>
        <w:spacing w:after="0" w:line="277" w:lineRule="auto"/>
        <w:tabs>
          <w:tab w:leader="none" w:pos="17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Arial" w:cs="Arial" w:eastAsia="Arial" w:hAnsi="Arial"/>
                <w:sz w:val="18"/>
                <w:szCs w:val="18"/>
                <w:color w:val="auto"/>
              </w:rPr>
              <w:t>Date: November 14, 2023</w:t>
            </w:r>
          </w:p>
        </w:tc>
        <w:tc>
          <w:tcPr>
            <w:tcW w:w="1400" w:type="dxa"/>
            <w:vAlign w:val="bottom"/>
          </w:tcPr>
          <w:p>
            <w:pPr>
              <w:ind w:left="720"/>
              <w:spacing w:after="0"/>
              <w:rPr>
                <w:sz w:val="20"/>
                <w:szCs w:val="20"/>
                <w:color w:val="auto"/>
              </w:rPr>
            </w:pPr>
            <w:r>
              <w:rPr>
                <w:rFonts w:ascii="Arial" w:cs="Arial" w:eastAsia="Arial" w:hAnsi="Arial"/>
                <w:sz w:val="18"/>
                <w:szCs w:val="18"/>
                <w:color w:val="auto"/>
              </w:rPr>
              <w:t>By:</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Patrik Jeanmonod</w:t>
            </w:r>
          </w:p>
        </w:tc>
        <w:tc>
          <w:tcPr>
            <w:tcW w:w="780" w:type="dxa"/>
            <w:vAlign w:val="bottom"/>
          </w:tcPr>
          <w:p>
            <w:pPr>
              <w:spacing w:after="0"/>
              <w:rPr>
                <w:sz w:val="18"/>
                <w:szCs w:val="18"/>
                <w:color w:val="auto"/>
              </w:rPr>
            </w:pPr>
          </w:p>
        </w:tc>
      </w:tr>
      <w:tr>
        <w:trPr>
          <w:trHeight w:val="249"/>
        </w:trPr>
        <w:tc>
          <w:tcPr>
            <w:tcW w:w="2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Patrik Jeanmonod</w:t>
            </w:r>
          </w:p>
        </w:tc>
      </w:tr>
      <w:tr>
        <w:trPr>
          <w:trHeight w:val="230"/>
        </w:trPr>
        <w:tc>
          <w:tcPr>
            <w:tcW w:w="26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w:t>
            </w:r>
          </w:p>
        </w:tc>
      </w:tr>
      <w:tr>
        <w:trPr>
          <w:trHeight w:val="230"/>
        </w:trPr>
        <w:tc>
          <w:tcPr>
            <w:tcW w:w="2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240"/>
          </w:cols>
          <w:pgMar w:left="320" w:top="1039"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September 30, 2023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79" w:lineRule="exact"/>
        <w:rPr>
          <w:sz w:val="20"/>
          <w:szCs w:val="20"/>
          <w:color w:val="auto"/>
        </w:rPr>
      </w:pPr>
    </w:p>
    <w:p>
      <w:pPr>
        <w:ind w:left="1620" w:hanging="1045"/>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1620" w:hanging="1045"/>
        <w:spacing w:after="0" w:line="277" w:lineRule="auto"/>
        <w:tabs>
          <w:tab w:leader="none" w:pos="16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20"/>
        <w:spacing w:after="0"/>
        <w:tabs>
          <w:tab w:leader="none" w:pos="3320" w:val="left"/>
          <w:tab w:leader="none" w:pos="400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Wenbin Jiang, Ph.D.</w:t>
      </w:r>
    </w:p>
    <w:p>
      <w:pPr>
        <w:spacing w:after="0" w:line="6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Wenbin Jiang, Ph.D.</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39" w:right="339" w:bottom="1440" w:gutter="0" w:footer="0" w:header="0"/>
        </w:sectPr>
      </w:pPr>
    </w:p>
    <w:bookmarkStart w:id="92" w:name="page93"/>
    <w:bookmarkEnd w:id="92"/>
    <w:p>
      <w:pPr>
        <w:ind w:left="10200"/>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jc w:val="both"/>
        <w:ind w:right="60" w:firstLine="1296"/>
        <w:spacing w:after="0" w:line="259"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September 30, 2023 as filed with the Securities and Exchange Commission on the date hereof (the “Report”), the undersigned, Patrik Jeanmonod, Chief Financial Officer of the Company, hereby certifies, pursuant to requirements set forth in Rule 13a-14(b) of the Securities Exchange Act of 1934, as amended (the “Exchange Act”), and 18 U.S.C. Section 1350, that to his knowledge:</w:t>
      </w:r>
    </w:p>
    <w:p>
      <w:pPr>
        <w:spacing w:after="0" w:line="79" w:lineRule="exact"/>
        <w:rPr>
          <w:sz w:val="20"/>
          <w:szCs w:val="20"/>
          <w:color w:val="auto"/>
        </w:rPr>
      </w:pPr>
    </w:p>
    <w:p>
      <w:pPr>
        <w:ind w:left="1620" w:hanging="1045"/>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1620" w:hanging="1045"/>
        <w:spacing w:after="0" w:line="277" w:lineRule="auto"/>
        <w:tabs>
          <w:tab w:leader="none" w:pos="16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700"/>
        <w:spacing w:after="0"/>
        <w:tabs>
          <w:tab w:leader="none" w:pos="3320" w:val="left"/>
          <w:tab w:leader="none" w:pos="428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Patrik Jeanmonod</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Patrik Jeanmonod</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20"/>
      </w:cols>
      <w:pgMar w:left="320" w:top="103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lowerLetter"/>
      <w:start w:val="2"/>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1"/>
    </w:lvl>
  </w:abstractNum>
  <w:abstractNum w:abstractNumId="5">
    <w:nsid w:val="333AB105"/>
    <w:multiLevelType w:val="hybridMultilevel"/>
    <w:lvl w:ilvl="0">
      <w:lvlJc w:val="left"/>
      <w:lvlText w:val="(%1)"/>
      <w:numFmt w:val="lowerRoman"/>
      <w:start w:val="3"/>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emdash "/>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07" Type="http://schemas.openxmlformats.org/officeDocument/2006/relationships/hyperlink" Target="https://www.sec.gov/Archives/edgar/data/1831915/000119312521225716/d183956dex31.htm" TargetMode="External"/><Relationship Id="rId108"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2023-11-14T17:07:05Z</dcterms:created>
  <dcterms:modified xsi:type="dcterms:W3CDTF">2023-11-14T17:07:05Z</dcterms:modified>
</cp:coreProperties>
</file>