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 FOR THE TRANSITION PERIOD FROM                     TO                     </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001-40632</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CYTEK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4980" w:type="dxa"/>
        <w:jc w:val="left"/>
        <w:tblInd w:w="0" w:type="dxa"/>
        <w:tblLayout w:type="fixed"/>
        <w:tblCellMar>
          <w:top w:w="28" w:type="dxa"/>
          <w:left w:w="28" w:type="dxa"/>
          <w:bottom w:w="28" w:type="dxa"/>
          <w:right w:w="28" w:type="dxa"/>
        </w:tblCellMar>
      </w:tblPr>
      <w:tblGrid>
        <w:gridCol w:w="1363"/>
        <w:gridCol w:w="1197"/>
        <w:gridCol w:w="1205"/>
        <w:gridCol w:w="355"/>
        <w:gridCol w:w="355"/>
        <w:gridCol w:w="505"/>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47-2547526</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b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br/>
              <w:t>Identification No.)</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47215 Lakeview Blvd. Fremont, California</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94538</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60" w:after="283"/>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20"/>
        </w:rPr>
        <w:t>(877) 922-9835</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6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Securities registered pursuant to Section 12(b) of the Act: </w:t>
      </w:r>
    </w:p>
    <w:tbl>
      <w:tblPr>
        <w:tblW w:w="8572" w:type="dxa"/>
        <w:jc w:val="left"/>
        <w:tblInd w:w="0" w:type="dxa"/>
        <w:tblLayout w:type="fixed"/>
        <w:tblCellMar>
          <w:top w:w="28" w:type="dxa"/>
          <w:left w:w="28" w:type="dxa"/>
          <w:bottom w:w="28" w:type="dxa"/>
          <w:right w:w="28" w:type="dxa"/>
        </w:tblCellMar>
      </w:tblPr>
      <w:tblGrid>
        <w:gridCol w:w="1185"/>
        <w:gridCol w:w="1035"/>
        <w:gridCol w:w="1049"/>
        <w:gridCol w:w="109"/>
        <w:gridCol w:w="109"/>
        <w:gridCol w:w="109"/>
        <w:gridCol w:w="474"/>
        <w:gridCol w:w="474"/>
        <w:gridCol w:w="476"/>
        <w:gridCol w:w="109"/>
        <w:gridCol w:w="109"/>
        <w:gridCol w:w="109"/>
        <w:gridCol w:w="945"/>
        <w:gridCol w:w="945"/>
        <w:gridCol w:w="1335"/>
      </w:tblGrid>
      <w:tr>
        <w:trPr/>
        <w:tc>
          <w:tcPr>
            <w:tcW w:w="1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CTKB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The Nasdaq Global Select Market </w:t>
            </w:r>
          </w:p>
        </w:tc>
      </w:tr>
    </w:tbl>
    <w:p>
      <w:pPr>
        <w:pStyle w:val="TextBody"/>
        <w:bidi w:val="0"/>
        <w:spacing w:lineRule="auto" w:line="288" w:before="60" w:after="283"/>
        <w:jc w:val="left"/>
        <w:rPr/>
      </w:pPr>
      <w:r>
        <w:rPr>
          <w:rFonts w:ascii="Times New Roman;serif" w:hAnsi="Times New Roman;serif"/>
          <w:b w:val="false"/>
          <w:color w:val="000000"/>
          <w:sz w:val="16"/>
        </w:rPr>
        <w:t xml:space="preserve">Securities registered pursuant to Section 12(g) of the Act: </w:t>
      </w:r>
      <w:r>
        <w:rPr>
          <w:rFonts w:ascii="Times New Roman;serif" w:hAnsi="Times New Roman;serif"/>
          <w:b/>
          <w:color w:val="000000"/>
          <w:sz w:val="16"/>
        </w:rPr>
        <w:t xml:space="preserve">None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15(d) of the Act. YES ☐ NO ☒</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30"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109"/>
        <w:gridCol w:w="109"/>
        <w:gridCol w:w="109"/>
        <w:gridCol w:w="669"/>
        <w:gridCol w:w="669"/>
        <w:gridCol w:w="672"/>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7"/>
                <w:shd w:fill="FFFFFF" w:val="clear"/>
              </w:rPr>
            </w:pPr>
            <w:r>
              <w:rPr>
                <w:rFonts w:ascii="Wingdings;sans-serif" w:hAnsi="Wingdings;sans-serif"/>
                <w:b w:val="false"/>
                <w:color w:val="000000"/>
                <w:sz w:val="17"/>
                <w:shd w:fill="FFFFFF" w:val="clear"/>
              </w:rPr>
              <w:t>x</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bl>
    <w:p>
      <w:pPr>
        <w:pStyle w:val="TextBody"/>
        <w:bidi w:val="0"/>
        <w:spacing w:lineRule="auto" w:line="288" w:before="6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 xml:space="preserve">The aggregate market value of registrant’s voting and non-voting common stock held by non-affiliates of registrant on </w:t>
      </w:r>
      <w:r>
        <w:rPr>
          <w:rFonts w:ascii="Times New Roman;serif" w:hAnsi="Times New Roman;serif"/>
          <w:b w:val="false"/>
          <w:color w:val="000000"/>
          <w:sz w:val="16"/>
          <w:shd w:fill="FFFFFF" w:val="clear"/>
        </w:rPr>
        <w:t>June 30, 2025</w:t>
      </w:r>
      <w:r>
        <w:rPr>
          <w:rFonts w:ascii="Times New Roman;serif" w:hAnsi="Times New Roman;serif"/>
          <w:b w:val="false"/>
          <w:color w:val="000000"/>
          <w:sz w:val="16"/>
        </w:rPr>
        <w:t xml:space="preserve">, the last business day of the registrant’s most recently completed second fiscal quarter, was approximately </w:t>
      </w:r>
      <w:r>
        <w:rPr>
          <w:rFonts w:ascii="Times New Roman;serif" w:hAnsi="Times New Roman;serif"/>
          <w:b w:val="false"/>
          <w:color w:val="000000"/>
          <w:sz w:val="16"/>
          <w:shd w:fill="FFFFFF" w:val="clear"/>
        </w:rPr>
        <w:t>$393 million</w:t>
      </w:r>
      <w:r>
        <w:rPr>
          <w:rFonts w:ascii="Times New Roman;serif" w:hAnsi="Times New Roman;serif"/>
          <w:b w:val="false"/>
          <w:color w:val="000000"/>
          <w:sz w:val="16"/>
        </w:rPr>
        <w:t>, based upon the closing sale price of the common stock as reported on The Nasdaq Global Select Market. Shares of common stock held by each officer and director have been excluded in that such persons may be deemed to be affiliates. This determination of affiliate status is not a conclusive determination for other purposes.</w:t>
      </w:r>
    </w:p>
    <w:p>
      <w:pPr>
        <w:pStyle w:val="TextBody"/>
        <w:bidi w:val="0"/>
        <w:spacing w:lineRule="auto" w:line="288" w:before="60" w:after="283"/>
        <w:jc w:val="left"/>
        <w:rPr/>
      </w:pPr>
      <w:r>
        <w:rPr>
          <w:rFonts w:ascii="Times New Roman;serif" w:hAnsi="Times New Roman;serif"/>
          <w:b w:val="false"/>
          <w:color w:val="000000"/>
          <w:sz w:val="16"/>
        </w:rPr>
        <w:t>The number of shares of Registrant’s common stock outstanding as of</w:t>
      </w:r>
      <w:r>
        <w:rPr>
          <w:color w:val="000000"/>
          <w:shd w:fill="FFFFFF" w:val="clear"/>
        </w:rPr>
        <w:t xml:space="preserve"> </w:t>
      </w:r>
      <w:r>
        <w:rPr>
          <w:rFonts w:ascii="Times New Roman;serif" w:hAnsi="Times New Roman;serif"/>
          <w:b w:val="false"/>
          <w:color w:val="000000"/>
          <w:sz w:val="16"/>
          <w:shd w:fill="FFFFFF" w:val="clear"/>
        </w:rPr>
        <w:t xml:space="preserve">February 17, 2026 was </w:t>
      </w:r>
      <w:r>
        <w:rPr>
          <w:rFonts w:ascii="Times New Roman;serif" w:hAnsi="Times New Roman;serif"/>
          <w:b w:val="false"/>
          <w:color w:val="000000"/>
          <w:sz w:val="16"/>
        </w:rPr>
        <w:t>128,550,136</w:t>
      </w:r>
      <w:r>
        <w:rPr>
          <w:rFonts w:ascii="Times New Roman;serif" w:hAnsi="Times New Roman;serif"/>
          <w:b w:val="false"/>
          <w:color w:val="000000"/>
          <w:sz w:val="16"/>
          <w:shd w:fill="FFFFFF" w:val="clear"/>
        </w:rPr>
        <w:t>.</w:t>
      </w:r>
      <w:r>
        <w:rPr>
          <w:color w:val="000000"/>
        </w:rPr>
        <w:t xml:space="preserve">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the Registrant’s 2025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47"/>
        <w:gridCol w:w="479"/>
        <w:gridCol w:w="486"/>
        <w:gridCol w:w="2748"/>
        <w:gridCol w:w="2711"/>
        <w:gridCol w:w="2720"/>
        <w:gridCol w:w="149"/>
        <w:gridCol w:w="149"/>
        <w:gridCol w:w="216"/>
      </w:tblGrid>
      <w:tr>
        <w:trPr/>
        <w:tc>
          <w:tcPr>
            <w:tcW w:w="5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3">
              <w:r>
                <w:rPr>
                  <w:rStyle w:val="InternetLink"/>
                  <w:rFonts w:ascii="Times New Roman;serif" w:hAnsi="Times New Roman;serif"/>
                  <w:b/>
                  <w:strike w:val="false"/>
                  <w:dstrike w:val="false"/>
                  <w:color w:val="000000"/>
                  <w:sz w:val="20"/>
                  <w:u w:val="none"/>
                  <w:effect w:val="none"/>
                </w:rPr>
                <w:t>PART I</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6">
              <w:r>
                <w:rPr>
                  <w:rStyle w:val="InternetLink"/>
                  <w:rFonts w:ascii="Times New Roman;serif" w:hAnsi="Times New Roman;serif"/>
                  <w:b w:val="false"/>
                  <w:strike w:val="false"/>
                  <w:dstrike w:val="false"/>
                  <w:color w:val="000000"/>
                  <w:sz w:val="20"/>
                  <w:u w:val="none"/>
                  <w:effect w:val="none"/>
                </w:rPr>
                <w:t>Item 1.</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6">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16">
              <w:r>
                <w:rPr>
                  <w:rStyle w:val="InternetLink"/>
                  <w:rFonts w:ascii="Times New Roman;serif" w:hAnsi="Times New Roman;serif"/>
                  <w:b w:val="false"/>
                  <w:strike w:val="false"/>
                  <w:dstrike w:val="false"/>
                  <w:color w:val="000000"/>
                  <w:sz w:val="20"/>
                  <w:u w:val="none"/>
                  <w:effect w:val="none"/>
                </w:rPr>
                <w:t>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9">
              <w:r>
                <w:rPr>
                  <w:rStyle w:val="InternetLink"/>
                  <w:rFonts w:ascii="Times New Roman;serif" w:hAnsi="Times New Roman;serif"/>
                  <w:b w:val="false"/>
                  <w:strike w:val="false"/>
                  <w:dstrike w:val="false"/>
                  <w:color w:val="000000"/>
                  <w:sz w:val="20"/>
                  <w:u w:val="none"/>
                  <w:effect w:val="none"/>
                </w:rPr>
                <w:t>Item 1A.</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9">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19">
              <w:r>
                <w:rPr>
                  <w:rStyle w:val="InternetLink"/>
                  <w:rFonts w:ascii="Times New Roman;serif" w:hAnsi="Times New Roman;serif"/>
                  <w:b w:val="false"/>
                  <w:strike w:val="false"/>
                  <w:dstrike w:val="false"/>
                  <w:color w:val="000000"/>
                  <w:sz w:val="20"/>
                  <w:u w:val="none"/>
                  <w:effect w:val="none"/>
                </w:rPr>
                <w:t>22</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2">
              <w:r>
                <w:rPr>
                  <w:rStyle w:val="InternetLink"/>
                  <w:rFonts w:ascii="Times New Roman;serif" w:hAnsi="Times New Roman;serif"/>
                  <w:b w:val="false"/>
                  <w:strike w:val="false"/>
                  <w:dstrike w:val="false"/>
                  <w:color w:val="000000"/>
                  <w:sz w:val="20"/>
                  <w:u w:val="none"/>
                  <w:effect w:val="none"/>
                </w:rPr>
                <w:t>Item 1B.</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2">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2">
              <w:r>
                <w:rPr>
                  <w:rStyle w:val="InternetLink"/>
                  <w:rFonts w:ascii="Times New Roman;serif" w:hAnsi="Times New Roman;serif"/>
                  <w:b w:val="false"/>
                  <w:strike w:val="false"/>
                  <w:dstrike w:val="false"/>
                  <w:color w:val="000000"/>
                  <w:sz w:val="20"/>
                  <w:u w:val="none"/>
                  <w:effect w:val="none"/>
                </w:rPr>
                <w:t>66</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5">
              <w:r>
                <w:rPr>
                  <w:rStyle w:val="InternetLink"/>
                  <w:rFonts w:ascii="Times New Roman;serif" w:hAnsi="Times New Roman;serif"/>
                  <w:b w:val="false"/>
                  <w:strike w:val="false"/>
                  <w:dstrike w:val="false"/>
                  <w:color w:val="000000"/>
                  <w:sz w:val="20"/>
                  <w:u w:val="none"/>
                  <w:effect w:val="none"/>
                </w:rPr>
                <w:t>Item 1C.</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5">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5">
              <w:r>
                <w:rPr>
                  <w:rStyle w:val="InternetLink"/>
                  <w:rFonts w:ascii="Times New Roman;serif" w:hAnsi="Times New Roman;serif"/>
                  <w:b w:val="false"/>
                  <w:strike w:val="false"/>
                  <w:dstrike w:val="false"/>
                  <w:color w:val="000000"/>
                  <w:sz w:val="20"/>
                  <w:u w:val="none"/>
                  <w:effect w:val="none"/>
                </w:rPr>
                <w:t>66</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8">
              <w:r>
                <w:rPr>
                  <w:rStyle w:val="InternetLink"/>
                  <w:rFonts w:ascii="Times New Roman;serif" w:hAnsi="Times New Roman;serif"/>
                  <w:b w:val="false"/>
                  <w:strike w:val="false"/>
                  <w:dstrike w:val="false"/>
                  <w:color w:val="000000"/>
                  <w:sz w:val="20"/>
                  <w:u w:val="none"/>
                  <w:effect w:val="none"/>
                </w:rPr>
                <w:t>Item 2.</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8">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8">
              <w:r>
                <w:rPr>
                  <w:rStyle w:val="InternetLink"/>
                  <w:rFonts w:ascii="Times New Roman;serif" w:hAnsi="Times New Roman;serif"/>
                  <w:b w:val="false"/>
                  <w:strike w:val="false"/>
                  <w:dstrike w:val="false"/>
                  <w:color w:val="000000"/>
                  <w:sz w:val="20"/>
                  <w:u w:val="none"/>
                  <w:effect w:val="none"/>
                </w:rPr>
                <w:t>67</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31">
              <w:r>
                <w:rPr>
                  <w:rStyle w:val="InternetLink"/>
                  <w:rFonts w:ascii="Times New Roman;serif" w:hAnsi="Times New Roman;serif"/>
                  <w:b w:val="false"/>
                  <w:strike w:val="false"/>
                  <w:dstrike w:val="false"/>
                  <w:color w:val="000000"/>
                  <w:sz w:val="20"/>
                  <w:u w:val="none"/>
                  <w:effect w:val="none"/>
                </w:rPr>
                <w:t>Item 3.</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3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31">
              <w:r>
                <w:rPr>
                  <w:rStyle w:val="InternetLink"/>
                  <w:rFonts w:ascii="Times New Roman;serif" w:hAnsi="Times New Roman;serif"/>
                  <w:b w:val="false"/>
                  <w:strike w:val="false"/>
                  <w:dstrike w:val="false"/>
                  <w:color w:val="000000"/>
                  <w:sz w:val="20"/>
                  <w:u w:val="none"/>
                  <w:effect w:val="none"/>
                </w:rPr>
                <w:t>68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34">
              <w:r>
                <w:rPr>
                  <w:rStyle w:val="InternetLink"/>
                  <w:rFonts w:ascii="Times New Roman;serif" w:hAnsi="Times New Roman;serif"/>
                  <w:b w:val="false"/>
                  <w:strike w:val="false"/>
                  <w:dstrike w:val="false"/>
                  <w:color w:val="000000"/>
                  <w:sz w:val="20"/>
                  <w:u w:val="none"/>
                  <w:effect w:val="none"/>
                </w:rPr>
                <w:t>Item 4.</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34">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34">
              <w:r>
                <w:rPr>
                  <w:rStyle w:val="InternetLink"/>
                  <w:rFonts w:ascii="Times New Roman;serif" w:hAnsi="Times New Roman;serif"/>
                  <w:b w:val="false"/>
                  <w:strike w:val="false"/>
                  <w:dstrike w:val="false"/>
                  <w:color w:val="000000"/>
                  <w:sz w:val="20"/>
                  <w:u w:val="none"/>
                  <w:effect w:val="none"/>
                </w:rPr>
                <w:t>68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37">
              <w:r>
                <w:rPr>
                  <w:rStyle w:val="InternetLink"/>
                  <w:rFonts w:ascii="Times New Roman;serif" w:hAnsi="Times New Roman;serif"/>
                  <w:b/>
                  <w:strike w:val="false"/>
                  <w:dstrike w:val="false"/>
                  <w:color w:val="000000"/>
                  <w:sz w:val="20"/>
                  <w:u w:val="none"/>
                  <w:effect w:val="none"/>
                </w:rPr>
                <w:t>PART II</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40">
              <w:r>
                <w:rPr>
                  <w:rStyle w:val="InternetLink"/>
                  <w:rFonts w:ascii="Times New Roman;serif" w:hAnsi="Times New Roman;serif"/>
                  <w:b w:val="false"/>
                  <w:strike w:val="false"/>
                  <w:dstrike w:val="false"/>
                  <w:color w:val="000000"/>
                  <w:sz w:val="20"/>
                  <w:u w:val="none"/>
                  <w:effect w:val="none"/>
                </w:rPr>
                <w:t>Item 5.</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40">
              <w:r>
                <w:rPr>
                  <w:rStyle w:val="InternetLink"/>
                  <w:rFonts w:ascii="Times New Roman;serif" w:hAnsi="Times New Roman;serif"/>
                  <w:b w:val="false"/>
                  <w:strike w:val="false"/>
                  <w:dstrike w:val="false"/>
                  <w:color w:val="000000"/>
                  <w:sz w:val="20"/>
                  <w:u w:val="none"/>
                  <w:effect w:val="none"/>
                </w:rPr>
                <w:t>69</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43">
              <w:r>
                <w:rPr>
                  <w:rStyle w:val="InternetLink"/>
                  <w:rFonts w:ascii="Times New Roman;serif" w:hAnsi="Times New Roman;serif"/>
                  <w:b w:val="false"/>
                  <w:strike w:val="false"/>
                  <w:dstrike w:val="false"/>
                  <w:color w:val="000000"/>
                  <w:sz w:val="20"/>
                  <w:u w:val="none"/>
                  <w:effect w:val="none"/>
                </w:rPr>
                <w:t>Item 6.</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43">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43">
              <w:r>
                <w:rPr>
                  <w:rStyle w:val="InternetLink"/>
                  <w:rFonts w:ascii="Times New Roman;serif" w:hAnsi="Times New Roman;serif"/>
                  <w:b w:val="false"/>
                  <w:strike w:val="false"/>
                  <w:dstrike w:val="false"/>
                  <w:color w:val="000000"/>
                  <w:sz w:val="20"/>
                  <w:u w:val="none"/>
                  <w:effect w:val="none"/>
                </w:rPr>
                <w:t>71</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46">
              <w:r>
                <w:rPr>
                  <w:rStyle w:val="InternetLink"/>
                  <w:rFonts w:ascii="Times New Roman;serif" w:hAnsi="Times New Roman;serif"/>
                  <w:b w:val="false"/>
                  <w:strike w:val="false"/>
                  <w:dstrike w:val="false"/>
                  <w:color w:val="000000"/>
                  <w:sz w:val="20"/>
                  <w:u w:val="none"/>
                  <w:effect w:val="none"/>
                </w:rPr>
                <w:t>Item 7.</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46">
              <w:r>
                <w:rPr>
                  <w:rStyle w:val="InternetLink"/>
                  <w:rFonts w:ascii="Times New Roman;serif" w:hAnsi="Times New Roman;serif"/>
                  <w:b w:val="false"/>
                  <w:strike w:val="false"/>
                  <w:dstrike w:val="false"/>
                  <w:color w:val="000000"/>
                  <w:sz w:val="20"/>
                  <w:u w:val="none"/>
                  <w:effect w:val="none"/>
                </w:rPr>
                <w:t>72</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85">
              <w:r>
                <w:rPr>
                  <w:rStyle w:val="InternetLink"/>
                  <w:rFonts w:ascii="Times New Roman;serif" w:hAnsi="Times New Roman;serif"/>
                  <w:b w:val="false"/>
                  <w:strike w:val="false"/>
                  <w:dstrike w:val="false"/>
                  <w:color w:val="000000"/>
                  <w:sz w:val="20"/>
                  <w:u w:val="none"/>
                  <w:effect w:val="none"/>
                </w:rPr>
                <w:t>Item 7A.</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85">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85">
              <w:r>
                <w:rPr>
                  <w:rStyle w:val="InternetLink"/>
                  <w:rFonts w:ascii="Times New Roman;serif" w:hAnsi="Times New Roman;serif"/>
                  <w:b w:val="false"/>
                  <w:strike w:val="false"/>
                  <w:dstrike w:val="false"/>
                  <w:color w:val="000000"/>
                  <w:sz w:val="20"/>
                  <w:u w:val="none"/>
                  <w:effect w:val="none"/>
                </w:rPr>
                <w:t>86</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88">
              <w:r>
                <w:rPr>
                  <w:rStyle w:val="InternetLink"/>
                  <w:rFonts w:ascii="Times New Roman;serif" w:hAnsi="Times New Roman;serif"/>
                  <w:b w:val="false"/>
                  <w:strike w:val="false"/>
                  <w:dstrike w:val="false"/>
                  <w:color w:val="000000"/>
                  <w:sz w:val="20"/>
                  <w:u w:val="none"/>
                  <w:effect w:val="none"/>
                </w:rPr>
                <w:t>Item 8.</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88">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88">
              <w:r>
                <w:rPr>
                  <w:rStyle w:val="InternetLink"/>
                  <w:rFonts w:ascii="Times New Roman;serif" w:hAnsi="Times New Roman;serif"/>
                  <w:b w:val="false"/>
                  <w:strike w:val="false"/>
                  <w:dstrike w:val="false"/>
                  <w:color w:val="000000"/>
                  <w:sz w:val="20"/>
                  <w:u w:val="none"/>
                  <w:effect w:val="none"/>
                </w:rPr>
                <w:t>87</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81">
              <w:r>
                <w:rPr>
                  <w:rStyle w:val="InternetLink"/>
                  <w:rFonts w:ascii="Times New Roman;serif" w:hAnsi="Times New Roman;serif"/>
                  <w:b w:val="false"/>
                  <w:strike w:val="false"/>
                  <w:dstrike w:val="false"/>
                  <w:color w:val="000000"/>
                  <w:sz w:val="20"/>
                  <w:u w:val="none"/>
                  <w:effect w:val="none"/>
                </w:rPr>
                <w:t>Item 9.</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8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181">
              <w:r>
                <w:rPr>
                  <w:rStyle w:val="InternetLink"/>
                  <w:rFonts w:ascii="Times New Roman;serif" w:hAnsi="Times New Roman;serif"/>
                  <w:b w:val="false"/>
                  <w:strike w:val="false"/>
                  <w:dstrike w:val="false"/>
                  <w:color w:val="000000"/>
                  <w:sz w:val="20"/>
                  <w:u w:val="none"/>
                  <w:effect w:val="none"/>
                </w:rPr>
                <w:t>124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84">
              <w:r>
                <w:rPr>
                  <w:rStyle w:val="InternetLink"/>
                  <w:rFonts w:ascii="Times New Roman;serif" w:hAnsi="Times New Roman;serif"/>
                  <w:b w:val="false"/>
                  <w:strike w:val="false"/>
                  <w:dstrike w:val="false"/>
                  <w:color w:val="000000"/>
                  <w:sz w:val="20"/>
                  <w:u w:val="none"/>
                  <w:effect w:val="none"/>
                </w:rPr>
                <w:t>Item 9A.</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84">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184">
              <w:r>
                <w:rPr>
                  <w:rStyle w:val="InternetLink"/>
                  <w:rFonts w:ascii="Times New Roman;serif" w:hAnsi="Times New Roman;serif"/>
                  <w:b w:val="false"/>
                  <w:strike w:val="false"/>
                  <w:dstrike w:val="false"/>
                  <w:color w:val="000000"/>
                  <w:sz w:val="20"/>
                  <w:u w:val="none"/>
                  <w:effect w:val="none"/>
                </w:rPr>
                <w:t>124</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87">
              <w:r>
                <w:rPr>
                  <w:rStyle w:val="InternetLink"/>
                  <w:rFonts w:ascii="Times New Roman;serif" w:hAnsi="Times New Roman;serif"/>
                  <w:b w:val="false"/>
                  <w:strike w:val="false"/>
                  <w:dstrike w:val="false"/>
                  <w:color w:val="000000"/>
                  <w:sz w:val="20"/>
                  <w:u w:val="none"/>
                  <w:effect w:val="none"/>
                </w:rPr>
                <w:t>Item 9B.</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87">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187">
              <w:r>
                <w:rPr>
                  <w:rStyle w:val="InternetLink"/>
                  <w:rFonts w:ascii="Times New Roman;serif" w:hAnsi="Times New Roman;serif"/>
                  <w:b w:val="false"/>
                  <w:strike w:val="false"/>
                  <w:dstrike w:val="false"/>
                  <w:color w:val="000000"/>
                  <w:sz w:val="20"/>
                  <w:u w:val="none"/>
                  <w:effect w:val="none"/>
                </w:rPr>
                <w:t>127</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93">
              <w:r>
                <w:rPr>
                  <w:rStyle w:val="InternetLink"/>
                  <w:rFonts w:ascii="Times New Roman;serif" w:hAnsi="Times New Roman;serif"/>
                  <w:b w:val="false"/>
                  <w:strike w:val="false"/>
                  <w:dstrike w:val="false"/>
                  <w:color w:val="000000"/>
                  <w:sz w:val="20"/>
                  <w:u w:val="none"/>
                  <w:effect w:val="none"/>
                </w:rPr>
                <w:t>Item 9C.</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93">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193">
              <w:r>
                <w:rPr>
                  <w:rStyle w:val="InternetLink"/>
                  <w:rFonts w:ascii="Times New Roman;serif" w:hAnsi="Times New Roman;serif"/>
                  <w:b w:val="false"/>
                  <w:strike w:val="false"/>
                  <w:dstrike w:val="false"/>
                  <w:color w:val="000000"/>
                  <w:sz w:val="20"/>
                  <w:u w:val="none"/>
                  <w:effect w:val="none"/>
                </w:rPr>
                <w:t>127</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96">
              <w:r>
                <w:rPr>
                  <w:rStyle w:val="InternetLink"/>
                  <w:rFonts w:ascii="Times New Roman;serif" w:hAnsi="Times New Roman;serif"/>
                  <w:b/>
                  <w:strike w:val="false"/>
                  <w:dstrike w:val="false"/>
                  <w:color w:val="000000"/>
                  <w:sz w:val="20"/>
                  <w:u w:val="none"/>
                  <w:effect w:val="none"/>
                </w:rPr>
                <w:t>PART III</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99">
              <w:r>
                <w:rPr>
                  <w:rStyle w:val="InternetLink"/>
                  <w:rFonts w:ascii="Times New Roman;serif" w:hAnsi="Times New Roman;serif"/>
                  <w:b w:val="false"/>
                  <w:strike w:val="false"/>
                  <w:dstrike w:val="false"/>
                  <w:color w:val="000000"/>
                  <w:sz w:val="20"/>
                  <w:u w:val="none"/>
                  <w:effect w:val="none"/>
                </w:rPr>
                <w:t>Item 10.</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99">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199">
              <w:r>
                <w:rPr>
                  <w:rStyle w:val="InternetLink"/>
                  <w:rFonts w:ascii="Times New Roman;serif" w:hAnsi="Times New Roman;serif"/>
                  <w:b w:val="false"/>
                  <w:strike w:val="false"/>
                  <w:dstrike w:val="false"/>
                  <w:color w:val="000000"/>
                  <w:sz w:val="20"/>
                  <w:u w:val="none"/>
                  <w:effect w:val="none"/>
                </w:rPr>
                <w:t>128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02">
              <w:r>
                <w:rPr>
                  <w:rStyle w:val="InternetLink"/>
                  <w:rFonts w:ascii="Times New Roman;serif" w:hAnsi="Times New Roman;serif"/>
                  <w:b w:val="false"/>
                  <w:strike w:val="false"/>
                  <w:dstrike w:val="false"/>
                  <w:color w:val="000000"/>
                  <w:sz w:val="20"/>
                  <w:u w:val="none"/>
                  <w:effect w:val="none"/>
                </w:rPr>
                <w:t>Item 11.</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02">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02">
              <w:r>
                <w:rPr>
                  <w:rStyle w:val="InternetLink"/>
                  <w:rFonts w:ascii="Times New Roman;serif" w:hAnsi="Times New Roman;serif"/>
                  <w:b w:val="false"/>
                  <w:strike w:val="false"/>
                  <w:dstrike w:val="false"/>
                  <w:color w:val="000000"/>
                  <w:sz w:val="20"/>
                  <w:u w:val="none"/>
                  <w:effect w:val="none"/>
                </w:rPr>
                <w:t>128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05">
              <w:r>
                <w:rPr>
                  <w:rStyle w:val="InternetLink"/>
                  <w:rFonts w:ascii="Times New Roman;serif" w:hAnsi="Times New Roman;serif"/>
                  <w:b w:val="false"/>
                  <w:strike w:val="false"/>
                  <w:dstrike w:val="false"/>
                  <w:color w:val="000000"/>
                  <w:sz w:val="20"/>
                  <w:u w:val="none"/>
                  <w:effect w:val="none"/>
                </w:rPr>
                <w:t>Item 12.</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0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05">
              <w:r>
                <w:rPr>
                  <w:rStyle w:val="InternetLink"/>
                  <w:rFonts w:ascii="Times New Roman;serif" w:hAnsi="Times New Roman;serif"/>
                  <w:b w:val="false"/>
                  <w:strike w:val="false"/>
                  <w:dstrike w:val="false"/>
                  <w:color w:val="000000"/>
                  <w:sz w:val="20"/>
                  <w:u w:val="none"/>
                  <w:effect w:val="none"/>
                </w:rPr>
                <w:t>128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08">
              <w:r>
                <w:rPr>
                  <w:rStyle w:val="InternetLink"/>
                  <w:rFonts w:ascii="Times New Roman;serif" w:hAnsi="Times New Roman;serif"/>
                  <w:b w:val="false"/>
                  <w:strike w:val="false"/>
                  <w:dstrike w:val="false"/>
                  <w:color w:val="000000"/>
                  <w:sz w:val="20"/>
                  <w:u w:val="none"/>
                  <w:effect w:val="none"/>
                </w:rPr>
                <w:t>Item 13.</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08">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08">
              <w:r>
                <w:rPr>
                  <w:rStyle w:val="InternetLink"/>
                  <w:rFonts w:ascii="Times New Roman;serif" w:hAnsi="Times New Roman;serif"/>
                  <w:b w:val="false"/>
                  <w:strike w:val="false"/>
                  <w:dstrike w:val="false"/>
                  <w:color w:val="000000"/>
                  <w:sz w:val="20"/>
                  <w:u w:val="none"/>
                  <w:effect w:val="none"/>
                </w:rPr>
                <w:t>128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11">
              <w:r>
                <w:rPr>
                  <w:rStyle w:val="InternetLink"/>
                  <w:rFonts w:ascii="Times New Roman;serif" w:hAnsi="Times New Roman;serif"/>
                  <w:b w:val="false"/>
                  <w:strike w:val="false"/>
                  <w:dstrike w:val="false"/>
                  <w:color w:val="000000"/>
                  <w:sz w:val="20"/>
                  <w:u w:val="none"/>
                  <w:effect w:val="none"/>
                </w:rPr>
                <w:t>Item 14.</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11">
              <w:r>
                <w:rPr>
                  <w:rStyle w:val="InternetLink"/>
                  <w:rFonts w:ascii="Times New Roman;serif" w:hAnsi="Times New Roman;serif"/>
                  <w:b w:val="false"/>
                  <w:color w:val="0000FF"/>
                  <w:sz w:val="20"/>
                  <w:u w:val="single"/>
                </w:rPr>
                <w:t>Principal Accountant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11">
              <w:r>
                <w:rPr>
                  <w:rStyle w:val="InternetLink"/>
                  <w:rFonts w:ascii="Times New Roman;serif" w:hAnsi="Times New Roman;serif"/>
                  <w:b w:val="false"/>
                  <w:strike w:val="false"/>
                  <w:dstrike w:val="false"/>
                  <w:color w:val="000000"/>
                  <w:sz w:val="20"/>
                  <w:u w:val="none"/>
                  <w:effect w:val="none"/>
                </w:rPr>
                <w:t>128</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14">
              <w:r>
                <w:rPr>
                  <w:rStyle w:val="InternetLink"/>
                  <w:rFonts w:ascii="Times New Roman;serif" w:hAnsi="Times New Roman;serif"/>
                  <w:b/>
                  <w:strike w:val="false"/>
                  <w:dstrike w:val="false"/>
                  <w:color w:val="000000"/>
                  <w:sz w:val="20"/>
                  <w:u w:val="none"/>
                  <w:effect w:val="none"/>
                </w:rPr>
                <w:t>PART IV</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17">
              <w:r>
                <w:rPr>
                  <w:rStyle w:val="InternetLink"/>
                  <w:rFonts w:ascii="Times New Roman;serif" w:hAnsi="Times New Roman;serif"/>
                  <w:b w:val="false"/>
                  <w:strike w:val="false"/>
                  <w:dstrike w:val="false"/>
                  <w:color w:val="000000"/>
                  <w:sz w:val="20"/>
                  <w:u w:val="none"/>
                  <w:effect w:val="none"/>
                </w:rPr>
                <w:t>Item 15.</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17">
              <w:r>
                <w:rPr>
                  <w:rStyle w:val="InternetLink"/>
                  <w:rFonts w:ascii="Times New Roman;serif" w:hAnsi="Times New Roman;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17">
              <w:r>
                <w:rPr>
                  <w:rStyle w:val="InternetLink"/>
                  <w:rFonts w:ascii="Times New Roman;serif" w:hAnsi="Times New Roman;serif"/>
                  <w:b w:val="false"/>
                  <w:strike w:val="false"/>
                  <w:dstrike w:val="false"/>
                  <w:color w:val="000000"/>
                  <w:sz w:val="20"/>
                  <w:u w:val="none"/>
                  <w:effect w:val="none"/>
                </w:rPr>
                <w:t>129</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20">
              <w:r>
                <w:rPr>
                  <w:rStyle w:val="InternetLink"/>
                  <w:rFonts w:ascii="Times New Roman;serif" w:hAnsi="Times New Roman;serif"/>
                  <w:b w:val="false"/>
                  <w:strike w:val="false"/>
                  <w:dstrike w:val="false"/>
                  <w:color w:val="000000"/>
                  <w:sz w:val="20"/>
                  <w:u w:val="none"/>
                  <w:effect w:val="none"/>
                </w:rPr>
                <w:t>Item 16.</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20">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20">
              <w:r>
                <w:rPr>
                  <w:rStyle w:val="InternetLink"/>
                  <w:rFonts w:ascii="Times New Roman;serif" w:hAnsi="Times New Roman;serif"/>
                  <w:b w:val="false"/>
                  <w:strike w:val="false"/>
                  <w:dstrike w:val="false"/>
                  <w:color w:val="000000"/>
                  <w:sz w:val="20"/>
                  <w:u w:val="none"/>
                  <w:effect w:val="none"/>
                </w:rPr>
                <w:t>132</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23">
              <w:r>
                <w:rPr>
                  <w:rStyle w:val="InternetLink"/>
                  <w:rFonts w:ascii="Times New Roman;serif" w:hAnsi="Times New Roman;serif"/>
                  <w:b w:val="false"/>
                  <w:color w:val="0000FF"/>
                  <w:sz w:val="20"/>
                  <w:u w:val="single"/>
                </w:rPr>
                <w:t>Signatures</w:t>
              </w:r>
            </w:hyperlink>
          </w:p>
        </w:tc>
        <w:tc>
          <w:tcPr>
            <w:tcW w:w="81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23">
              <w:r>
                <w:rPr>
                  <w:rStyle w:val="InternetLink"/>
                  <w:rFonts w:ascii="Times New Roman;serif" w:hAnsi="Times New Roman;serif"/>
                  <w:b w:val="false"/>
                  <w:strike w:val="false"/>
                  <w:dstrike w:val="false"/>
                  <w:color w:val="000000"/>
                  <w:sz w:val="20"/>
                  <w:u w:val="none"/>
                  <w:effect w:val="none"/>
                </w:rPr>
                <w:t>133</w:t>
              </w:r>
            </w:hyperlink>
          </w:p>
        </w:tc>
      </w:tr>
      <w:tr>
        <w:trPr/>
        <w:tc>
          <w:tcPr>
            <w:tcW w:w="15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26">
              <w:r>
                <w:rPr>
                  <w:rStyle w:val="InternetLink"/>
                  <w:rFonts w:ascii="Times New Roman;serif" w:hAnsi="Times New Roman;serif"/>
                  <w:b w:val="false"/>
                  <w:color w:val="0000FF"/>
                  <w:sz w:val="20"/>
                  <w:u w:val="single"/>
                </w:rPr>
                <w:t>Power of Attorney</w:t>
              </w:r>
            </w:hyperlink>
          </w:p>
        </w:tc>
        <w:tc>
          <w:tcPr>
            <w:tcW w:w="8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fad5bf94bc485da2c35b1f74849545_226">
              <w:r>
                <w:rPr>
                  <w:rStyle w:val="InternetLink"/>
                  <w:rFonts w:ascii="Times New Roman;serif" w:hAnsi="Times New Roman;serif"/>
                  <w:b w:val="false"/>
                  <w:strike w:val="false"/>
                  <w:dstrike w:val="false"/>
                  <w:color w:val="000000"/>
                  <w:sz w:val="20"/>
                  <w:u w:val="none"/>
                  <w:effect w:val="none"/>
                </w:rPr>
                <w:t>134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“would,” “become,” “forecast,” or the negative of these words or other similar terms or expressions.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the section titled “Risk Factors” and elsewhere in this Annual Report on Form 10-K, regarding, among other things: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expected future growth;</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size and growth potential of the markets for our products, and our ability to serve those markets;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accurately forecast demand for our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general economic and market conditions, including as a result of infectious disease outbreaks, seasonal demands, regulatory matters, economic recessions or slowdowns, the ongoing war in Ukraine, conflicts in the Middle East and the general inflationary environment;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rate and degree of market acceptance of our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expected future growth of our sales and marketing organization;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performance of, and our reliance on, third parties in connection with the commercialization of our products, including single-source suppliers and, in some cases, sole source suppliers;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accurately forecast and manufacture appropriate quantities of our products to meet commercial demand;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integrate the businesses we acquire and to achieve and recognize the anticipated benefits of the transaction;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retain regulatory approval for our products or obtain regulatory approval for new products in the United States and in any foreign countries in which we make seek to do business;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research and development for existing products and any future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development, regulatory approval and commercialization of competing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retain and hire senior management and key personnel;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develop and maintain our corporate infrastructure, including our ability to maintain an effective system of internal controls;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financial performance and capital requirements;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expectations regarding our ability to obtain and maintain intellectual property protection for our products, as well as our ability to operate our business without infringing the intellectual property rights of others.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risks are not exhaustive. Other sections of this Annual Report on Form 10-K may include additional factors that could harm our business and financial performance.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These forward-looking statements speak only as of the date of this annual report. We undertake no obligation to update any forward-looking statements made in this Annual Report on Form 10-K to reflect events or circumstances after the date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Unless the context indicates otherwise, as used in this Annual Report on Form 10-K, the terms “Company,” “Cytek,” “Registrant,” “we,” “us” and “our” refer to Cytek Biosciences, Inc., a Delaware corporation, and its direct and indirect subsidiaries, taken as a whole.</w:t>
      </w:r>
    </w:p>
    <w:p>
      <w:pPr>
        <w:pStyle w:val="TextBody"/>
        <w:bidi w:val="0"/>
        <w:spacing w:lineRule="auto" w:line="288" w:before="120" w:after="283"/>
        <w:ind w:left="0" w:right="0" w:firstLine="540"/>
        <w:jc w:val="both"/>
        <w:rPr/>
      </w:pPr>
      <w:r>
        <w:rPr>
          <w:color w:val="000000"/>
        </w:rPr>
        <w:t>“</w:t>
      </w:r>
      <w:r>
        <w:rPr>
          <w:rFonts w:ascii="Times New Roman;serif" w:hAnsi="Times New Roman;serif"/>
          <w:b w:val="false"/>
          <w:color w:val="000000"/>
          <w:sz w:val="20"/>
        </w:rPr>
        <w:t>Cytek,” “Cytek Aurora,” “Northern Lights,” “NL-CLC,” “Cytek Orion,” “Amnis,” “Guava,” “ImageStream,” “Muse,” “easyCyte,” “Tonbo,” “cFluor,” “SpectroFlo,” “SpectroPanel,” “SpectroPrep,” “InCyte,” “GuavaLink,” “IDEAS,” “Similarity,” “Complexity,” “FSP,” “Full Spectrum Profiling,” “ESP,” “Enhanced Small Particle” and “DxP Athena” are trademarks of the Company.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 Solely for convenience, the trademarks and trade names referred to in this Annual Report on Form 10-K may appear without the</w:t>
      </w:r>
      <w:r>
        <w:rPr>
          <w:color w:val="000000"/>
        </w:rPr>
        <w:t xml:space="preserve"> </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color w:val="000000"/>
        </w:rPr>
        <w:t xml:space="preserve">™ </w:t>
      </w:r>
      <w:r>
        <w:rPr>
          <w:rFonts w:ascii="Times New Roman;serif" w:hAnsi="Times New Roman;serif"/>
          <w:b w:val="false"/>
          <w:color w:val="000000"/>
          <w:sz w:val="20"/>
        </w:rPr>
        <w:t>symbols, but those references are not intended to indicate, in any way, that we will not assert, to the fullest extent under applicable law, our rights, or the right of the applicable licensor to these trademarks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w:t>
      </w:r>
      <w:r>
        <w:rPr>
          <w:color w:val="000000"/>
        </w:rPr>
        <w:t xml:space="preserve"> </w:t>
      </w:r>
      <w:r>
        <w:rPr>
          <w:rFonts w:ascii="Times New Roman;serif" w:hAnsi="Times New Roman;serif"/>
          <w:b w:val="false"/>
          <w:color w:val="000000"/>
          <w:sz w:val="20"/>
        </w:rPr>
        <w:t>Our goal is to become the premier cell analysis company through continued innovation that facilitates scientific advances in biomedical research and clinical applications.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Biological systems are highly complex, and scientists are challenged by the multitude of questions that remain unanswered. Analysis at the single-cell level is essential to understand these complex systems. Identifying the correct cell in the context of a given biological question can have profound implications for drug development and health care decisions. It is essential to correlate information derived from multiple cell analysis approaches and to translate what is known at the gene level to the actual cell function. As a result, there is growing demand for deep content through high dimensional cell analysis and for solutions that can provide a complete picture of cellular biological processes and interactions. To achieve this, scientists need to phenotype and isolate rare events or unique populations down to the single-cell level through highly resolvable multi-dimensional cell analysis. While flow cytometry is a widely used tool for single cell analysis, conventional flow cytometry, mass cytometry and early approaches to spectral flow cytometry technologies have historically been challenged due to limited dimensionality, sub-optimal resolution, low throughput, high cost for performance and/or significant technical expertise required to operate systems.</w:t>
      </w:r>
    </w:p>
    <w:p>
      <w:pPr>
        <w:pStyle w:val="TextBody"/>
        <w:bidi w:val="0"/>
        <w:spacing w:lineRule="auto" w:line="288" w:before="120" w:after="283"/>
        <w:jc w:val="both"/>
        <w:rPr/>
      </w:pPr>
      <w:r>
        <w:rPr>
          <w:rFonts w:ascii="Times New Roman;serif" w:hAnsi="Times New Roman;serif"/>
          <w:b/>
          <w:color w:val="000000"/>
          <w:sz w:val="20"/>
        </w:rPr>
        <w:t>Full Spectrum Profiling™ (FSP</w:t>
      </w:r>
      <w:r>
        <w:rPr>
          <w:rFonts w:ascii="Times New Roman;serif" w:hAnsi="Times New Roman;serif"/>
          <w:b w:val="false"/>
          <w:color w:val="000000"/>
          <w:sz w:val="13"/>
        </w:rPr>
        <w:t>®</w:t>
      </w:r>
      <w:r>
        <w:rPr>
          <w:rFonts w:ascii="Times New Roman;serif" w:hAnsi="Times New Roman;serif"/>
          <w:b/>
          <w:color w:val="000000"/>
          <w:sz w:val="20"/>
        </w:rPr>
        <w:t xml:space="preserve">) Technology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patented FSP technology optimizes sensitivity and accuracy through its unique optical and electronic designs that utilize an innovative method of light detection and distribution to a specifically selected number and type of detectors. This patented optics design enables researchers to effectively collect the full range of light emissions in an extremely compact space, resulting in higher resolution and enabling the development of highly complex assays with </w:t>
      </w:r>
      <w:r>
        <w:rPr>
          <w:rFonts w:ascii="Times New Roman;serif" w:hAnsi="Times New Roman;serif"/>
          <w:b w:val="false"/>
          <w:color w:val="000000"/>
          <w:sz w:val="20"/>
          <w:shd w:fill="FFFFFF" w:val="clear"/>
        </w:rPr>
        <w:t>50 different colors (individual fluorochromes), supporting 50 biomarkers within just a single tube.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Our FSP cell analyzers, the Cytek Aurora™, Northern Lights™, and Cytek Aurora Evo systems,</w:t>
      </w:r>
      <w:r>
        <w:rPr>
          <w:color w:val="008080"/>
        </w:rPr>
        <w:t xml:space="preserve"> </w:t>
      </w:r>
      <w:r>
        <w:rPr>
          <w:rFonts w:ascii="Times New Roman;serif" w:hAnsi="Times New Roman;serif"/>
          <w:b w:val="false"/>
          <w:color w:val="000000"/>
          <w:sz w:val="20"/>
        </w:rPr>
        <w:t>deliver high-resolution, high-content and high-sensitivity cell analysis and address the inherent limitations of other technologies by providing a higher level of multiplexing with exquisite sensitivity, more flexibility and increased efficiency, all at a lower cost for performance. Additionally, our Cytek Aurora cell sorter (“Aurora CS system”) leverages our FSP technology to further broaden our potential applications across cell analysis by enabling the same number of parameters with the same sensitivity as the Cytek Aurora and Cytek Aurora Evo cell analyzer systems. Each system is supported by our highly intuitive, proprietary embedded SpectroFlo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software, our reagents, and our service offerings to provide a comprehensive, end-to-end platform of solutions for our customers.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our first U.S. commercial launch in mid-2017, we have sold and deployed our instruments to customers around the world, including pharmaceutical companies, biopharma companies, academic research centers, and contract research organizations (“CROs”). Our solutions have enabled researchers to make significant scientific advances in key areas of medical discovery (such as oncology, immunology and infectious diseases) in addition to empowering improved downstream cell analysis with complementary cell analysis technologies (such as next-generation sequencing (“NGS”)). We believe that our innovative FSP and targeted cell isolation technology has the potential to accelerate scientific discovery and have a profound impact on the understanding of cell biology, immunotherapy, and targeted therapeutic approaches (personalized medicine). Further, there has been a meaningful number of publications generated to showcase our technology, with more than 3,500 peer-reviewed articles published relating to our FSP products since our first commercial launch in 2017, including many prominent journals, across a wide range of applications including oncology, infectious diseases, immunology, immunotherapy and immuno-oncology.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FSP platform was purpose-built to advance the next generation of cell analysis by delivering deep insights, high-throughputs and ease-of-use. Our FSP platform is designed to offer the following key benefits: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Ultra-sensitive: </w:t>
      </w:r>
      <w:r>
        <w:rPr>
          <w:rFonts w:ascii="Times New Roman;serif" w:hAnsi="Times New Roman;serif"/>
          <w:b w:val="false"/>
          <w:color w:val="000000"/>
          <w:sz w:val="20"/>
        </w:rPr>
        <w:t>resolve the most challenging cell populations (such as cells with high autofluorescence or low levels of expression of key biomarkers) by providing high-resolution data at the single-cell level with an optimized signal-to-noise ratio.</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Deep, high integrity content:</w:t>
      </w:r>
      <w:r>
        <w:rPr>
          <w:color w:val="000000"/>
        </w:rPr>
        <w:t xml:space="preserve"> </w:t>
      </w:r>
      <w:r>
        <w:rPr>
          <w:rFonts w:ascii="Times New Roman;serif" w:hAnsi="Times New Roman;serif"/>
          <w:b w:val="false"/>
          <w:color w:val="000000"/>
          <w:sz w:val="20"/>
        </w:rPr>
        <w:t>allow development of highly complex assays through access to</w:t>
      </w:r>
      <w:r>
        <w:rPr>
          <w:color w:val="000000"/>
          <w:shd w:fill="FFFFFF" w:val="clear"/>
        </w:rPr>
        <w:t xml:space="preserve"> </w:t>
      </w:r>
      <w:r>
        <w:rPr>
          <w:rFonts w:ascii="Times New Roman;serif" w:hAnsi="Times New Roman;serif"/>
          <w:b w:val="false"/>
          <w:color w:val="000000"/>
          <w:sz w:val="20"/>
          <w:shd w:fill="FFFFFF" w:val="clear"/>
        </w:rPr>
        <w:t>50 different colors and, thus, supporting 50 biomarkers in a single tube without sacrificing precision and throughput to gain a deeper understanding of biological systems and arrive at faster and more accurate diagnoses in clinica</w:t>
      </w:r>
      <w:r>
        <w:rPr>
          <w:rFonts w:ascii="Times New Roman;serif" w:hAnsi="Times New Roman;serif"/>
          <w:b w:val="false"/>
          <w:color w:val="000000"/>
          <w:sz w:val="20"/>
        </w:rPr>
        <w:t>l settings.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Flexible and compatible: </w:t>
      </w:r>
      <w:r>
        <w:rPr>
          <w:rFonts w:ascii="Times New Roman;serif" w:hAnsi="Times New Roman;serif"/>
          <w:b w:val="false"/>
          <w:color w:val="000000"/>
          <w:sz w:val="20"/>
        </w:rPr>
        <w:t>enable a single configuration across a wide range of reagents and applications, full backwards compatibility across panels, and greater leverage for downstream analysis with complementary technologies, including NGS.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Efficient and compact: </w:t>
      </w:r>
      <w:r>
        <w:rPr>
          <w:rFonts w:ascii="Times New Roman;serif" w:hAnsi="Times New Roman;serif"/>
          <w:b w:val="false"/>
          <w:color w:val="000000"/>
          <w:sz w:val="20"/>
        </w:rPr>
        <w:t>improve costs and save time while maintaining industry-leading performance and efficient workflows that limit consumables usage and reduce labor costs—all within a highly compact footprint minimizing space requirements for laboratories.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Integrated and intuitive: </w:t>
      </w:r>
      <w:r>
        <w:rPr>
          <w:rFonts w:ascii="Times New Roman;serif" w:hAnsi="Times New Roman;serif"/>
          <w:b w:val="false"/>
          <w:color w:val="000000"/>
          <w:sz w:val="20"/>
        </w:rPr>
        <w:t>provide fully integrated workflows through a suite of solutions that include instruments, accessories, reagents and kits, software and services. Our proprietary tools and the intuitive functionality of our proprietary SpectroFlo software coupled with a user-friendly interface allow for enhanced ease-of-use and minimal operator training.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Flow Cytometry and Imaging (FCI)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to our FSP product portfolio, pursuant to an acquisition in February 2023, we offer conventional flow and image-based flow cytometry instrumentation and related products and services under the Amnis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Guava</w:t>
      </w:r>
      <w:r>
        <w:rPr>
          <w:rFonts w:ascii="Times New Roman;serif" w:hAnsi="Times New Roman;serif"/>
          <w:b w:val="false"/>
          <w:color w:val="000000"/>
          <w:sz w:val="13"/>
        </w:rPr>
        <w:t xml:space="preserve">® </w:t>
      </w:r>
      <w:r>
        <w:rPr>
          <w:rFonts w:ascii="Times New Roman;serif" w:hAnsi="Times New Roman;serif"/>
          <w:b w:val="false"/>
          <w:color w:val="000000"/>
          <w:sz w:val="20"/>
        </w:rPr>
        <w:t>brands, which provide insights into all facets of cellular phenotypes and morphology. Amnis instruments and applications are important tools in the investigation of cell morphology, intracellular translocation and cell-cell interaction in a variety of research areas, including immunology, neurobiology, stem cell research and cell biology. Guava flow cytometers expand our core instrument offerings, adding cost-effective, entry-level and personal instrument options with microcapillary-based fluidics for cell analysis. The Guava microcapillary-based flow cytometers are mainly adopted by entry to mid-range flow cytometry users who are looking for easy-to-use and cost-effective solutions for applications, such as cell counting, cell biology and lower-plex immunophenotyping.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12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We aim to transform the cell analysis market by continuing to build upon our success as a leading platform of innovative solutions by leveraging our key competitive strengths, which include: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novel, patented FSP platform delivers high-resolution, high-content and high-sensitivity cell analysis by utilizing the full spectrum of fluorescent signatures.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solutions address many of our customers’ unmet needs.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complete offering is available across a range of price points while consistently delivering high performance.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diversified customer base and breadth of relationships and scientific validation.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global scale and reach.</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believe the combination of our people and our global reach will enable us to continue to execute our growth strategies, stay ahead of competition and remain at the forefront of innovation in cell analysis. Our leadership team has extensive track records in the life sciences and technology sectors. As of December 31, 2025, </w:t>
      </w:r>
      <w:r>
        <w:rPr>
          <w:rFonts w:ascii="Times New Roman;serif" w:hAnsi="Times New Roman;serif"/>
          <w:b w:val="false"/>
          <w:color w:val="000000"/>
          <w:sz w:val="20"/>
          <w:shd w:fill="FFFFFF" w:val="clear"/>
        </w:rPr>
        <w:t xml:space="preserve">our multidisciplinary group of over </w:t>
      </w:r>
      <w:r>
        <w:rPr>
          <w:rFonts w:ascii="Times New Roman;serif" w:hAnsi="Times New Roman;serif"/>
          <w:b w:val="false"/>
          <w:color w:val="000000"/>
          <w:sz w:val="20"/>
        </w:rPr>
        <w:t>700</w:t>
      </w:r>
      <w:r>
        <w:rPr>
          <w:color w:val="000000"/>
          <w:shd w:fill="FFFFFF" w:val="clear"/>
        </w:rPr>
        <w:t xml:space="preserve"> </w:t>
      </w:r>
      <w:r>
        <w:rPr>
          <w:rFonts w:ascii="Times New Roman;serif" w:hAnsi="Times New Roman;serif"/>
          <w:b w:val="false"/>
          <w:color w:val="000000"/>
          <w:sz w:val="20"/>
          <w:shd w:fill="FFFFFF" w:val="clear"/>
        </w:rPr>
        <w:t xml:space="preserve">employees includes employees with expertise across optics, electronics, fluidics, computer sciences, chemistry, biology, and medical sciences. Our worldwide commercial team of more than </w:t>
      </w:r>
      <w:r>
        <w:rPr>
          <w:rFonts w:ascii="Times New Roman;serif" w:hAnsi="Times New Roman;serif"/>
          <w:b w:val="false"/>
          <w:color w:val="000000"/>
          <w:sz w:val="20"/>
        </w:rPr>
        <w:t>270</w:t>
      </w:r>
      <w:r>
        <w:rPr>
          <w:color w:val="000000"/>
          <w:shd w:fill="FFFFFF" w:val="clear"/>
        </w:rPr>
        <w:t xml:space="preserve"> </w:t>
      </w:r>
      <w:r>
        <w:rPr>
          <w:rFonts w:ascii="Times New Roman;serif" w:hAnsi="Times New Roman;serif"/>
          <w:b w:val="false"/>
          <w:color w:val="000000"/>
          <w:sz w:val="20"/>
          <w:shd w:fill="FFFFFF" w:val="clear"/>
        </w:rPr>
        <w:t xml:space="preserve">employees and our research and development team of more than </w:t>
      </w:r>
      <w:r>
        <w:rPr>
          <w:rFonts w:ascii="Times New Roman;serif" w:hAnsi="Times New Roman;serif"/>
          <w:b w:val="false"/>
          <w:color w:val="000000"/>
          <w:sz w:val="20"/>
        </w:rPr>
        <w:t>150</w:t>
      </w:r>
      <w:r>
        <w:rPr>
          <w:color w:val="000000"/>
          <w:shd w:fill="FFFFFF" w:val="clear"/>
        </w:rPr>
        <w:t xml:space="preserve"> </w:t>
      </w:r>
      <w:r>
        <w:rPr>
          <w:rFonts w:ascii="Times New Roman;serif" w:hAnsi="Times New Roman;serif"/>
          <w:b w:val="false"/>
          <w:color w:val="000000"/>
          <w:sz w:val="20"/>
          <w:shd w:fill="FFFFFF" w:val="clear"/>
        </w:rPr>
        <w:t>employees have significant expertise, industry experience and collaborative relationships with key opinion leaders (“KOLs”), industry leaders, innovators and potential customers.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We</w:t>
      </w:r>
      <w:r>
        <w:rPr>
          <w:color w:val="000000"/>
        </w:rPr>
        <w:t xml:space="preserve"> </w:t>
      </w:r>
      <w:r>
        <w:rPr>
          <w:rFonts w:ascii="Times New Roman;serif" w:hAnsi="Times New Roman;serif"/>
          <w:b w:val="false"/>
          <w:color w:val="000000"/>
          <w:sz w:val="20"/>
        </w:rPr>
        <w:t>have a long history of providing high-quality and efficient customer service and our product development efforts reflect our deep understanding of our customers’ needs. One of our key differentiators is our customer-facing technical team, which collaborates closely with our customers to identify and find solutions for unmet needs across the market. We also collaborate closely with KOLs, generating relevant data and publications to demonstrate not only the feasibility, but also the quality of our approach. We plan to continue executing on our growth strategy by driving adoption of our solutions, inspiring innovation, investing in integrated workflow solutions, and driving application development and adoption in clinical markets.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believe our financial results reflect the continued market demand for our product offerings and adoption of our FSP technology: our strong financial profile is differentiated by the combination of our scaled revenue base, revenue growth and cash balance. Our revenue for fiscal years 2025, 2024 and 2023 was </w:t>
      </w:r>
      <w:r>
        <w:rPr>
          <w:rFonts w:ascii="Times New Roman;serif" w:hAnsi="Times New Roman;serif"/>
          <w:b w:val="false"/>
          <w:color w:val="000000"/>
          <w:sz w:val="20"/>
          <w:shd w:fill="FFFFFF" w:val="clear"/>
        </w:rPr>
        <w:t>$201.5</w:t>
      </w:r>
      <w:r>
        <w:rPr>
          <w:color w:val="000000"/>
        </w:rPr>
        <w:t xml:space="preserve"> </w:t>
      </w:r>
      <w:r>
        <w:rPr>
          <w:rFonts w:ascii="Times New Roman;serif" w:hAnsi="Times New Roman;serif"/>
          <w:b w:val="false"/>
          <w:color w:val="000000"/>
          <w:sz w:val="20"/>
        </w:rPr>
        <w:t xml:space="preserve">million, $200.5 million, and $193.0 million, respectively. We generated net losses of </w:t>
      </w:r>
      <w:r>
        <w:rPr>
          <w:rFonts w:ascii="Times New Roman;serif" w:hAnsi="Times New Roman;serif"/>
          <w:b w:val="false"/>
          <w:color w:val="000000"/>
          <w:sz w:val="20"/>
          <w:shd w:fill="FFFFFF" w:val="clear"/>
        </w:rPr>
        <w:t>$66.5</w:t>
      </w:r>
      <w:r>
        <w:rPr>
          <w:color w:val="000000"/>
        </w:rPr>
        <w:t xml:space="preserve"> </w:t>
      </w:r>
      <w:r>
        <w:rPr>
          <w:rFonts w:ascii="Times New Roman;serif" w:hAnsi="Times New Roman;serif"/>
          <w:b w:val="false"/>
          <w:color w:val="000000"/>
          <w:sz w:val="20"/>
        </w:rPr>
        <w:t xml:space="preserve">million, $6.0 million, and $12.1 million for fiscal years 2025, 2024 and 2023, respectively. Our cash and cash equivalents, restricted cash and short-term investments were </w:t>
      </w:r>
      <w:r>
        <w:rPr>
          <w:rFonts w:ascii="Times New Roman;serif" w:hAnsi="Times New Roman;serif"/>
          <w:b w:val="false"/>
          <w:color w:val="000000"/>
          <w:sz w:val="20"/>
          <w:shd w:fill="FFFFFF" w:val="clear"/>
        </w:rPr>
        <w:t>$261.5</w:t>
      </w:r>
      <w:r>
        <w:rPr>
          <w:color w:val="000000"/>
        </w:rPr>
        <w:t xml:space="preserve"> </w:t>
      </w:r>
      <w:r>
        <w:rPr>
          <w:rFonts w:ascii="Times New Roman;serif" w:hAnsi="Times New Roman;serif"/>
          <w:b w:val="false"/>
          <w:color w:val="000000"/>
          <w:sz w:val="20"/>
        </w:rPr>
        <w:t>million, $277.9 million and $262.7 million on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strategy includes the following core elements: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Accelerate adoption of our solutions. </w:t>
      </w:r>
      <w:r>
        <w:rPr>
          <w:rFonts w:ascii="Times New Roman;serif" w:hAnsi="Times New Roman;serif"/>
          <w:b w:val="false"/>
          <w:color w:val="000000"/>
          <w:sz w:val="20"/>
        </w:rPr>
        <w:t>To continue driving adoption of our solutions and to support our leading global brand, we intend to maximize the effectiveness of our sales infrastructure, including our sales representatives, technical applications specialists and customer support staff, in addition to increasing marketing efforts. This investment will also support our entry into new markets as we roll out new solutions and applications and appropriately manage inbound interest from new customers.</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Continue to innovate and offer our customers best-in-class solutions. </w:t>
      </w:r>
      <w:r>
        <w:rPr>
          <w:rFonts w:ascii="Times New Roman;serif" w:hAnsi="Times New Roman;serif"/>
          <w:b w:val="false"/>
          <w:color w:val="000000"/>
          <w:sz w:val="20"/>
        </w:rPr>
        <w:t xml:space="preserve">Our development efforts focus on value-additive features and enhancements to meet the growing needs of the cell analysis market. These efforts drive continued innovation across our proprietary reagents, software and services offerings, in addition to new instrumentation releases, such as the Cytek Aurora Evo system, the </w:t>
      </w:r>
      <w:r>
        <w:rPr>
          <w:rFonts w:ascii="Times New Roman;serif" w:hAnsi="Times New Roman;serif"/>
          <w:b w:val="false"/>
          <w:color w:val="231F20"/>
          <w:sz w:val="20"/>
        </w:rPr>
        <w:t xml:space="preserve">Muse Micro system and </w:t>
      </w:r>
      <w:r>
        <w:rPr>
          <w:rFonts w:ascii="Times New Roman;serif" w:hAnsi="Times New Roman;serif"/>
          <w:b w:val="false"/>
          <w:color w:val="000000"/>
          <w:sz w:val="20"/>
        </w:rPr>
        <w:t xml:space="preserve">the </w:t>
      </w:r>
      <w:r>
        <w:rPr>
          <w:rFonts w:ascii="Times New Roman;serif" w:hAnsi="Times New Roman;serif"/>
          <w:b w:val="false"/>
          <w:color w:val="231F20"/>
          <w:sz w:val="20"/>
        </w:rPr>
        <w:t>Enhanced Small Particle™ (ESP™) detection option for our Cytek Aurora, Northern Lights and Aurora CS systems</w:t>
      </w:r>
      <w:r>
        <w:rPr>
          <w:rFonts w:ascii="Times New Roman;serif" w:hAnsi="Times New Roman;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erif" w:hAnsi="Times New Roman;serif"/>
          <w:b/>
          <w:i/>
          <w:color w:val="000000"/>
          <w:sz w:val="20"/>
        </w:rPr>
        <w:t xml:space="preserve">Invest in integrated workflow solutions to drive pull-through from our consumables and services. </w:t>
      </w:r>
      <w:r>
        <w:rPr>
          <w:rFonts w:ascii="Times New Roman;serif" w:hAnsi="Times New Roman;serif"/>
          <w:b w:val="false"/>
          <w:color w:val="000000"/>
          <w:sz w:val="20"/>
        </w:rPr>
        <w:t>Our overarching goal is to become a comprehensive solutions provider to our customers by delivering a fully integrated offering of instruments, accessories, consumables, software and services. We are also focused on expanding our bioinformatics offerings to support our customers, such as Cytek Cloud, a digital ecosystem that supports full spectrum flow cytometry research from panel design to data acquisition. As we continue to penetrate our addressable markets, we can leverage our growing installed base to drive consumable pull-through and recurring revenue.</w:t>
      </w:r>
    </w:p>
    <w:p>
      <w:pPr>
        <w:pStyle w:val="TextBody"/>
        <w:bidi w:val="0"/>
        <w:spacing w:lineRule="auto" w:line="268" w:before="0" w:after="0"/>
        <w:ind w:left="0" w:right="0" w:hanging="540"/>
        <w:jc w:val="both"/>
        <w:rPr/>
      </w:pPr>
      <w:r>
        <w:rPr>
          <w:color w:val="000000"/>
        </w:rPr>
        <w:t>•</w:t>
      </w:r>
      <w:r>
        <w:rPr>
          <w:rFonts w:ascii="Times New Roman;serif" w:hAnsi="Times New Roman;serif"/>
          <w:b/>
          <w:i/>
          <w:color w:val="000000"/>
          <w:sz w:val="20"/>
        </w:rPr>
        <w:t xml:space="preserve">Drive clinical research application development. </w:t>
      </w:r>
      <w:r>
        <w:rPr>
          <w:rFonts w:ascii="Times New Roman;serif" w:hAnsi="Times New Roman;serif"/>
          <w:b w:val="false"/>
          <w:color w:val="000000"/>
          <w:sz w:val="20"/>
        </w:rPr>
        <w:t xml:space="preserve">We are deeply committed to developing our platform’s clinical research applications, and in particular, within disease detection, diagnosis, and treatment monitoring. We also focus on areas where we can leverage the combination of our platform with complementary cell analysis technologies (such as NGS) to produce differentiated outcomes with greater sensitivity, such as with </w:t>
      </w:r>
      <w:r>
        <w:rPr>
          <w:rFonts w:ascii="Times New Roman;serif" w:hAnsi="Times New Roman;serif"/>
          <w:b w:val="false"/>
          <w:color w:val="231F20"/>
          <w:sz w:val="20"/>
        </w:rPr>
        <w:t>minimal residual disease (“MRD”) testing</w:t>
      </w:r>
      <w:r>
        <w:rPr>
          <w:rFonts w:ascii="Times New Roman;serif" w:hAnsi="Times New Roman;serif"/>
          <w:b w:val="false"/>
          <w:color w:val="000000"/>
          <w:sz w:val="20"/>
        </w:rPr>
        <w:t xml:space="preserve">. We can provide insights to clinicians to facilitate personalized medicine for patients, as well as facilitate biopharma’s research and development efforts to develop the next-generation of targeted therapies. Our Northern Lights-CLC </w:t>
      </w:r>
      <w:r>
        <w:rPr>
          <w:rFonts w:ascii="Times New Roman;serif" w:hAnsi="Times New Roman;serif"/>
          <w:b w:val="false"/>
          <w:color w:val="231F20"/>
          <w:sz w:val="20"/>
        </w:rPr>
        <w:t>(NL-CLC</w:t>
      </w:r>
      <w:r>
        <w:rPr>
          <w:color w:val="231F20"/>
        </w:rPr>
        <w:t>™</w:t>
      </w:r>
      <w:r>
        <w:rPr>
          <w:rFonts w:ascii="Times New Roman;serif" w:hAnsi="Times New Roman;serif"/>
          <w:b w:val="false"/>
          <w:color w:val="231F20"/>
          <w:sz w:val="20"/>
        </w:rPr>
        <w:t xml:space="preserve">) </w:t>
      </w:r>
      <w:r>
        <w:rPr>
          <w:rFonts w:ascii="Times New Roman;serif" w:hAnsi="Times New Roman;serif"/>
          <w:b w:val="false"/>
          <w:color w:val="000000"/>
          <w:sz w:val="20"/>
        </w:rPr>
        <w:t>system has been registered or approved for clinical use in the European Union and China. We plan to pursue regulatory approvals for clinical use of certain of our products in the United States.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Market Opportunity and Industry Background</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Our market opportunity. </w:t>
      </w:r>
      <w:r>
        <w:rPr>
          <w:rFonts w:ascii="Times New Roman;serif" w:hAnsi="Times New Roman;serif"/>
          <w:b w:val="false"/>
          <w:color w:val="000000"/>
          <w:sz w:val="20"/>
        </w:rPr>
        <w:t>Within the life sciences technology market, flow cytometry technologies currently provide solutions, including cell proliferation, cell counting, cell identification, cell quality control and single-cell applications, largely within the global cell analysis market. However, we believe that, driven by enhanced capabilities, our products have the potential to capture an increasingly greater share of the total addressable market by accessing the entire cell analysis market. Further, we believe our differentiated platform will enable us to expand the use of cell analysis into new markets, well beyond current applications addressed by prior flow cytometry technologies and other cell analysis technologies. Thus, we believe our potential total addressable market is larger than the current cell analysis market, which excludes new and existing markets addressable by our platform, such as clinical research applications within immunotherapy, immuno-oncology, bioprocessing, infectious diseases and immuno-deficiencies. In addition, the combination of our platform with complementary, downstream cell analysis technologies is expected to provide additional areas for new applications, such as MRD testing. As our products are further validated through continued peer-reviewed publications in new applications, we expect our total addressable market to expand.</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Complementary technologies to FSP and multi-omics applications. </w:t>
      </w:r>
      <w:r>
        <w:rPr>
          <w:rFonts w:ascii="Times New Roman;serif" w:hAnsi="Times New Roman;serif"/>
          <w:b w:val="false"/>
          <w:color w:val="000000"/>
          <w:sz w:val="20"/>
        </w:rPr>
        <w:t xml:space="preserve">Since our FSP platform provides highly complex data down to single-cell resolution at a rapid speed, it is inherently well-suited to drive more targeted and efficient downstream analyses for other single-cell technologies, such as NGS, single-cell capture and sample preparation, high-resolution microscopy (such as mass imaging cytometry, super resolution microscopy, confocal microscopy and high-throughput screening platforms), and micro and optofluidic systems. FSP technology is highly complementary to single-cell genomics applications utilizing NGS as it can be used earlier in workflows to rapidly phenotype and isolate living cell populations to the single-cell level with highly multiplexed proteomic data. These cells can then be transferred from our instrument into NGS systems to correlate proteomic and genomic expression, which in turn enables researchers to develop novel drug targets for therapeutics and clinicians to drive outcomes for patients through more informed treatment decision-making. </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Importance of cell analysis at the single-cell level. </w:t>
      </w:r>
      <w:r>
        <w:rPr>
          <w:rFonts w:ascii="Times New Roman;serif" w:hAnsi="Times New Roman;serif"/>
          <w:b w:val="false"/>
          <w:color w:val="000000"/>
          <w:sz w:val="20"/>
        </w:rPr>
        <w:t xml:space="preserve">Due to the heterogeneity within tissues, understanding cellular biology, particularly at the single-cell level, is necessary to unravel mechanisms that might otherwise not be detectable in bulk assays. Deep cellular analysis is a key application that we expect to enable a new age of healthcare delivery, and in particular, personalized medicine. The global healthcare market requires advanced cell analysis technologies to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therapeutic and diagnostic solutions to address emerging and chronic infectious diseases, an aging population with a myriad of chronic diseases, and the need for more effective and targeted therapeutics. These primary market forces, among others, will drive the direction for cell analysis applications that provide new possibilities for novel drug development and improved patient outcomes through enhanced disease detection, diagnosis, and treatment monitoring.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leading cell analysis solutions provider that develops compact, cost-effective instruments with high multiplexing capability, and we offer a wide range of services to support scientists and clinicians. Our products are used in the world’s most renowned pharmaceutical and CROs, as well as premier academic and research institutions.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Cytek Aurora, Northern Lights and Cytek Aurora Evo Systems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Cytek Aurora, Northern Lights and Cytek Aurora Evo systems were commercially launched in June 2017, October 2018 and May 2025, respectively, and </w:t>
      </w:r>
      <w:r>
        <w:rPr>
          <w:rFonts w:ascii="Times New Roman;serif" w:hAnsi="Times New Roman;serif"/>
          <w:b w:val="false"/>
          <w:color w:val="231F20"/>
          <w:sz w:val="20"/>
        </w:rPr>
        <w:t>are used in the study of infectious diseases, immunology, immunotherapy, immuno-oncology, oncology, inflammation, and drug discovery</w:t>
      </w:r>
      <w:r>
        <w:rPr>
          <w:rFonts w:ascii="Times New Roman;serif" w:hAnsi="Times New Roman;serif"/>
          <w:b w:val="false"/>
          <w:color w:val="000000"/>
          <w:sz w:val="20"/>
        </w:rPr>
        <w:t xml:space="preserve">. The instruments are highly flexible, intuitive, and ultra-sensitive full spectrum flow cytometers, utilizing state-of-the-art optics and low-noise electronics to provide excellent sensitivity and resolution, allowing researchers to resolve rare cell populations that were previously challenging to resolve. The optics and electronics designs, combined with flat-top beam profiles and a unique vacuum fluidics system, translate to outstanding performance from low to high sample flow rate, analyzing up to 65,000 events per second with the Cytek Aurora Evo system. Additionally, our optical design and unmixing algorithm make the instrument amenable to a wide array of applications and fluorochrome options, all without needing to reconfigure the instrument hardware as would otherwise be required on a </w:t>
      </w:r>
      <w:r>
        <w:rPr>
          <w:rFonts w:ascii="Times New Roman;serif" w:hAnsi="Times New Roman;serif"/>
          <w:b w:val="false"/>
          <w:color w:val="231F20"/>
          <w:sz w:val="20"/>
        </w:rPr>
        <w:t xml:space="preserve">conventional flow cytometer. </w:t>
      </w:r>
      <w:r>
        <w:rPr>
          <w:rFonts w:ascii="Times New Roman;serif" w:hAnsi="Times New Roman;serif"/>
          <w:b w:val="false"/>
          <w:color w:val="000000"/>
          <w:sz w:val="20"/>
        </w:rPr>
        <w:t>All instruments are upgradeable based on the desired number of lasers, which drives greater or less access to biomarkers. In addition, the instruments incorporate our SpectroFlo software, which offers an intuitive workflow from quality control to sample acquisition to data analysis, with technology-enabling tools that simplify running applications.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Cytek Aurora and Cytek Aurora Evo systems are available with three to five lasers and can detect 50</w:t>
      </w:r>
      <w:r>
        <w:rPr>
          <w:color w:val="000000"/>
          <w:shd w:fill="FFFFFF" w:val="clear"/>
        </w:rPr>
        <w:t xml:space="preserve"> </w:t>
      </w:r>
      <w:r>
        <w:rPr>
          <w:rFonts w:ascii="Times New Roman;serif" w:hAnsi="Times New Roman;serif"/>
          <w:b w:val="false"/>
          <w:color w:val="000000"/>
          <w:sz w:val="20"/>
          <w:shd w:fill="FFFFFF" w:val="clear"/>
        </w:rPr>
        <w:t xml:space="preserve">biomarkers </w:t>
      </w:r>
      <w:r>
        <w:rPr>
          <w:rFonts w:ascii="Times New Roman;serif" w:hAnsi="Times New Roman;serif"/>
          <w:b w:val="false"/>
          <w:color w:val="000000"/>
          <w:sz w:val="20"/>
        </w:rPr>
        <w:t>in one sample tube. The recently launched Cytek Aurora Evo system expands on the capabilities of the flagship Cytek Aurora system with high-throughput capabilities at high resolution that support sample flow rates up to 200 µL/min using both tubes and plates, automated startup and shutdown to streamline workflows and improve lab efficiency, harmonization of fluorochrome mean fluorescence intensity and integrated APD module to expand dynamic range of scatter detection that enables the resolution of both small particles and large cells within a single system.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Northern Lights system is available with one to three lasers and can detect more than 24 biomarkers in one sample tube. The Northern Lights-CLC system was registered in the European Union in compliance with Regulation (EU) 2017/746 on In Vitro Diagnostic Medical Devices (the “IVDR”) in November 2023. This registration enables the Northern Lights-CLC system to be marketed for clinical use in the European Union and in other countries around the world that accept the Certification of Free Sale issued from an EU Competent Authority. The Northern Lights-CLC system is also registered as a Class II In Vitro Diagnostic Medical Device in China.</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Cytek Aurora CS System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Key unraveling cellular complexity is the ability to perform additional downstream genomic and proteomic studies on the specific subsets identified using high dimensional phenotyping approaches. Our Aurora CS system was commercially launched in June 2021 and was the first highly flexible, intuitive and ultra-sensitive cell sorter that leverages the detection and sensitivity capabilities of our FSP technology to isolate living cell populations from lower to higher complexity panels beyond</w:t>
      </w:r>
      <w:r>
        <w:rPr>
          <w:color w:val="000000"/>
          <w:shd w:fill="FFFFFF" w:val="clear"/>
        </w:rPr>
        <w:t xml:space="preserve"> </w:t>
      </w:r>
      <w:r>
        <w:rPr>
          <w:rFonts w:ascii="Times New Roman;serif" w:hAnsi="Times New Roman;serif"/>
          <w:b w:val="false"/>
          <w:color w:val="000000"/>
          <w:sz w:val="20"/>
        </w:rPr>
        <w:t>40</w:t>
      </w:r>
      <w:r>
        <w:rPr>
          <w:color w:val="000000"/>
          <w:shd w:fill="FFFFFF" w:val="clear"/>
        </w:rPr>
        <w:t xml:space="preserve"> </w:t>
      </w:r>
      <w:r>
        <w:rPr>
          <w:rFonts w:ascii="Times New Roman;serif" w:hAnsi="Times New Roman;serif"/>
          <w:b w:val="false"/>
          <w:color w:val="000000"/>
          <w:sz w:val="20"/>
          <w:shd w:fill="FFFFFF" w:val="clear"/>
        </w:rPr>
        <w:t xml:space="preserve">biomarkers. Our FSP technology enables the processing of a tremendous amount of highly complex information to provide real-time unmixing and sorting capabilities at the field-programmable gate array level. The implications are significant in terms of flexibility and user experience, including experiment workflow transportability and assay reproducibility, now enabling a 50-biomarker </w:t>
      </w:r>
      <w:r>
        <w:rPr>
          <w:rFonts w:ascii="Times New Roman;serif" w:hAnsi="Times New Roman;serif"/>
          <w:b w:val="false"/>
          <w:color w:val="000000"/>
          <w:sz w:val="20"/>
        </w:rPr>
        <w:t>assay to be run in both the Cytek Aurora and the Aurora CS systems, with similar results. With our technology, users can first identify cell populations and then isolate the live cells for downstream studies, such as single-cell RNA sequencing, proteomics, and cell biology.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Unlike other high-capacity sorters, we believe the Aurora CS system is the only cell sorter that can accommodate the same number of parameters with the same sensitivity as the Cytek Aurora system and isolate living cell populations of interest using the same panel and without having to alter the optical configuration, while also being able to sort panels designed for conventional analyzers. The Aurora CS system is designed to enable users to gain a deeper level of cell classification, take advantage of key trends and scientific expansion, and allow for greater clinical research applications, such as with MRD, cell analysis and disease discovery.</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 xml:space="preserve">Enhanced Small Particle (ESP) Detection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we launched our Enhanced Small Particle (ESP) Detection Option for our Cytek Aurora and Northern Lights systems to identify and analyze a variety of small particles, including extracellular vesicles (“EVs”), small bacteria, viruses and viral particles and nanoparticles. Typically, flow cytometers have been unable to detect particles smaller than 500 nm, limiting their use to the study of cells and larger particles. The ESP Detection Option expands the capabilities of small particle research on our Cytek Aurora and Northern Lights systems by enabling high resolution detection of label-free or fluorescent-tagged particles down to 70 nm, providing researchers the ability to characterize and determine the full emission spectra of small particles. In November 2024, the ESP Detection Option was launched for the Cytek Aurora CS system, positioning this instrument as the first commercially available cell sorter with the ability to analyze and sort EVs based on fluorescent-tagged markers or autofluorescence with high resolution, efficiency and sensitivity. </w:t>
      </w:r>
    </w:p>
    <w:p>
      <w:pPr>
        <w:pStyle w:val="TextBody"/>
        <w:bidi w:val="0"/>
        <w:spacing w:lineRule="auto" w:line="288" w:before="120" w:after="283"/>
        <w:jc w:val="both"/>
        <w:rPr/>
      </w:pPr>
      <w:r>
        <w:rPr>
          <w:rFonts w:ascii="Times New Roman;serif" w:hAnsi="Times New Roman;serif"/>
          <w:b/>
          <w:color w:val="231F20"/>
          <w:sz w:val="20"/>
        </w:rPr>
        <w:t>Cytek Amnis ImageStream</w:t>
      </w:r>
      <w:r>
        <w:rPr>
          <w:rFonts w:ascii="Times New Roman;serif" w:hAnsi="Times New Roman;serif"/>
          <w:b/>
          <w:color w:val="231F20"/>
          <w:sz w:val="13"/>
        </w:rPr>
        <w:t>®</w:t>
      </w:r>
      <w:r>
        <w:rPr>
          <w:color w:val="231F20"/>
        </w:rPr>
        <w:t xml:space="preserve"> </w:t>
      </w:r>
      <w:r>
        <w:rPr>
          <w:rFonts w:ascii="Times New Roman;serif" w:hAnsi="Times New Roman;serif"/>
          <w:b/>
          <w:color w:val="231F20"/>
          <w:sz w:val="20"/>
        </w:rPr>
        <w:t xml:space="preserve">Imaging Flow Cytometer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Cytek Amnis ImageStream imaging flow cytometer includes multiple configurations to fit specific research needs and combines speed, sensitivity, and phenotyping abilities of flow cytometry with high resolution images and functional insights of microscopy. This unique combination enables a broad range of applications that would be impossible using either technique alone. </w:t>
      </w:r>
    </w:p>
    <w:p>
      <w:pPr>
        <w:pStyle w:val="TextBody"/>
        <w:bidi w:val="0"/>
        <w:spacing w:lineRule="auto" w:line="288" w:before="120" w:after="283"/>
        <w:ind w:left="0" w:right="0" w:firstLine="540"/>
        <w:jc w:val="both"/>
        <w:rPr/>
      </w:pPr>
      <w:r>
        <w:rPr>
          <w:rFonts w:ascii="Times New Roman;serif" w:hAnsi="Times New Roman;serif"/>
          <w:b w:val="false"/>
          <w:color w:val="231F20"/>
          <w:sz w:val="20"/>
        </w:rPr>
        <w:t>The ImageStream</w:t>
      </w:r>
      <w:r>
        <w:rPr>
          <w:rFonts w:ascii="Times New Roman;serif" w:hAnsi="Times New Roman;serif"/>
          <w:b w:val="false"/>
          <w:color w:val="231F20"/>
          <w:sz w:val="13"/>
        </w:rPr>
        <w:t>X</w:t>
      </w:r>
      <w:r>
        <w:rPr>
          <w:color w:val="231F20"/>
        </w:rPr>
        <w:t xml:space="preserve"> </w:t>
      </w:r>
      <w:r>
        <w:rPr>
          <w:rFonts w:ascii="Times New Roman;serif" w:hAnsi="Times New Roman;serif"/>
          <w:b w:val="false"/>
          <w:color w:val="231F20"/>
          <w:sz w:val="20"/>
        </w:rPr>
        <w:t xml:space="preserve">Mk II system is a benchtop, multispectral, imaging flow cytometer designed for the rapid acquisition of millions of cells with up to 12 channels of cellular imagery. It collects large numbers of digital images, performs spectral compensation and provides high quality images of every cell in your sample. Combined with our advanced AI-assisted image analysis software where each object is quantified for hundreds of parameters using not only fluorescence intensity but the spatial location of that fluoresced as well, the ImageStream system provides an unprecedented level of cellular information. </w:t>
      </w:r>
    </w:p>
    <w:p>
      <w:pPr>
        <w:pStyle w:val="TextBody"/>
        <w:bidi w:val="0"/>
        <w:spacing w:lineRule="auto" w:line="288" w:before="120" w:after="283"/>
        <w:jc w:val="both"/>
        <w:rPr/>
      </w:pPr>
      <w:r>
        <w:rPr>
          <w:rFonts w:ascii="Times New Roman;serif" w:hAnsi="Times New Roman;serif"/>
          <w:b/>
          <w:color w:val="231F20"/>
          <w:sz w:val="20"/>
        </w:rPr>
        <w:t>Cytek Guava Muse</w:t>
      </w:r>
      <w:r>
        <w:rPr>
          <w:rFonts w:ascii="Times New Roman;serif" w:hAnsi="Times New Roman;serif"/>
          <w:b/>
          <w:color w:val="231F20"/>
          <w:sz w:val="13"/>
        </w:rPr>
        <w:t>®</w:t>
      </w:r>
      <w:r>
        <w:rPr>
          <w:color w:val="231F20"/>
        </w:rPr>
        <w:t xml:space="preserve"> </w:t>
      </w:r>
      <w:r>
        <w:rPr>
          <w:rFonts w:ascii="Times New Roman;serif" w:hAnsi="Times New Roman;serif"/>
          <w:b/>
          <w:color w:val="231F20"/>
          <w:sz w:val="20"/>
        </w:rPr>
        <w:t>Cell Analyzer</w:t>
      </w:r>
    </w:p>
    <w:p>
      <w:pPr>
        <w:pStyle w:val="TextBody"/>
        <w:bidi w:val="0"/>
        <w:spacing w:lineRule="auto" w:line="288" w:before="12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The Cytek Guava Muse cell analyzer is a compact, easy-to-use benchtop device with a user-friendly touchscreen interface and intuitive cell analysis software. The Muse system delivers high-performance cell analysis using microcapillary technology and miniaturized optics. Laser-based fluorescence detection of each cell event can evaluate up to three cellular parameters, providing more quantitative results than non-flow cytometry-based imaging systems.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Cytek Muse Micro Cell Analyzer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2025, we launched the Cytek Muse Micro cell analyzer built on the legacy of the original Guava Muse cell analyzer. The Cytek Muse Micro system is an affordable option that simplifies flow cytometry while enhancing ease-of-use, precision and versatility. It is equipped with a 488 nm blue laser and offers five parameters, including forward and side scatter alongside three fluorescent channels, and is designed to meet the diverse needs of testing and research environments across a wide range of industries, including drug discovery, water quality testing, biopharma, bioprocessing and wine and beer production. A high-precision displacement pump delivers accurate and precise cell counts, eliminating the need for calibration beads. The system includes Cytek InCyte™ software, empowering users to develop and run their own three-color assays, and pre-optimized kits and modules are available to streamline routine assays with reliable, reproducible results and minimal setup time.</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 xml:space="preserve">Cytek Guava easyCyte™ Flow Cytometer </w:t>
      </w:r>
    </w:p>
    <w:p>
      <w:pPr>
        <w:pStyle w:val="TextBody"/>
        <w:bidi w:val="0"/>
        <w:spacing w:lineRule="auto" w:line="288" w:before="12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 xml:space="preserve">The Cytek Guava easyCyte flow cytometer is a highly dynamic benchtop system with great sensitivity and optional high-throughput capabilities driven by intuitive software. The flexible configuration of the instrument allows for up to three lasers and 14 parameter measurements. Innovative microcapillary technology provides for direct absolute counting with industry-leading precision. </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Cytek Orion Reagent Cocktail Preparation System</w:t>
      </w:r>
    </w:p>
    <w:p>
      <w:pPr>
        <w:pStyle w:val="TextBody"/>
        <w:bidi w:val="0"/>
        <w:spacing w:lineRule="auto" w:line="288" w:before="12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The Cytek Orion reagent cocktail preparation system enables researchers to fully automate the preparation of antibody cocktails for flow cytometry. With the ability to concoct cocktails comprising of up to 60 individual antibodies, hands-on time is saved, allowing for increased efficiency and accuracy in the lab. The Cytek Orion reagent cocktail preparation system features robust, reliable cocktail preparation that eliminates potential user errors and pipetting mistakes; fast cocktail preparation that saves precious time in the lab; a robotic interface that allows for a decrease in repetitive motion from pipetting multi-color panels; and cooling and light protection to keep reagents stable.</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 xml:space="preserve">Automated Micro-Sampling System and Automated Sample Loader System </w:t>
      </w:r>
    </w:p>
    <w:p>
      <w:pPr>
        <w:pStyle w:val="TextBody"/>
        <w:bidi w:val="0"/>
        <w:spacing w:lineRule="auto" w:line="288" w:before="12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 xml:space="preserve">Our Automated Micro-Sampling (“AMS”) system and Automated Sample Loader (“ASL”) system were commercially launched in 2018 and 2021, respectively. The AMS and ASL systems are automated loaders designed to integrate seamlessly into the Cytek Aurora and Northern Lights systems, increasing sample throughput and adding automation capabilities to our FSP systems. The systems offer preset settings for ease of use, but also allow researchers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customize and fine-tune the systems for their unique experimental requirements. Both systems allow acquisition from standard 96-well plates, enabling automated sample acquisition without user intervention. The ASL adds additional compatibility with 96 deep-well plates, 38 well plates and 40-tube racks. Both systems have three throughput modes (high-throughput, default, low carryover) to meet changing customer priorities.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Reagents and Kits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launched our </w:t>
      </w:r>
      <w:r>
        <w:rPr>
          <w:rFonts w:ascii="Times New Roman;serif" w:hAnsi="Times New Roman;serif"/>
          <w:b w:val="false"/>
          <w:color w:val="231F20"/>
          <w:sz w:val="20"/>
        </w:rPr>
        <w:t>cFluor</w:t>
      </w:r>
      <w:r>
        <w:rPr>
          <w:rFonts w:ascii="Times New Roman;serif" w:hAnsi="Times New Roman;serif"/>
          <w:b w:val="false"/>
          <w:color w:val="231F20"/>
          <w:sz w:val="13"/>
        </w:rPr>
        <w:t>®</w:t>
      </w:r>
      <w:r>
        <w:rPr>
          <w:color w:val="000000"/>
        </w:rPr>
        <w:t xml:space="preserve"> </w:t>
      </w:r>
      <w:r>
        <w:rPr>
          <w:rFonts w:ascii="Times New Roman;serif" w:hAnsi="Times New Roman;serif"/>
          <w:b w:val="false"/>
          <w:color w:val="000000"/>
          <w:sz w:val="20"/>
        </w:rPr>
        <w:t xml:space="preserve">reagent products to provide additional options for researchers and clinical laboratories when choosing which biomarkers to run together in a panel, particularly since our Cytek Aurora, Cytek Aurora Evo, Northern Lights and Aurora CS systems allow for more fluorochromes to be run together than was previously commercially available. </w:t>
      </w:r>
      <w:r>
        <w:rPr>
          <w:rFonts w:ascii="Times New Roman;serif" w:hAnsi="Times New Roman;serif"/>
          <w:b w:val="false"/>
          <w:color w:val="231F20"/>
          <w:sz w:val="20"/>
        </w:rPr>
        <w:t xml:space="preserve">Our cFluor reagents are fluorochrome conjugated antibodies used to identify cells of interest for analysis on our instruments. </w:t>
      </w:r>
      <w:r>
        <w:rPr>
          <w:rFonts w:ascii="Times New Roman;serif" w:hAnsi="Times New Roman;serif"/>
          <w:b w:val="false"/>
          <w:color w:val="000000"/>
          <w:sz w:val="20"/>
        </w:rPr>
        <w:t xml:space="preserve">Our technology was able to inform our fluorochrome development through the identification of areas within the spectrum for which there were currently no available fluorochrome options.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offer and continue to develop additional cFluor immunoprofiling kits, which include cFluor conjugated antibody reagents and tools necessary to simplify the workflow from sample preparation to data analysis. For example, our 14-color immunoprofiling kit distinguishes different subsets of human T, B and natural killer (“NK”) cells and monocytes, while our 25-color immunoprofiling assay provides a turnkey solution for identifying major human immune subpopulations for T, B, NK cells and monocytes, as well as dendritic cells and basophils. The Cytek 13-color human B cell monitoring kit offers a turnkey solution for identifying and enumerating B cell subsets in human whole blood and peripheral blood mononuclear cells. In 2023, we introduced a single-tube 20-color panel for identifying and characterizing normal and aberrant cells and evaluating MRD in acute myeloid leukemia samples, and our pan leukocyte kit is designed to help researchers fully enumerate the complete set of major leukocyte subsets for drug discovery and development. In 2024, we released the Cytek 24-color mouse immunoprofiling panel for identifying and characterizing more than 20 mouse immune cell lineages including T, B and NK cells, dendritic cells, monocytes, and granulocyte populations, as well as cellular subpopulations. These research use only (“RUO”) products are optimized for use with our FSP systems and help improve operational efficiency for our customers.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single-color reagents are registered as Class 1 with the China National Medical Products Administration (the “NMPA”) and in the European Union under the IVDD. Our 6-color reagent cocktails that identify and determine the percentages and absolute counts of T, B and NK cells in peripheral blood are registered as Class 3 with the NMPA. We expect these reagent and application solutions to be a significant driver of our future reagent revenue and pull-through as our installed base of instruments grows.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 help accelerate our overarching goal to become a comprehensive solutions provider to our customers, we acquired the reagents business of Tonbo Biotechnologies Corporation in November 2021 </w:t>
      </w:r>
      <w:r>
        <w:rPr>
          <w:rFonts w:ascii="Times New Roman;serif" w:hAnsi="Times New Roman;serif"/>
          <w:b w:val="false"/>
          <w:color w:val="231F20"/>
          <w:sz w:val="20"/>
        </w:rPr>
        <w:t>(the “Tonbo Acquisition”) and offer reagents under the Tonbo</w:t>
      </w:r>
      <w:r>
        <w:rPr>
          <w:rFonts w:ascii="Times New Roman;serif" w:hAnsi="Times New Roman;serif"/>
          <w:b w:val="false"/>
          <w:color w:val="231F20"/>
          <w:sz w:val="13"/>
        </w:rPr>
        <w:t>®</w:t>
      </w:r>
      <w:r>
        <w:rPr>
          <w:color w:val="231F20"/>
        </w:rPr>
        <w:t xml:space="preserve"> </w:t>
      </w:r>
      <w:r>
        <w:rPr>
          <w:rFonts w:ascii="Times New Roman;serif" w:hAnsi="Times New Roman;serif"/>
          <w:b w:val="false"/>
          <w:color w:val="231F20"/>
          <w:sz w:val="20"/>
        </w:rPr>
        <w:t>brand. Additionally, we also offer Amnis and Guava-branded reagents and kits.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Software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proprietary SpectroFlo software is integrated into our systems and is unique in that it offers intuitive workflows for handling full spectrum flow cytometry data, from quality control to data acquisition and analysis. The software is optimized for our Cytek Aurora, Northern Lights and Cytek Aurora Evo systems to streamline instrument setup, automated quality control, data acquisition, data analysis, and data management. With the ability to import a previously designed experiment template, either from a collaborator or from an experiment designed in Cytek Cloud, users are able to quickly set up their experiments and there is no need to re-enter the panel design, acquisition criteria, reagent information or data analysis worksheets, fluorochrome names, cell markers, reagent lots, or acquisition criteria. With our SpectroFlo software, users can conveniently and efficiently collect both raw and unmixed FCS 3.1 files, which can be used to live unmix samples and extract autofluorescence that would otherwise negatively impact data resolution.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Built on the same intuitive SpectroFlo software workflows and user interface, we provide our SpectroFlo CS software with our Aurora CS systems and our SpectroPrep™ software with our Cytek Orion reagent cocktail preparation system. The SpectroFlo CS software enables the acquisition and analysis of cell populations with the same high-level resolution provided by our Cytek Aurora, Northern Lights and Cytek Aurora Evo systems, with the added ability to sort live cells of interest. The SpectroPrep software is wizard-based and guides users to automate their cocktail preparation.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Guava Muse and easyCyte systems, we utilize InCyte software that has an intuitive, easy-to-use interface that enables users to focus on data at the sample or experimental level. The software works with standard assay kits available from Cytek to streamline setup, compensation and data analysis and simplify complex, multi-color assays. InCyte software includes heat-mapping features to rapidly evaluate samples from multi-well plates with multi-parametric data. The software allows for easy integration for 21 CFR Part 11 environments as well as direct integration with robotic arm and liquid handlers through the GuavaLink™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For ImageStream systems, our IDEAS</w:t>
      </w:r>
      <w:r>
        <w:rPr>
          <w:rFonts w:ascii="Times New Roman;serif" w:hAnsi="Times New Roman;serif"/>
          <w:b w:val="false"/>
          <w:color w:val="231F20"/>
          <w:sz w:val="13"/>
        </w:rPr>
        <w:t>®</w:t>
      </w:r>
      <w:r>
        <w:rPr>
          <w:color w:val="000000"/>
        </w:rPr>
        <w:t xml:space="preserve"> </w:t>
      </w:r>
      <w:r>
        <w:rPr>
          <w:rFonts w:ascii="Times New Roman;serif" w:hAnsi="Times New Roman;serif"/>
          <w:b w:val="false"/>
          <w:color w:val="000000"/>
          <w:sz w:val="20"/>
        </w:rPr>
        <w:t>software packages with machine learning and Amnis AI software combine image analysis, statistical rigor, and visual confirmation in an easy-to-use software suite that works seamlessly with data sets generated on the ImageStream system. The Image Gallery allows users to see every image of every cell or perform a “virtual cell sort” to inspect and validate cells within a specific population. Every dot in every scatter plot is linked to the corresponding cell imagery. Machine learning modules add the power of computer learning and the ability to create experiment-specific super features tailored to maximize separation of critical populations using the thousands of features in an IDEAS analysis. The Amnis AI analysis software package takes advantage of deep learning using convolutional neural networks to greatly simplify analysis and accurately identify even the most subtle of cell differences.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Customer Support Tools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strive to continually innovate by developing new quantitative tools, which are integrated into our software or available to our customers on our website, to enable users to independently create high-color panels for use with our systems, to support efficient workflow solutions and to provide an intuitive user experience. In November 2022, </w:t>
      </w:r>
      <w:r>
        <w:rPr>
          <w:rFonts w:ascii="Times New Roman;serif" w:hAnsi="Times New Roman;serif"/>
          <w:b w:val="false"/>
          <w:color w:val="231F20"/>
          <w:sz w:val="20"/>
        </w:rPr>
        <w:t>we launched Cytek</w:t>
      </w:r>
      <w:r>
        <w:rPr>
          <w:rFonts w:ascii="Times New Roman;serif" w:hAnsi="Times New Roman;serif"/>
          <w:b w:val="false"/>
          <w:color w:val="231F20"/>
          <w:sz w:val="13"/>
        </w:rPr>
        <w:t>®</w:t>
      </w:r>
      <w:r>
        <w:rPr>
          <w:color w:val="231F20"/>
        </w:rPr>
        <w:t xml:space="preserve"> </w:t>
      </w:r>
      <w:r>
        <w:rPr>
          <w:rFonts w:ascii="Times New Roman;serif" w:hAnsi="Times New Roman;serif"/>
          <w:b w:val="false"/>
          <w:color w:val="231F20"/>
          <w:sz w:val="20"/>
        </w:rPr>
        <w:t xml:space="preserve">Cloud, a digital ecosystem that supports full spectrum flow cytometry research from panel design to data acquisition, seamlessly integrating with our SpectroFlo software. Cytek Cloud features three integrated online tools, Full Spectrum Viewer, Panel Builder and Experiment Builder, to streamline experiment workflow on our Cytek Aurora, Northern Lights and Aurora CS systems.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 fluorochrome (color) selection is a key component of assay development and optimization, our Full Spectrum Viewer is a unique tool capable of displaying the full emission spectrum of a fluorochrome (emission at different wavelengths post-excitation with multiple lasers). Our FSP technology provides an in-depth understanding of the fluorescence emission characteristics of nearly every color available in the market and our Full Spectrum Viewer provides users with comprehensive information regarding emission characteristics of the fluorochromes to optimize fluorochrome selection for assay development. As a complementary tool to our Full Spectrum Viewer, our Similarity</w:t>
      </w:r>
      <w:r>
        <w:rPr>
          <w:color w:val="231F20"/>
        </w:rPr>
        <w:t>™</w:t>
      </w:r>
      <w:r>
        <w:rPr>
          <w:color w:val="000000"/>
        </w:rPr>
        <w:t xml:space="preserve"> </w:t>
      </w:r>
      <w:r>
        <w:rPr>
          <w:rFonts w:ascii="Times New Roman;serif" w:hAnsi="Times New Roman;serif"/>
          <w:b w:val="false"/>
          <w:color w:val="000000"/>
          <w:sz w:val="20"/>
        </w:rPr>
        <w:t>and Complexity</w:t>
      </w:r>
      <w:r>
        <w:rPr>
          <w:color w:val="231F20"/>
        </w:rPr>
        <w:t>™</w:t>
      </w:r>
      <w:r>
        <w:rPr>
          <w:color w:val="000000"/>
        </w:rPr>
        <w:t xml:space="preserve"> </w:t>
      </w:r>
      <w:r>
        <w:rPr>
          <w:rFonts w:ascii="Times New Roman;serif" w:hAnsi="Times New Roman;serif"/>
          <w:b w:val="false"/>
          <w:color w:val="000000"/>
          <w:sz w:val="20"/>
        </w:rPr>
        <w:t xml:space="preserve">indices provide unique metrics for assessing fluorochrome compatibility within a panel. The Similarity index compares the emission spectrum of two dyes, identifying whether the dyes have unique characteristics or if the dyes are identical, which determines whether they can be used together to analyze a sample in a flow cytometry assay. The Complexity index is a metric that predicts how well a panel of colors will work in combination to minimize loss of resolution and sensitivity.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Panel Builder tool combines all the features of the Full Spectrum Viewer with additional tools for panel design and collaboration in a simple and organized interface. Users can quickly visualize, compare, and optimize their fluorochrome selections with a suite of spectral panel design tools in real-time, allowing them to build their panels faster. To simplify panel design further, we expanded the capabilities of Panel Builder with the addition of our SpectroPanel™ tool, a proprietary new intelligent algorithm which suggests optimized panels in minutes, reducing the panel design time from days and weeks. Optimized for our FSP technology, the SpectroPanel tool automates the assignment of fluorochromes to markers, removing the labor-intensive manual process. It also enables researchers to design panels with ease, taking into account antigen density, marker expression, reagent availability, and reagent preferences. Users can access cFluor and Tonbo reagents within the platform, via built-in Cytek and partner catalogs. In addition, users can jumpstart their panel design process with a built-in repository of pre-designed panels like the Cytek reagent kits and optimized multicolor immunofluorescence panels. Users can also easily manage and share their panels between colleagues to enable faster collaboration.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Experiment Builder tool allows users to set up their experiments in advance to make efficient use of their time on the instrument. In addition, users can auto-populate fluorochromes and marker names and seamlessly transfer panels from Panel Builder to Experiment Builder with a single click, removing redundancies and simplifying the workflow.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these workflow</w:t>
        <w:noBreakHyphen/>
        <w:t>enhancing tools, we expanded the Cytek Cloud ecosystem with the introduction of Quote Builder, a tool designed to streamline the purchasing process for reagents once a panel has been built. Quote Builder enables users to generate quotes within the platform to make it easier to purchase. We also began monetizing Cytek Cloud through paid annual licenses with paid tiers that provide enhanced features and expanded functionality to support further innovation while creating value for customers and deepening their engagement with our digital ecosystem.</w:t>
      </w:r>
    </w:p>
    <w:p>
      <w:pPr>
        <w:pStyle w:val="TextBody"/>
        <w:bidi w:val="0"/>
        <w:spacing w:lineRule="auto" w:line="288" w:before="120" w:after="283"/>
        <w:jc w:val="both"/>
        <w:rPr/>
      </w:pPr>
      <w:r>
        <w:rPr>
          <w:rFonts w:ascii="Times New Roman;serif" w:hAnsi="Times New Roman;serif"/>
          <w:b/>
          <w:color w:val="000000"/>
          <w:sz w:val="20"/>
        </w:rPr>
        <w:t>DxP Athena™</w:t>
      </w:r>
      <w:r>
        <w:rPr>
          <w:color w:val="231F20"/>
        </w:rPr>
        <w:t xml:space="preserve"> </w:t>
      </w:r>
      <w:r>
        <w:rPr>
          <w:rFonts w:ascii="Times New Roman;serif" w:hAnsi="Times New Roman;serif"/>
          <w:b/>
          <w:color w:val="231F20"/>
          <w:sz w:val="20"/>
        </w:rPr>
        <w:t>System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DxP Athena conventional flow cytometry system commercially launched in 2016 and is currently available for sale only in China. It is certified for clinical use by China NMPA. The DxP Athena system incorporates technology with efficient photomultiplier tubes to enable high sensitivity and high resolution and our proprietary QbSure software to ensure optimal daily instrument performance. The system is available in multiple configurations with one to three lasers and up to 13 fluorescence detection channels. The automated monthly clean bleach cycle minimizes downtime, streamlines maintenance and encourages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distribute our products through our direct sales force and support organizations located in North America, Europe, China and several other countries in the Asia-Pacific region, and through distributors or sales agents in several countries in Europe, Latin America, the Middle East and the Asia-Pacific region. Our sales and marketing efforts are targeted at academic and governmental institutions, CROs, pharmaceutical and biotechnology companies and clinical laboratories focused on single-cell analysis.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sales process often involves interactions and demonstrations with multiple people within an organization. Some potential customers conduct in-depth evaluations of the system, including running experiments on our system and competing systems. In addition, in many countries outside of North America, sales to academic or governmental institutions require participation in a tender process involving preparation of extensive documentation and a lengthy review process. As a result of these factors and the budget cycles of our customers, the sales cycle on our instrument, the time from initial contact with a customer to our receipt of a purchase order, can be six months or longer.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MANUFACTURING AND SUPPLY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manufacturing operations are located in Fremont, California; San Diego, California; Seattle, Washington; Wuxi, China; and Singapore.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commenced manufacturing operations in Fremont, California in 2015. </w:t>
      </w:r>
      <w:r>
        <w:rPr>
          <w:rFonts w:ascii="Times New Roman;serif" w:hAnsi="Times New Roman;serif"/>
          <w:b w:val="false"/>
          <w:color w:val="231F20"/>
          <w:sz w:val="20"/>
        </w:rPr>
        <w:t xml:space="preserve">We relocated our Fremont headquarters and manufacturing facility in October 2021 to provide us with expansion capability to support our growth. </w:t>
      </w:r>
      <w:r>
        <w:rPr>
          <w:rFonts w:ascii="Times New Roman;serif" w:hAnsi="Times New Roman;serif"/>
          <w:b w:val="false"/>
          <w:color w:val="000000"/>
          <w:sz w:val="20"/>
        </w:rPr>
        <w:t xml:space="preserve">Our Fremont facility maintains ISO 13485 certification and manufactures our Cytek Aurora, Cytek Aurora Evo and Aurora CS systems, as well as spare parts. </w:t>
      </w:r>
      <w:r>
        <w:rPr>
          <w:rFonts w:ascii="Times New Roman;serif" w:hAnsi="Times New Roman;serif"/>
          <w:b w:val="false"/>
          <w:color w:val="231F20"/>
          <w:sz w:val="20"/>
        </w:rPr>
        <w:t xml:space="preserve">Our San Diego facility, which was assumed in connection with the Tonbo Acquisition to manufacture our reagent products, was awarded ISO 13485 certification in August 2024. Our Seattle, Washington facility was assumed in connection with an acquisition in February 2023 and manufactured our Amnis instruments and spare parts until December 31,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Wuxi manufacturing facility commenced operations in 2017. In November 2023, we purchased a new building in Wuxi, China and relocated substantially all of our Wuxi operations to the new facility in January 2024. The new Wuxi manufacturing facility maintains ISO 13485 certification and manufactures our Cytek Aurora, Cytek Aurora Evo, Northern Lights, Aurora CS, Guava and Athena instruments, certain reagents and spare parts. Our instruments and reagents for clinical use are currently manufactured only by our Wuxi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instruments manufactured in our Wuxi facility are delivered to our Singapore facility for secondary assembly and testing. We established the manufacturing facility in Wuxi, China to take advantage of the skilled workforce, supplier and partner network, lower operating costs and available government support. We are able to hire skilled employees from China’s existing in vitro diagnostic and optical product industry. China also has a broad network of potential suppliers and partners for our manufacturing operations, and we are able to locally source a large portion of the raw materials required for our manufacturing processes. We have received incentive grants from the local Wuxi government for research, development, and manufacturing.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Singapore manufacturing facility commenced operations in March 2025. The new manufacturing facility manufactures our Cytek Aurora, Cytek Aurora Evo, Northern Lights, Aurora CS and Amnis ImageStream systems, and certain reagents and spare parts.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having multiple locations capable of manufacturing for our core products would help mitigate the potential impact of a production disruption at any one of our facilities and/or any major changes in the macro trade environment to ensure a reliable, resilient and stable supply chain and product availability for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that our existing manufacturing capacity for instrumentation and reagents will be sufficient to meet our anticipated needs for at least the next several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certain components and materials used in our systems. Key components in our products that are supplied by sole or limited source suppliers include certain lasers and semiconductors that are used in our optical and electrical subassemblies. While we are in the process of qualifying additional sources of supply, qualifications can take 12 to 24 months and, in some cases, longer. If we were to lose one or more of our sole or limited source suppliers, it would take significant time and effort to qualify alternative suppliers. With respect to many of our suppliers, we are neither a major customer, nor do we have long-term supply contracts. These suppliers may therefore give other customers’ needs higher priority than ours, and we may not be able to obtain adequate supply in a timely manner or on commercially reasonable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from within the cell analysis and life sciences tools market. We currently compete with established and early stage life sciences and in vitro diagnostics companies developing or commercializing flow cytometry instruments and consumables, as well as other companies that design, manufacture and market instruments, accessories, consumables, reagent kits and software for, among other applications, cell analysis, immunophenotyping, cell sorting and/or provide services related to the same. Our direct competitors include Agilent Technologies, Beckman Coulter (Danaher Corporation), Bio-Rad Laboratories, Standard BioTools, Miltenyi Biotec, Sony Biotechnology (Sony Corporation), Thermo Fisher Scientific and Waters Corporation. Our target customers may also elect to develop their workflows on conventional flow cytometers or use traditional methods, rather than implementing our platform, or existing customers may decide to stop using our platform. In addition, there are many large, established companies in the life sciences tools market that we do not currently compete with but that could develop instruments, tools or other products that will compete with us in the future. These companies have substantially greater financial and other resources than us, including larger research and development, quality and regulatory staff or more established marketing and sales forces.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further discussion of the risks we face relating to competition, see the section titled “Risk Factors— Risks Related to Our Business and Strategy—The market for cell analysis technologies and life sciences tools, including flow cytometry, is highly competitive, and if we cannot compete successfully with our competitors, we may be unable to increase or sustain our revenue, or achieve and sustain profitability.”</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INTELLECTUAL PROPERTY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and maintain patent and other proprietary protection for our commercially important technology, inventions and know-how; to defend and enforce our patents; and to operate without third parties infringing, misappropriating or violating our proprietary rights. We have developed our own portfolio of issued patents and patent applications directed at our core and system level technology, including claims directed to methods and apparatus of flow cytometers and cell sorters with excitation, fluidics, emission, mechanical, magnetic, electronics, bio-safety and temperature control technology in configurations of our Cytek Aurora, Cytek Aurora Evo, Aurora CS, Northern Lights and Northern Lights-CLC systems. We also own a number of issued patents related to the Amnis and Guava families of flow cytometer products acquired in a February 2023 acquisition. We generally seek patent protection in the United States, Japan, China, the United Kingdom and selected countries of the European Union, such as France and Germany. Notwithstanding these efforts, we cannot be sure that patents will be granted with respect to any patent applications we have filed or may license or file in the future, and we cannot be sure that any patents we own or license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“Risk Factors—Risks Related to Our Intellectual Property.”</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December 31, 2025, we own 34 issued U.S. utility patents, 11 issued Japan utility patents, six issued European utility patents, six issued China utility patents, one Canada utility patent, one India utility patent, two Australian utility patents, and three Singapore utility patents. We have 70 pending utility patent applications, including 47 utility patent applications in the United States, three international utility patent applications, eight utility patent applications in the European Union, eight utility patent applications in China, and four utility patent applications in Japan. Assuming all maintenance fees are paid, the U.S. issued patents are expected to naturally expire between years 2026 and 2041. Patents covering intellectual property relating to design specific technologies invented by our researchers in Shanghai and Wuxi, China are filed in China and owned by our China subsidiaries, respectively. </w:t>
      </w:r>
      <w:r>
        <w:rPr>
          <w:rFonts w:ascii="Times New Roman;serif" w:hAnsi="Times New Roman;serif"/>
          <w:b w:val="false"/>
          <w:color w:val="000000"/>
          <w:sz w:val="20"/>
        </w:rPr>
        <w:t xml:space="preserve">As of December 31, 2025, our Shanghai subsidiary owns 12 issued utility patents and eight issued invention patents and has two pending invention patent applications, </w:t>
      </w:r>
      <w:r>
        <w:rPr>
          <w:rFonts w:ascii="Times New Roman;serif" w:hAnsi="Times New Roman;serif"/>
          <w:b w:val="false"/>
          <w:color w:val="000000"/>
          <w:sz w:val="20"/>
          <w:shd w:fill="FFFFFF" w:val="clear"/>
        </w:rPr>
        <w:t xml:space="preserve">and our Wuxi subsidiary owns </w:t>
      </w:r>
      <w:r>
        <w:rPr>
          <w:rFonts w:ascii="Times New Roman;serif" w:hAnsi="Times New Roman;serif"/>
          <w:b w:val="false"/>
          <w:color w:val="000000"/>
          <w:sz w:val="20"/>
        </w:rPr>
        <w:t>42</w:t>
      </w:r>
      <w:r>
        <w:rPr>
          <w:color w:val="000000"/>
          <w:shd w:fill="FFFFFF" w:val="clear"/>
        </w:rPr>
        <w:t xml:space="preserve"> </w:t>
      </w:r>
      <w:r>
        <w:rPr>
          <w:rFonts w:ascii="Times New Roman;serif" w:hAnsi="Times New Roman;serif"/>
          <w:b w:val="false"/>
          <w:color w:val="000000"/>
          <w:sz w:val="20"/>
          <w:shd w:fill="FFFFFF" w:val="clear"/>
        </w:rPr>
        <w:t xml:space="preserve">issued utility patents and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issued invention patent and has </w:t>
      </w:r>
      <w:r>
        <w:rPr>
          <w:rFonts w:ascii="Times New Roman;serif" w:hAnsi="Times New Roman;serif"/>
          <w:b w:val="false"/>
          <w:color w:val="000000"/>
          <w:sz w:val="20"/>
        </w:rPr>
        <w:t>five</w:t>
      </w:r>
      <w:r>
        <w:rPr>
          <w:color w:val="000000"/>
          <w:shd w:fill="FFFFFF" w:val="clear"/>
        </w:rPr>
        <w:t xml:space="preserve"> </w:t>
      </w:r>
      <w:r>
        <w:rPr>
          <w:rFonts w:ascii="Times New Roman;serif" w:hAnsi="Times New Roman;serif"/>
          <w:b w:val="false"/>
          <w:color w:val="000000"/>
          <w:sz w:val="20"/>
          <w:shd w:fill="FFFFFF" w:val="clear"/>
        </w:rPr>
        <w:t xml:space="preserve">pending utility patent applications and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pending invention patent applications.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our knowledge, there are no third-party claims or contested proceedings with the issued patents or pending patent applications other than the ordinary course proceedings with pending patent applications before the respective patent offices. However, 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proceedings, or may be challenged in litigation, and such challenges could result in a determination that the patent is invalid. In addition, competitors may be able to design alternative methods or devices that avoid infringement of our patents. Furthermore, numerous U.S. and foreign-issued patents and patent applications owned by third parties exist in the fields in which our products compete. Because patent applications can take many years to publish, there may be applications unknown to us, which may result in issued patents that our existing or future products or technologies may be alleged to infringe. To the extent our intellectual property protection offers inadequate protection, or is found to be invalid, we are exposed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and there has been substantial litigation regarding patent and other intellectual property rights in the medical device and laboratory equipment industries. In addition, our competitors and others may have patents or may in the future obtain patents and claim that use of our products infringes these patents. See Note 18 to our consolidated financial statements included elsewhere in this Annual Report on Form 10-K for information regarding ongoing legal proceedings. We could incur substantial costs and divert the attention of our management and technical personnel in defending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obtain one or more licenses from third parties, or be prohibited from selling certain products. We may not be able to obtain these licenses at a reasonable cost, if at all.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KEY AGREEMENTS, LICENSES AND COLLABORATIONS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Biotium, Inc. Supply and License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 2020, we entered into a Supply and License Agreement with Biotium, Inc. (“Biotium”) pursuant to which Biotium agreed to supply, and we obtained a worldwide, non-exclusive license to market and resell to our customers and distributors, certain Biotium products to conjugate proteins and/or antibodies and to use such conjugates as a component in our cFluor reagent products, for research and analyte specific reagents (as defined by 21 CFR 864.4020) use only (the “Field of Use”) (the “Biotium Agreement”). In consideration for such rights, we paid Biotium an upfront fee of $20,000 and will pay Biotium royalties at a mid-to-high single digit percentage rate on worldwide net sales on licensed products within the Field of Use. The Biotium Agreement terminates on the expiration of the last to expire of the valid claims of the Biotium patents subject to the Biotium Agreement. Either party may terminate the Biotium Agreement for the other party’s bankruptcy or uncured material breach or if no Biotium product is purchased for an extended period; however, if such termination is by Biotium, we will have the opportunity to make a purchase following written notice from Biotium to avoid such termination. Our license under the Biotium Agreement does not include diagnostic use, which may be added through an amendment and additional payment to Biotium.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Becton, Dickinson and Company Settlement, License and Equity Issuance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13, 2018, Becton, Dickinson and Company (“BD”) filed a lawsuit against us alleging trade secret misappropriation and copyright infringement. On October 6, 2020, we entered into a Settlement, License and Equity Issuance Agreement with BD pursuant to which we and BD agreed to a mutual release of all claims against each other as of the date thereof (the “BD Agreement”). As part of the settlement, BD granted us a non-exclusive, irrevocable, perpetual, worldwide, and non-transferrable license to certain BD patents and covenanted that it would not enforce, or permit or encourage the enforcement of BD patents against us or our affiliates in connection with the development, manufacture, use, importation, offer for sale or sale of our then-current instruments. In exchange, we agreed that we and our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our products, (iii) a $6.0 million milestone payment upon the occurrence of a certain sales threshold, and (iv) a specified payment upon the closing of a change of control transaction, if any. We also issued 2,087,545 shares of our common stock to BD during the year ended December 31, 2020 in connection with the BD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Coherent NA, Inc. Supply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August 25, 2021, we and Cytek (Wuxi) Biosciences Co., Ltd, our Wuxi, China subsidiary (“Cytek Wuxi”), entered into a Supply Agreement (the “Coherent Agreement”) with Coherent NA, Inc. (“Coherent”), which was amended on August 12, 2025 by Contract Amendment No. 1 (as amended, the “Coherent Agreement”) to extend the term, update pricing, and add our Singapore subsidiary, Cytek Biosciences Pte. Ltd. (“Cytek Singapore”), as a party to the agreement. Pursuant to the Coherent Agreement, Coherent has agreed to sell and supply to us, Cytek Wuxi, and Cytek Singapore, on a non-exclusive basis, laser products manufactured by Coherent. We, Cytek Wuxi, and Cytek Singapore provide Coherent with rolling forecasts of our anticipated orders, which are non-binding. Purchase orders submitted by us, Cytek Wuxi, and Cytek Singapore pursuant to the terms of the Coherent Agreement will be deemed accepted upon written acknowledgement of acceptance by Coherent. The Coherent Agreement had an initial term of three years and will automatically renew for a subsequent one-year period unless either party provides written notice of non-renewal at least four (4) months prior to the expiration of the initial term. The Coherent Agreement may be terminated prior to the end of its term upon the occurrence of certain specified events.</w:t>
      </w:r>
      <w:r>
        <w:rPr>
          <w:color w:val="000000"/>
        </w:rPr>
        <w:t xml:space="preserve">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focused on developing innovative products to meet unmet market needs and maintaining a diverse and inclusive work environment where employees are respected and encouraged to share their unique perspectives and ideas. As of December 31, 2025, we had 702 full-time employees. We believe that the success of our business will depend, in part, on our ability to attract and retain qualified personnel. Our employees are neither represented by a labor union nor party to a collective bargaining agreement and we believe that we have strong employee relations.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Culture and Values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seek to maintain high ethical standards and a culture that values honesty, integrity, accountability and transparency in all that we do. We are committed to our employees and to the communities we serve worldwide. It is our philosophy to foster open communication and our employees are encouraged to provide input on ways to improve our business strategy and tactics, work environment and organization. We believe that our ability to provide employees with a dynamic environment and professional growth opportunities drives a culture embedded in our values.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Business Ethics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committed to conducting our business activities with employees, consultants, vendors, customers, communities and stockholders with integrity and fairness and in accordance with the highest ethical standards. We believe that our conduct has a direct impact on our reputation, our brand and our stakeholders. We are focused on ensuring that our legal, compliance and risk mitigation protocols further enhance our ability to comport ourselves with the highest levels of ethical standards.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Talent Attraction, Retention and Engagement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By focusing on individual performance, as well as teamwork and collaboration, we believe that we foster an environment that helps employees excel as individuals and as team members. To further engage and incentivize our workforce, we offer programs and avenues for support, motivation and professional development. For example, we utilize both instructor-led training and online learning to deliver proprietary, targeted training courses designed to position our commercial organization as the leading cell analysis solutions provider. For our talent pipeline development, we work closely with individual business functions to provide training and hands-on support for managers and leaders.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Compensation Philosophy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strive to provide comprehensive compensation, including cash, equity, benefits and services that attract, motivate and retain exceptional employees. Compensation is driven by local market conditions, internal equity and employee performance.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Health and Wellness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offer a comprehensive package including: retirement savings plan, medical, dental and vision insurance, life insurance, short-and long-term disability insurance, paid holidays and paid time off for vacation and incidental time due to sickness or to handle personal affairs.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GOVERNMENT REGULATION AND PRODUCT APPROVAL</w:t>
      </w:r>
    </w:p>
    <w:p>
      <w:pPr>
        <w:pStyle w:val="TextBody"/>
        <w:bidi w:val="0"/>
        <w:spacing w:lineRule="auto" w:line="288" w:before="120" w:after="283"/>
        <w:jc w:val="both"/>
        <w:rPr/>
      </w:pPr>
      <w:r>
        <w:rPr>
          <w:rFonts w:ascii="Times New Roman;serif" w:hAnsi="Times New Roman;serif"/>
          <w:b/>
          <w:color w:val="000000"/>
          <w:sz w:val="20"/>
        </w:rPr>
        <w:t>FDA Regulation of Medical Devices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FDA and other U.S. and foreign governmental agencies regulate, among other things, with respect to medical devices: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design, development and manufacturing;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testing, labeling, content and language of instructions for use and storage;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clinical trials;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product safety;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marketing, sales and distribution;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pre-market clearance and approval;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record keeping procedures;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advertising and promotion;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recalls and field safety corrective actions;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post-market surveillance, including reporting of deaths or serious injuries and malfunctions that, if they were to recur, could lead to death or serious injury;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post-market approval studies;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product import and export.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numerous laws and regulations govern all the processes by which medical devices are brought to market and marketed. These include the U.S. Federal Food, Drug and Cosmetic Act (“FDCA”) and the FDA’s implementing regulations, among others. </w:t>
      </w:r>
    </w:p>
    <w:p>
      <w:pPr>
        <w:pStyle w:val="TextBody"/>
        <w:bidi w:val="0"/>
        <w:spacing w:lineRule="auto" w:line="288" w:before="120" w:after="283"/>
        <w:jc w:val="both"/>
        <w:rPr/>
      </w:pPr>
      <w:r>
        <w:rPr>
          <w:rFonts w:ascii="Times New Roman;serif" w:hAnsi="Times New Roman;serif"/>
          <w:b/>
          <w:color w:val="000000"/>
          <w:sz w:val="20"/>
        </w:rPr>
        <w:t>FDA Pre-market Clearance and Approval Requirements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Each medical device we seek to commercially distribute in the United States must first receive 510(k) clearance, de novo classification, or approval of a pre-market approval (“PMA”) application, from the FDA, unless specifically exempted. Both the 510(k) clearance and PMA processes can be resource intensive, expensive and lengthy, and require payment of significant user fees, unless an exemption is available.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classifies all medical devices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Management System Regulation (“QMSR”),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additional conditions set forth in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are placed in Class III, requiring approval of a PMA application. Some pre-amendment devices are unclassified, but are subject to the FDA’s pre-market notification and clearance process in order to be commercially distributed.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510(k) Clearance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obtain 510(k) clearance, we must submit a pre-market notification to the FDA demonstrating that the proposed device is substantially equivalent to a previously-cleared 510(k) device, a device that was in commercial distribution before May 28, 1976 for which the FDA has not yet called for the submission of PMA applications, or is a device that has been reclassified from Class III to either Class II or I. In rare cases, Class III devices may be cleared through the 510(k) process. The FDA’s 510(k) clearance process usually takes from three to 12 months from the date the application is submitted and filed with the FDA, but may take significantly longer, particularly for a novel type of product. Although many 510(k) pre-market notifications are cleared without clinical data, in some cases, the FDA requires significant clinical data to support substantial equivalence. In reviewing a pre-market notification submission, the FDA may request additional information, including clinical data, which may significantly prolong the review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the FDA agrees that the device is substantially equivalent to a predicate device currently on the market, it will grant 510(k) clearance to commercially market the device. If the FDA determines that the device is “not substantially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equivalent” to a previously cleared device, the device is automatically designated as a Class III device. The device sponsor must then fulfill more rigorous PMA requirements, or can request a risk-based classification determination for the device in accordance with the de novo classification process, which is a route to market for novel medical devices that are low to moderate risk and are not substantially equivalent to a predicate device. Once a de novo application is reviewed and approved, it results in the device having a Class II status and future devices from the company or a competitor may use the company’s de novo-classified device as a 510(k) predicate.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After a device receives 510(k) clearance, any subsequent modification of the device that could significantly affect its safety or effectiveness, or that would constitute a major change in its intended use, will require a new 510(k) clearance or could require a PMA. The FDA requires each manufacturer to make this determination initially, but the FDA may review any such decision and may disagree with a manufacturer’s determination. If the FDA disagrees with a manufacturer’s determination, the FDA may require the manufacturer to cease marketing and/or recall the modified device until 510(k) clearance or approval of a PMA is obtained. Under these circumstances, the FDA may also subject a manufacturer to significant regulatory fines or other penalties.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 Novo Classification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Pre-Market Approval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PMA application must be submitted if the medical device is in Class III (although the FDA has the discretion to continue to allow certain pre- amendment Class III devices to use the 510(k) process) or cannot be cleared through the 510(k) process. A PMA application must be supported by, among other things, extensive technical, preclinical, and clinical trials, as well as manufacturing and labeling data to demonstrate to the FDA’s satisfaction the safety and effectiveness of the device.</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Research Use Only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operations may be subject to extensive and rigorous regulation by the FDA and other federal, state, or local authorities, as well as foreign regulatory authorities. An RUO product is one that is not intended for clinical diagnostic use and must be labeled “For Research Use Only. Not for use in diagnostic procedures.” RUO products cannot make any claims related to safety, effectiveness or diagnostic utility and they cannot be intended for human clinical diagnostic use. Products that are intended for research use only and are properly labeled as RUO are exempt from compliance with the FDA requirements discussed above, including the approval or clearance and most QMSR requirements. A product labeled RUO but intended to be used diagnostically may be viewed by the FDA as adulterated and misbranded under the FDCA and is subject to FDA enforcement activities. The FDA may consider the totality of the circumstances surrounding distribution and use of an RUO product, including how the product is marketed, when determining its intended use. In November 2013 the FDA issued a guidance document entitled “Distribution of In Vitro Diagnostic Products Labeled for Research Use Only or Investigational Use Only” (the “RUO Guidance”) which highlights the FDA’s interpretation that distribution of RUO products with any labeling, advertising or promotion that suggests that clinical laboratories can validate the test through their own procedures and subsequently offer it for clinical diagnostic use as a laboratory developed test is in conflict with RUO status. The RUO Guidance further articulates the FDA’s position that any assistance offered in performing clinical validation or verification, or similar specialized technical support, to clinical laboratories, conflicts with RUO status. If the FDA were to determine, based on the totality of circumstances,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labeled and marketed for RUO are intended for diagnostic purposes, they would be considered medical products that will require clearance or approval prior to commercialization.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Laboratory-developed tests (LDTs)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Pervasive and Continuing U.S. Food and Drug Administration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After a medical device is placed on the market, numerous FDA regulatory requirements apply, including, but not limited to the following: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QMSR, which requires manufacturers to follow design, testing, control, documentation and other quality assurance procedures during the manufacturing process;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establishment registration, which requires establishments involved in the production and distribution of medical devices, intended for commercial distribution in the United States, to register with the FDA;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medical device listing, which requires manufacturers to list the devices they have in commercial distribution with the FDA;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clearance or approval of product modifications to 510(k)-cleared devices that could significantly affect safety or effectiveness or that would constitute a major change in intended use of one of our cleared devices;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requirement to place Unique Device Identifiers (UDI) on devices and also submit certain information about each device to the FDA’s Global Unique Device Identification Database;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FDA’s recall authority, whereby the agency can order device manufacturers to recall from the market a product that is in violation of governing laws and regulations;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labeling regulations, which prohibit “misbranded” devices from entering the market, as well as prohibit the promotion of products for unapproved or “off-label” uses and impose other restrictions on labeling;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post-market surveillance including Medical Device Reporting, which requires manufacturers report to the FDA if their device may have caused or contributed to a death or serious injury, or malfunctioned in a way that would likely cause or contribute to a death or serious injury if it were to recur.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FDA enforces these requirements by inspection and market surveillance. Failure to comply with applicable regulatory requirements may result in enforcement action by the FDA, which may include one or more of the following sanctions: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untitled letters or warning letters;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customer notifications for repair, replacement or refunds;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fines, injunctions, consent decrees and civil penalties;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mandatory recall or seizure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administrative detention or banning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operating restrictions, partial suspension or total shutdown of production;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refusing our request for 510(k) clearance or PMA of new product versions;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revocation of 510(k) clearance or PMAs previously granted;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criminal prosecution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Government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European Union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IVDR, among other things, is intended to establish a uniform, transparent, predictable and sustainable regulatory framework across the EEA for in vitro diagnostic medical devices and ensure a high level of safety and effectiveness while supporting innovation.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IVDR among other things: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strengthens the rules on placing devices on the market and reinforce surveillance once they are available;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establishes explicit provisions on manufacturers’ responsibilities for the follow-up of the quality, performance and safety of devices placed on the market;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improves the traceability of in vitro diagnostic medical devices throughout the supply chain to the end user or patient through a unique identification number;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sets up a central database to provide patients, healthcare professionals and the public with comprehensive information on products available in the EU;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strengthens rules for the assessment of certain high-risk devices, such as implants, which may have to undergo an additional check by experts before they are placed on the market.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that our products have already been self-certified under the previously existing regulatory framework, the IVDR allows us to market them provided that the requirements of the transitional provisions are fulfilled. In particular, the Declaration of Conformity in question must still be valid per the IVDR. Furthermore, the regulation introduces UDI, a bar code that must be placed on the label of the device or on its packaging and manufacturers are obligated to file adverse events reports via the Eudamed database in case there is an increase in the frequency or severity of incidents related to the in vitro diagnostic medical device.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Healthcare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 and future business activities are subject to healthcare regulation and enforcement by the federal government and the states and foreign governments in which we conduct our business. These laws include, without limitation, state and federal anti-kickback, fraud and abuse, false claims and physician sunshine laws and regulations.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federal Anti-Kickback Statute prohibits, among other things, any person from knowingly and willfully offering, soliciting, receiving or providing remuneration, directly or indirectly, overtly or covertly, in cash or in kind, to induce either the referral of an individual, for an item or service or the purchasing, leasing, ordering, or arranging for or recommending the purchase, lease or order of any good, facility, item or service, for which payment may be made, in whole or in part, under federal healthcare programs such as the Medicare and Medicaid programs.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this statute or specific intent to violate it to have committed a violation.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civil False Claims Act prohibits, among other things, knowingly presenting or causing the presentation of a false or fraudulent claim for payment to, or approval by, the U.S.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The federal government is using the False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Act, and the accompanying threat of significant liability, in its investigation and prosecution of life sciences companies throughout the country, for example, in connection with the promotion of products for unapproved uses and other sales and marketing practices. In addition, the government may assert that a claim including items or services resulting from a violation of the federal Anti-Kickback Statute constitutes a false or fraudulent claim for purposes of the civil False Claims Act.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majority of states also have anti-kickback laws which establish similar prohibitions and, in some cases, may apply to items or services reimbursed by any third-party payor, including commercial insurers.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HIPAA created new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no longer needs to have actual knowledge of the statute or specific intent to violate it to have committed a violation.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shifting commercial compliance environment and the need to build and maintain robust and expandable systems to comply with different compliance and/or reporting requirements in multiple jurisdictions increase the possibility that a healthcare company may violate one or more of the requirements. If our future operations are found to be in violation of any of such laws or any other governmental regulations that apply to us, we may be subject to significant penalties, including, without limitation, civil and criminal penalties, damages, fines, the curtailment or restructuring of our operations, exclusion from participation in federal and state healthcare programs and imprisonment.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 Foreign Corrupt Practices Act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 Foreign Corrupt Practices Act (“FCPA”) prohibits U.S. individuals, corporations and their directors, officers, and agents and representatives operating on their behalf from directly or indirectly offering, promising, authorizing, making or providing corrupt payments, gifts, or anything of value to any foreign government official, government staff member, political party or political candidate for the purpose of improperly influencing any act or decision of a foreign government entity to obtain, retain, or direct business. The scope of the FCPA would include interactions with certain healthcare professionals working for state-owned or controlled hospitals in many countries.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FCPA also obligates companies whose securities are listed on a national securities exchange in the United States to comply with accounting provisions which require the maintenance of books, records, and accounts that accurately and fairly reflect all transactions and dispositions of assets of the corporation and to devise and maintain an adequate system of internal accounting controls.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Privacy and Cybersecurity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collect, receive, store, process, generate, use, transfer, disclose, make accessible, protect, secure, dispose of, transmit, and share (collectively, process) personal data or other sensitive information, including proprietary and confidential business data, trade secrets, intellectual property and sensitive third-party data (collectively, sensitive data). Accordingly, we are, and may increasingly become, subject to numerous data privacy and security obligations, including federal, state, local, and foreign laws, regulations, guidance, and industry standards related to data privacy, security, and protection. Such obligations may include, without limitation, the Federal Trade Commission Act, the California Consumer Privacy Act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and, together with the EU GDPR, the “GDPR”), China’s Personal Information Protection Law (“PIPL”), and the Payment Card Industry Data Security Standard (“PCI DSS”).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Outside the United States,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See the section titled “We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 for additional information about the privacy and security laws and regulations to which we may become subject and about the risks to our business associated with such laws and regulations.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the third parties upon which we rely process personal data or other sensitive information, and, as a result, we and the third parties upon which we rely face a variety of evolving threats, which have in the past and could in the future cause security incidents. Such incidents may trigger obligations under privacy and security law, regulations, rules, and industry standards as well as policies, contractual obligations, and other obligations related to data privacy and security, in addition to leading to significant interruptions in our operations, ability to provide our products or services, loss of sensitive information and income. See the section titled “If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 for additional information about the risks to our business associated with cybersecurity threats.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and manufacturing processes involve the controlled use of hazardous materials, including flammables, toxics, corrosives and biologics. Our research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were incorporated under the laws of the state of Delaware in December 2014 under the name Cytoville, Inc. In August 2015, we changed our name to Cytek Biosciences, Inc. Our principal executive offices are located at 47215 Lakeview Blvd., Fremont, California 94538. Our telephone number is (877) 922-9835. Our website is www.cytekbio.com. Information contained on, or that can be accessed through, our website is not incorporated by reference into this Annual Report on Form 10-K, and you should not consider information on our website to be part of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charge on our website at www.investors.cytekbio.com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Annual Report on Form 10-K.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are highly dependent on a limited number of product offerings. Our revenue has been primarily generated from sales of our core Cytek Aurora, Northern Lights, Cytek Aurora cell sorter (“Cytek Aurora CS”), and Cytek Aurora Evo systems, which require a substantial sales cycle and are prone to quarterly fluctuations in revenue.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International operations and expansion of our international business expose us to business, regulatory, political, operational, financial and economic risks associated with doing business outside of the United States.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Tariffs or other government trade policies may materially adversely affect our business and results of operations, including by reducing demand for our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have limited experience manufacturing our products, and if we are unable to manufacture our products in high-quality commercial quantities successfully and consistently to meet demand, our growth will be limited.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future success is dependent upon our ability to increase penetration in our existing markets and expand into adjacent markets.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business is dependent on adoption of our products by academic and government institutions, contract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currently depends significantly on research and development spending by academic and government-owned institutions, a reduction in which could limit demand for our solutions and adversely affect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may acquire other businesses or form other joint ventures or make investments in other companies or technologies that could negatively affect our operating results, dilute our stockholders’ ownership, increase our debt or cause us to incur significant expense.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If we are unable to successfully expand our commercial operations, including hiring additional qualified sales representatives, technical applications specialists and customer support staff, our business may be adversely affected.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If we fail to maintain an effective system of internal controls, we may not be able to accurately or timely report our financial condition or results of operations.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need to raise additional capital to fund our existing operations, develop our products and/or expand our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Concentration of ownership of our common stock among our executive officers, directors, and principal stockholders and their respective affiliates may prevent new investors from influencing significant corporate decisions.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Business and Strategy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limited operating history and may encounter unforeseen expenses, difficulties, complications, delays and other known and unknown obstacles. We launched our first core commercial product, the Cytek Aurora system, in June 2017. Our Cytek Northern Lights system was commercially launched in October 2018, our Cytek Aurora CS system was first commercially shipped in June 2021, and we launched our Cytek Aurora Evo system in May 2025.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a limited number of product offerings. Our revenue has been primarily generated from sales of our core Cytek Aurora, Northern Lights, Cytek Aurora CS, and Cytek Aurora Evo systems, which require a substantial sales cycle and are prone to quarterly fluctuations in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of the Cytek Aurora, Northern Lights, Cytek Aurora CS, and Cytek Aurora Evo systems together accounted for a substantial portion of our revenue for the periods presented in this Annual Report on Form 10-K. We expect that, for at least the foreseeable future, sales of our Cytek Aurora, Northern Lights, Cytek Aurora CS, and Cytek Aurora Evo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Cytek Aurora CS, and Cytek Aurora Evo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sourced and will continue to source certain components of the Cytek Aurora, Cytek Northern Lights, Cytek Aurora CS, and Cytek Aurora Evo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entered into a Supply Agreement with Coherent NA, Inc. and certain of its affiliates (collectively, “Coherent”), which was amended on August 12, 2025 by Contract Amendment No. 1 (as amended, the “Coherent Agreement”) to extend the term, update pricing, and add our Singapore subsidiary, Cytek Biosciences Pte. Ltd. (“Cytek Singapore”), as a party to the agreement. Pursuant to the Coherent Agreement, Coherent has agreed to sell and supply to us, Cytek Wuxi, and Cytek Singapore, on a non-exclusive basis, laser products manufactured by Coherent. We, Cytek Wuxi, and Cytek Singapore provide Coherent with rolling forecasts of our anticipated orders, which are non-binding. Purchase orders submitted by us, Cytek Wuxi, and Cytek Singapore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identifying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International operations and expansion of our international business expose us to business, regulatory, political, operational, financial and economic risks associated with doing business outside of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the United States, China and Singapore. Doing business internationally involves a number of risks,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multiple, conflicting and changing laws and regulations such as privacy regulations, tax laws, export and import restrictions, tariffs, economic sanctions and embargoes, employment laws, regulatory requirements and other governmental approvals, permits and licenses;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failure by us or our distributors to obtain approvals to conduct our business in various countries;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differing intellectual property rights;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complexities and difficulties in obtaining intellectual property protection, enforcing our intellectual property and defending against third-party intellectual property claims;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difficulties in staffing and managing foreign operations;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logistics and regulations associated with shipping systems and parts and components for our products, as well as transportation delays;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travel restrictions that limit the ability of marketing, presales, sales, services and support teams to service customers;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financial risks, such as longer payment cycles, difficulty collecting accounts receivable, the impact of local and regional financial crises on demand and payment for our products and exposure to foreign currency exchange rate fluctuations;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international trade disputes that could result in tariffs and other protective measures;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natural disasters, political and economic instability, including wars, terrorism and political unrest such as the ongoing war in Ukraine, conflicts in the Middle East, outbreak of disease, boycotts, curtailment of trade and other business restrictions;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regulatory and compliance risks that relate to maintaining accurate information and control over sales and distributors’ activities that may fall within the purview of the U.S. Foreign Corrupt Practices Act (the “FCPA”), its books and records provisions, or its anti-bribery provisions.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Tariffs or other government trade policies may materially adversely affect our business and results of operations, including by reducing demand for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trade barriers, which could restrict us from doing business directly or indirectly in or with certain countries or parties and may impose additional costs and complexity to our business. These developments have created a dynamic and unpredictable trade landscape, which may adversely impact our business, results of operations, financial condition and prospects.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imposition of tariffs and trade restrictions as a result of international trade disputes or changes in trade policies may adversely affect our sales and profitability. For example, our components have been subject to previously imposed or proposed tariffs, which may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this Annual Report on Form 10-K.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15, 2025, the U.S. government announced new license requirements that impact exports of certain products and technology, including high-parameter and spectral flow cytometers and cell sorters and certain mass spectrometry equipment to certain countries, including China, which may have a significant negative impact on our sales, manufacturing and research and development activities. The impact of the new license requirements is difficult to quantify, and it may be challenging for us to manage our international operations and accurately forecast our operating results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requirements. For more information, please see “Our results of operations will be harmed if we are unable to accurately forecast customer demand for our products and manage our inventory” above.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limited experience manufacturing our products, and if we are unable to manufacture our products in high-quality commercial quantities successfully and consistently to meet demand, our growth will be limited.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have limited experience manufacturing our products. We currently manufacture instruments and reagents at our manufacturing facilities in Fremont, California and Wuxi, China, instruments at our facility in </w:t>
      </w:r>
      <w:r>
        <w:rPr>
          <w:rFonts w:ascii="Times New Roman;serif" w:hAnsi="Times New Roman;serif"/>
          <w:b w:val="false"/>
          <w:color w:val="000000"/>
          <w:sz w:val="20"/>
          <w:shd w:fill="FFFFFF" w:val="clear"/>
        </w:rPr>
        <w:t>Singapore</w:t>
      </w:r>
      <w:r>
        <w:rPr>
          <w:rFonts w:ascii="Times New Roman;serif" w:hAnsi="Times New Roman;serif"/>
          <w:b w:val="false"/>
          <w:color w:val="000000"/>
          <w:sz w:val="20"/>
        </w:rPr>
        <w:t xml:space="preserv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future success is dependent upon our ability to increase penetration in our existing markets and expand into adjacent markets.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customer base includes academic and government institutions, pharmaceutical and biotechnology companies, CROs and clinical laboratories focused on cell analysis. Approximately </w:t>
      </w:r>
      <w:r>
        <w:rPr>
          <w:rFonts w:ascii="Times New Roman;serif" w:hAnsi="Times New Roman;serif"/>
          <w:b w:val="false"/>
          <w:color w:val="000000"/>
          <w:sz w:val="20"/>
          <w:shd w:fill="FFFFFF" w:val="clear"/>
        </w:rPr>
        <w:t>42%,</w:t>
      </w:r>
      <w:r>
        <w:rPr>
          <w:color w:val="000000"/>
        </w:rPr>
        <w:t xml:space="preserve"> </w:t>
      </w:r>
      <w:r>
        <w:rPr>
          <w:rFonts w:ascii="Times New Roman;serif" w:hAnsi="Times New Roman;serif"/>
          <w:b w:val="false"/>
          <w:color w:val="000000"/>
          <w:sz w:val="20"/>
        </w:rPr>
        <w:t xml:space="preserve">40% and 43% of our revenue came from sales to academic and government-owned institutions and </w:t>
      </w:r>
      <w:r>
        <w:rPr>
          <w:rFonts w:ascii="Times New Roman;serif" w:hAnsi="Times New Roman;serif"/>
          <w:b w:val="false"/>
          <w:color w:val="000000"/>
          <w:sz w:val="20"/>
          <w:shd w:fill="FFFFFF" w:val="clear"/>
        </w:rPr>
        <w:t>58%</w:t>
      </w:r>
      <w:r>
        <w:rPr>
          <w:rFonts w:ascii="Times New Roman;serif" w:hAnsi="Times New Roman;serif"/>
          <w:b w:val="false"/>
          <w:color w:val="000000"/>
          <w:sz w:val="20"/>
        </w:rPr>
        <w:t xml:space="preserve">, 60% and 57% of our revenue came from sales to pharmaceutical and biotechnology companies, distributors and CROs in the years ended December 31, 2025, 2024 and 2023,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or approval of a pre-market approval application from the FDA. Our failure to further expand in adjacent markets and attract new customers could adversely affect our ability to improve our operating results.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unwilling to change current practices to adopt our products, it will negatively affect our business, financial condition, prospects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inadequate recruiting or training of talented sales force in existing and new markets to facilitate outreach and further adoption and awareness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lack of experience with our products for cell analysis;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perceived inadequacy of evidence supporting benefits or cost-effectiveness of our products over existing alternatives;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liability risks generally associated with the use of new products and processes;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training required to use new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decrease or delay in the research and development activities using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competing products and alternatives;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introduction of other novel alternative products for cell analysis.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business currently depends significantly on research and development spending by academic and government-owned institutions, a reduction in which could limit demand for our solutions and adversely affect our business and operating results.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Approximately</w:t>
      </w:r>
      <w:r>
        <w:rPr>
          <w:color w:val="000000"/>
          <w:shd w:fill="FFFFFF" w:val="clear"/>
        </w:rPr>
        <w:t xml:space="preserve"> </w:t>
      </w:r>
      <w:r>
        <w:rPr>
          <w:rFonts w:ascii="Times New Roman;serif" w:hAnsi="Times New Roman;serif"/>
          <w:b w:val="false"/>
          <w:color w:val="000000"/>
          <w:sz w:val="20"/>
          <w:shd w:fill="FFFFFF" w:val="clear"/>
        </w:rPr>
        <w:t>42%</w:t>
      </w:r>
      <w:r>
        <w:rPr>
          <w:rFonts w:ascii="Times New Roman;serif" w:hAnsi="Times New Roman;serif"/>
          <w:b w:val="false"/>
          <w:color w:val="000000"/>
          <w:sz w:val="20"/>
        </w:rPr>
        <w:t xml:space="preserve">, 40% and 43% of our revenue came from sales to academic and government-owned institutions in the years ended December 31, 2025, 2024 and 2023,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decreases in government funding of research and development, including any reductions in funding to the U.S. National Institutes of Health (“NIH”);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to programs that provide funding to research laboratories, hospitals and related institutions, including changes in the amount of funds allocated to different areas of research or changes that have the effect of increasing the length of the funding process;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macroeconomic conditions and the political climate;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scientists’ and customers’ opinions of the utility of new products or services;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regulatory environment;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differences in budgetary cycles;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competitor product offerings or pricing;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market-driven pressures to consolidate operations and reduce costs;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market acceptance of relatively new technologies, such as ours.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various state, federal and foreign agencies that have traditionally provided grants and other funding for basic research, research and development, and clinical testing have been and may be subject to further stringent budgetary constraints that could result in spending reductions, reduced grant making, reduced allocations or budget cutbacks, including as a result of negative or worsening conditions in the general economy, which could jeopardize the ability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customers, or the customers to whom they provide funding, to purchase our solutions. Recent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For example, the Trump Administration is seeking to reduce research funding by the NIH for medical research. If the funding is reduced for studies related to the medical indications on which we are focused or on which researchers were or may have been considering applying for federal grants, our research and development initiatives could be delayed or otherwise affected. There is no guarantee that NIH appropriations will not decrease or halt in the future. A decrease in the amount of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Bio-Rad Laboratories, Standard BioTools Inc., Miltenyi Biotec, Sony Biotechnology (Sony Corporation), Thermo Fisher Scientific, and Waters Corporation.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and potential competitors may enjoy a number of competitive advantages over us,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longer operating histories;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larger customer bases;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brand recognition and market penetration;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financial resources and capabilities;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technological and research and development resources;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larger quality assurance and regulatory staff;</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larger intellectual property portfolios;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better system reliability and robustness;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selling and marketing capabilities;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better established, larger scale and lower cost manufacturing capabilities.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future success depends on our ability to develop and successfully introduce new and enhanced products that meet the needs of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or adequately predict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needs or otherwise fail to obtain desired levels of market acceptance, our business may suffer and our operating results could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New product development involves a lengthy and complex process and we may be unable to develop or commercialize products on a timely basis,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conduct substantial research and development;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obtain necessary regulatory approval;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further develop and scale our laboratory, engineering and manufacturing processes to accommodate different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source and enter into agreements with new suppliers;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further develop and scale our infrastructure.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processes involve a high degree of risk, and these efforts may be delayed or fail for many reasons, including failure of the product to perform as expected and failure to reliably demonstrate the advantages of the product.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provide reliable, high-quality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replacement costs differ significantly from our estimates, adjustments to cost of sales may be required in future periods which could have an adverse effect on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may discover defects in our products after the products have been fully installed and operated. In addition, some of our products include components from other vendors, which may contain latent defects. As a result, should problems occur, it may be difficult to identify the source of the problem. If we are unable to identify and fix defects or other problems, we could experience, among other things: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loss of customers or orders;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increased costs of warranty expenses;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damage to our brand reputation;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failure to attract new customers;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diversion of development, engineering and manufacturing resources;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regulatory actions by governmental authorities;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legal actions by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December 31, 2025, we had accrued approximately </w:t>
      </w:r>
      <w:r>
        <w:rPr>
          <w:rFonts w:ascii="Times New Roman;serif" w:hAnsi="Times New Roman;serif"/>
          <w:b w:val="false"/>
          <w:color w:val="000000"/>
          <w:sz w:val="20"/>
          <w:shd w:fill="FFFFFF" w:val="clear"/>
        </w:rPr>
        <w:t>$1.5</w:t>
      </w:r>
      <w:r>
        <w:rPr>
          <w:color w:val="000000"/>
        </w:rPr>
        <w:t xml:space="preserve"> </w:t>
      </w:r>
      <w:r>
        <w:rPr>
          <w:rFonts w:ascii="Times New Roman;serif" w:hAnsi="Times New Roman;serif"/>
          <w:b w:val="false"/>
          <w:color w:val="000000"/>
          <w:sz w:val="20"/>
        </w:rPr>
        <w:t xml:space="preserve">million in expenses relating to product warranty accruals. Substantial amounts of warranty claims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Shipping is a critical part of our business and any changes in our shipping arrangements or damages or losses sustained during shipping could adversely affect our business, financial condition, results of operations and prospects.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Wuxi, China</w:t>
      </w:r>
      <w:r>
        <w:rPr>
          <w:rFonts w:ascii="Times New Roman;serif" w:hAnsi="Times New Roman;serif"/>
          <w:b w:val="false"/>
          <w:color w:val="000000"/>
          <w:sz w:val="20"/>
          <w:shd w:fill="FFFFFF" w:val="clear"/>
        </w:rPr>
        <w:t>; and Singapore r</w:t>
      </w:r>
      <w:r>
        <w:rPr>
          <w:rFonts w:ascii="Times New Roman;serif" w:hAnsi="Times New Roman;serif"/>
          <w:b w:val="false"/>
          <w:color w:val="000000"/>
          <w:sz w:val="20"/>
        </w:rPr>
        <w:t>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successfully expand our commercial operations, including hiring additional qualified sales representatives, technical applications specialists and customer support staff, our business may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significant base of peer-reviewed publications to showcase and validate the importance and application of our technology in academic and clinical research settings. As of December 31, 2025, there have been more than 3,500 peer-reviewed articles published relating to our FSP products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our senior management team and key personnel and our business could be harmed if we are unable to attract and retain personnel necessary for our success.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As of December 31, 2025, we had </w:t>
      </w:r>
      <w:r>
        <w:rPr>
          <w:rFonts w:ascii="Times New Roman;serif" w:hAnsi="Times New Roman;serif"/>
          <w:b w:val="false"/>
          <w:color w:val="000000"/>
          <w:sz w:val="20"/>
          <w:shd w:fill="FFFFFF" w:val="clear"/>
        </w:rPr>
        <w:t>702</w:t>
      </w:r>
      <w:r>
        <w:rPr>
          <w:color w:val="000000"/>
        </w:rPr>
        <w:t xml:space="preserve"> </w:t>
      </w:r>
      <w:r>
        <w:rPr>
          <w:rFonts w:ascii="Times New Roman;serif" w:hAnsi="Times New Roman;serif"/>
          <w:b w:val="false"/>
          <w:color w:val="000000"/>
          <w:sz w:val="20"/>
        </w:rPr>
        <w:t xml:space="preserve">full-time employees. As our sales and marketing strategies develop, we expect to need additional managerial, operational, sales, marketing, financial and other personnel. Future growth would impose significant added responsibilities on members of management,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identifying, recruiting, integrating, maintaining and motivating additional employees;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managing our internal development efforts effectively, while complying with our contractual obligations to contractors and other third parties;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improving our operational, financial and management controls, reporting systems and procedures.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maintain an effective system of internal controls, we may not be able to accurately or timely report our financial condition or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While the identified material weaknesses were remediated in fiscal year 2025, we cannot provide assurance that we will not identify additional material weaknesses in future periods or that we will be successful in remediating any future significant deficiencies or material weaknesses in internal control over financial reporting.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These deficiencies could result in additional material misstatements to our consolidated financial statements that could not be prevented or detected on a timely basis.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Our current controls and any new controls we develop may become inadequate, including due to changes in our business and business conditions. Additionally, to the extent we acquire other businesses, the acquired company may not have a sufficiently robust system of internal controls and we may uncover new deficiencies as part of integration. </w:t>
      </w:r>
      <w:r>
        <w:rPr>
          <w:rFonts w:ascii="Times New Roman;serif" w:hAnsi="Times New Roman;serif"/>
          <w:b w:val="false"/>
          <w:color w:val="000000"/>
          <w:sz w:val="20"/>
          <w:shd w:fill="FFFFFF" w:val="clear"/>
        </w:rPr>
        <w:t xml:space="preserve">We currently do not have an internal audit group, and we may need to hire additional accounting and finance staff and consultants with appropriate public company experience and technical accounting knowledge to appropriately maintain effective internal controls over financial reporting. If we identify any additional material weaknesses or are unable to successfully remediate any future material weaknesses in our internal control over financial reporting, the accuracy and timing of our financial reporting may be negatively impacted, we may be unable to maintain compliance with securities law requirements regarding timely filing of periodic reports and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 exchange listing requirements, investors may lose confidence in our financial reporting, and our stock price may decline as a result; additionally, any of the foregoing could restrict our future access to the capital markets. In prior periods, certain filings were made pursuant to Rule 12b-25, and adjustments were made to certain line items in the related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may need to raise additional capital to fund our existing operations, develop our products and/or expand our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present and future funding requirements will depend on many factors, some of which are beyond our control,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achieve and maintain revenue growth;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 of expanding our operations, including our sales and marketing efforts;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rate of progress in launching and commercializing new products, and the cost of the sales and marketing activities associated with, establishing adoption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rate of progress in, and cost of research and development activities associated with, products in research and development;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effect of competing technological and market developments;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potential cost of and delays in product development as a result of any regulatory oversight applicable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costs associated with any product recall that may occur;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costs related to domestic and international expansion;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costs of attaining, defending and enforcing our intellectual property rights;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terms and timing of any other collaborative, licensing and other arrangements that we may establish.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conflicts in the Middle East,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level of demand for any of our products, which may vary significantly;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timing and cost of, and level of investment in, research, development, manufacturing, regulatory approval and commercialization activities relating to our products, which may change from time to time;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size, seasonality and customer mix of the cell analysis market;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sales and marketing efforts and expenses;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rate at which we grow our sales force and the speed at which newly hired salespeople become effective;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productivity of our sales force;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effectiveness of our distribution partners in selling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positive or negative coverage in the media or publications of our products or competitive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 of manufacturing our products, which may vary depending on the quantity of production and the terms of our arrangements with our suppliers;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degree of competition in our industry and any change in the competitive landscape of our industry, including the introduction of new products or enhancements or technologies by us or others in the cell analysis market and competition-related pricing pressures;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governmental regulations or in the status of our regulatory approvals or applications;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future accounting pronouncements or changes in our accounting policies;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economic conditions, both domestically and internationally, as well as economic conditions specifically affecting the industry in which we do business, including those related to widespread health crises;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global financial crises and economic downturns, including those caused by widespread public health crises;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economic factors, including changes in inflation, interest rates, foreign currency rates, liquidity concerns at, and failures of, banks and other financial institutions and the potential effect of such factors on revenues and expenses;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market conditions and other factors, including factors unrelated to our operating performance or the operating performance of our competitors.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sizes of the markets for our products may be smaller than we estimate.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have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were to be sued for product liability, we could face substantial liabilities that exceed our resources, limit sales of our existing products and limit commercialization of any products that we may develop.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substantial litigation costs;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distraction of management’s attention from our primary business;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inability to commercialize our products or new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decreased demand for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damage to our business reputation;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product recalls or withdrawals from the market;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loss of sales; or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termination of existing agreements by our partners and potential partners failing to partner with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 malfunctions and the accompanying product liability that may result. Such recalls and withdrawals may also harm our reputation with customers, which could negatively affect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Litigation and other legal proceedings may harm our business.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w:t>
      </w:r>
      <w:r>
        <w:rPr>
          <w:rFonts w:ascii="Times New Roman;serif" w:hAnsi="Times New Roman;serif"/>
          <w:b w:val="false"/>
          <w:color w:val="000000"/>
          <w:sz w:val="20"/>
          <w:shd w:fill="FFFFFF" w:val="clear"/>
        </w:rPr>
        <w:t>See Note 18 to our consolidated financial statements included elsewhere in this Annual Report on Form 10-K for infor</w:t>
      </w:r>
      <w:r>
        <w:rPr>
          <w:rFonts w:ascii="Times New Roman;serif" w:hAnsi="Times New Roman;serif"/>
          <w:b w:val="false"/>
          <w:color w:val="000000"/>
          <w:sz w:val="20"/>
        </w:rPr>
        <w:t>mation regarding ongoing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and, as a result, we and the third parties upon whom we rely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w:t>
      </w:r>
      <w:r>
        <w:rPr>
          <w:rFonts w:ascii="Times New Roman;serif" w:hAnsi="Times New Roman;serif"/>
          <w:b w:val="false"/>
          <w:color w:val="000000"/>
          <w:sz w:val="20"/>
          <w:shd w:fill="FFFFFF" w:val="clear"/>
        </w:rPr>
        <w:t>(</w:t>
      </w:r>
      <w:r>
        <w:rPr>
          <w:color w:val="000000"/>
        </w:rPr>
        <w:t>“</w:t>
      </w:r>
      <w:r>
        <w:rPr>
          <w:rFonts w:ascii="Times New Roman;serif" w:hAnsi="Times New Roman;serif"/>
          <w:b w:val="false"/>
          <w:color w:val="000000"/>
          <w:sz w:val="20"/>
          <w:shd w:fill="FFFFFF" w:val="clear"/>
        </w:rPr>
        <w:t>AI</w:t>
      </w:r>
      <w:r>
        <w:rPr>
          <w:color w:val="000000"/>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and other similar threats. In particular, severe ransomware attacks, including those perpetrated by organized criminal threat actors, nation-states, and nation-state-supported actors, are increasingly prevalent and severe and such an attack has led to, and in the future such attacks can lead to, significant interruptions in our operations and/or ability to provide our products or services, loss of Sensitive Information and income, reputational harm, and/or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 increased risks to our information technology systems and data when utilizing network connections, computers, and devices outside our premises or network.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disruptions of our business. Threat actors may also gain access to other networks and systems after a compromise of our networks and systems.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have not, and we may not in the future, detect, mitigate,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For example, in November 2025, we became aware of a security incident that affected certain of our Sensitive Information, including employee personal information. A security incident or other interruption could disrupt our ability (and that of third parties with whom we work) to provide our products and services. We expend significant resources and may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and have done so in the past.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Business disruptions could seriously harm our future revenue and financial condition and increase our costs and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manufacture our products at our manufacturing facilities located in Fremont and San Diego, California; Wuxi, China</w:t>
      </w:r>
      <w:r>
        <w:rPr>
          <w:rFonts w:ascii="Times New Roman;serif" w:hAnsi="Times New Roman;serif"/>
          <w:b w:val="false"/>
          <w:color w:val="000000"/>
          <w:sz w:val="20"/>
          <w:shd w:fill="FFFFFF" w:val="clear"/>
        </w:rPr>
        <w:t>; and Singapore;</w:t>
      </w:r>
      <w:r>
        <w:rPr>
          <w:color w:val="000000"/>
        </w:rPr>
        <w:t xml:space="preserve"> </w:t>
      </w:r>
      <w:r>
        <w:rPr>
          <w:rFonts w:ascii="Times New Roman;serif" w:hAnsi="Times New Roman;serif"/>
          <w:b w:val="false"/>
          <w:color w:val="000000"/>
          <w:sz w:val="20"/>
        </w:rPr>
        <w:t xml:space="preserve">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use hazardous biological materials that require considerable expertise for handling, storage and disposal and may result in claims against us. We and third parties with whom we contract must comply with environmental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regulations, which can be expensive and restrict how we do business, and could expose us to liability if our use of such hazardous materials cause injury.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foreign currency exchange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Risks Related to Government Regulation and Our Industry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our Northern Lights-CLC system is available for clinical use in only China and the European Union. Our Cytek Aurora, Cytek Northern Lights, and Cytek Aurora Evo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 part of our growth strategy, we plan to seek approval to offer one or more of our</w:t>
      </w:r>
      <w:r>
        <w:rPr>
          <w:color w:val="000000"/>
          <w:shd w:fill="FFFFFF" w:val="clear"/>
        </w:rPr>
        <w:t xml:space="preserve"> </w:t>
      </w:r>
      <w:r>
        <w:rPr>
          <w:rFonts w:ascii="Times New Roman;serif" w:hAnsi="Times New Roman;serif"/>
          <w:b w:val="false"/>
          <w:color w:val="000000"/>
          <w:sz w:val="20"/>
          <w:shd w:fill="FFFFFF" w:val="clear"/>
        </w:rPr>
        <w:t>s</w:t>
      </w:r>
      <w:r>
        <w:rPr>
          <w:rFonts w:ascii="Times New Roman;serif" w:hAnsi="Times New Roman;serif"/>
          <w:b w:val="false"/>
          <w:color w:val="000000"/>
          <w:sz w:val="20"/>
        </w:rPr>
        <w:t xml:space="preserve">ystems for clinical use in the United States and/or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medical device we market will be subject to continued regulatory review, oversight, requirements, and periodic inspections by the FDA and other domestic and foreign regulatory bodies. In particular, unless exempt, we and our suppliers are required to comply with the FDA’s Quality Management System Regulation (“QMSR”)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QMSR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untitled letters, warning letters, fines, injunctions, consent decrees and civil penalties;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unanticipated expenditures to address or defend such actions;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customer notifications for repair, replacement or refunds;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recall, detention or seizure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operating restrictions or partial suspension or total shutdown of production;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refusing or delaying our requests for 510(k) clearance or PMA approval of new products or modified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withdrawal of 510(k) clearances on PMA approvals that have already been granted;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refusal to grant export approval for our products; or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criminal prosecution.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Later discovery of previously unknown problems with our products, including manufacturing problems, or failure to comply with regulatory requirements such as the QMSR,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off-label uses of our products may lead to performance issues or produce erroneous results, which could harm our reputation in the marketplace and increase the risk of product liability. Product liability claims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expensive to defend and could divert our management’s attention from our primary business and result in substantial damage awards against us. Any of these events could harm our business, results of operations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provides for fines for noncompliance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jurisdictions have enacted data localization laws and cross-border data transfer restrictions. These laws may make it more difficult for us to transfer personal information across jurisdictions, which could impede our business. For example, absent appropriate safeguards or other circumstances, the GDPR generally restricts the transfer of personal information to the United States and other countries that are viewed by some regulators to not generally provide an adequate level of data privacy and security. Although there are currently various mechanisms that can be used to transfer personal information from the EEA and UK to the United States in compliance with law, such as the EU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data transfer restrictions and data residency requirements,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Department of Justice has issued a rule titled “Preventing Access to U.S. Sensitive Personal Data and Government-Related Data by Countries of Concern or Covered Persons,” which places additional restrictions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employees and personnel use generative AI and/or automated decision-making technologies to perform their work, and the disclosure and use of personal information in AI technologies is subject to various privacy laws and other privacy obligations. Governments have passed and are likely to pass additional laws regulating AI and/or automated decision-making technologies. Our use of such technologies could result in additional compliance costs, regulatory investigations and actions, and consumer lawsuits. If we are unable to use AI and/or automated decision-making technologies,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U.S. and certain foreign anti-corruption and anti-money laundering laws and regulations. We can face criminal liability and other serious consequences for violations, which can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Disruptions at the FDA, the SEC, and other government agencies and regulatory authorities from funding cuts, personnel losses, regulatory reform, government shutdowns, and other developments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of the FDA and comparable foreign regulatory authorities to review and approve new products can be affected by a variety of factors, including government budget and funding levels, their ability to hire and retain key personnel and accept the payment of user fees, and statutory, regulatory, and policy changes. Average review times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Over the last several years, the U.S. government has shut down several times, including the ongoing government shutdown that began on October 1, 2025 and the government shutdown that lasted from December 22, 2018 to January 25, 2019, and certain regulatory agencies, such as the FDA and the SEC, have had to furlough critical employees and stop critical activities. Even the threat of a government shutdown or prolonged budget negotiation uncertainty may adversely affect the broader U.S. economy, investor confidence, and capital markets. Such conditions could negatively impact the liquidity or trading volume of our securities and our customers’ ability to finance and/or purchase our products. Accordingly, a federal government shutdown—or uncertainty regarding the continuity of government operations—could have a material adverse effect on our business, results of operations, and stock price.</w:t>
      </w:r>
    </w:p>
    <w:p>
      <w:pPr>
        <w:pStyle w:val="TextBody"/>
        <w:bidi w:val="0"/>
        <w:spacing w:lineRule="auto" w:line="288" w:before="120" w:after="283"/>
        <w:jc w:val="both"/>
        <w:rPr/>
      </w:pPr>
      <w:r>
        <w:rPr>
          <w:rFonts w:ascii="Times New Roman;serif" w:hAnsi="Times New Roman;serif"/>
          <w:b/>
          <w:i/>
          <w:color w:val="000000"/>
          <w:sz w:val="20"/>
        </w:rPr>
        <w:t>Issues in the development and use of artificial intelligence technologies, combined with an uncertain regulatory environment, may result in reputation harm, liability, or other adverse consequences to our business operations</w:t>
      </w:r>
      <w:r>
        <w:rPr>
          <w:rFonts w:ascii="Times New Roman;serif" w:hAnsi="Times New Roman;serif"/>
          <w:b w:val="false"/>
          <w:i/>
          <w:color w:val="000000"/>
          <w:sz w:val="20"/>
        </w:rPr>
        <w: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have and will continue to incorporate AI and/or ML technologies into our business operations and products and services, including through the use of such technologies by our third-party service providers.</w:t>
      </w:r>
      <w:r>
        <w:rPr>
          <w:color w:val="000000"/>
        </w:rPr>
        <w:t xml:space="preserve"> </w:t>
      </w:r>
      <w:r>
        <w:rPr>
          <w:rFonts w:ascii="Times New Roman;serif" w:hAnsi="Times New Roman;serif"/>
          <w:b w:val="false"/>
          <w:color w:val="000000"/>
          <w:sz w:val="20"/>
        </w:rPr>
        <w:t>The use of such rapidly evolving technologies by us and our third-party service providers (whether or not known to us), while presenting significant benefits, can also present risks and challenges to our business.</w:t>
      </w:r>
      <w:r>
        <w:rPr>
          <w:color w:val="000000"/>
        </w:rPr>
        <w:t xml:space="preserve"> </w:t>
      </w:r>
      <w:r>
        <w:rPr>
          <w:rFonts w:ascii="Times New Roman;serif" w:hAnsi="Times New Roman;serif"/>
          <w:b w:val="false"/>
          <w:color w:val="000000"/>
          <w:sz w:val="20"/>
        </w:rPr>
        <w:t>The implementation of artificial intelligence can be costly, and there is no guarantee that our use of AI/ML will enhance our technologies, benefit our business operations, or produce products and services that are preferred by our customers. If these technologies do not perform in accordance with our expectations, including, but not limited to, general failure or biases or errors relating to inaccuracies or flaws in the inputs, outputs, or logic of the AI/ML or if we fail to responsibly deploy artificial intelligence in our operations, such failures may give rise to legal liability, and our business and reputation could suffer.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development and use of AI technologies present various privacy and security risks that may impact our business. AI technologies are subject to privacy and data security laws, as well as increasing regulation and scrutiny. Further, countries and states are applying their data and consumer protection laws to AI technologies, and particularly generative AI and interactive chatbots.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Several jurisdictions around the globe, including Europe and certain U.S. states, have proposed, enacted, or are considering laws governing the development and use of AI technologies, including, but not limited to, the EU’s AI Act, the Colorado Artificial Intelligence Act, California Bot Disclosure Law,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Certain of our activities may subject us to the EU AI Act and, depending on how the EU AI Act is implemented and interpreted, we may have to adapt our business practices, contractual arrangements, and services to comply with such obligations, if applicable. We expect other jurisdictions will adopt similar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certain privacy laws extend rights to consumers (such as the right to delete certain personal information)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sensitive information (including confidential, competitive, proprietary, or personal information) that we input into a third-party AI technology, including, but not limited to, generative AI technology, could be leaked or disclosed to others, including if sensitive information is used to train the third parties’ AI technology. Additionally, where an AI technology model ingests personal information and makes connections using such data, those technologies may reveal other personal or sensitive information generated by the model.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AI technologies are evolving rapidly, as are the legal and regulatory landscapes applicable to it in the United States and in jurisdictions around the world, which may result in new and enhanced governmental or regulatory scrutiny, litigation, confidentiality, privacy or security risks, intellectual property risks, ethical concerns, legal liability, or other complications that could adversely affect our business, reputation,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comply with U.S. federal and state fraud and abuse and other healthcare laws and regulations, including those relating to kickbacks and false claims, we could face substantial penalties and our business operations and financial condition could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federal civil False Claims Act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healthcare Anti-Kickback Statute, a person or entity does not need to have actual knowledge of the statute or specific intent to violate it to have committed a violation;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consultants, commercial partners and vendors may engage in misconduct or other improper activities, including noncompliance with regulatory standards and requirements,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either the patent laws or their interpretation in the United States and other countries may diminish our ability to protect our inventions and to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Including rights acquired in connection with the FCI Acquisition, as of December 31, 2025, we own </w:t>
      </w:r>
      <w:r>
        <w:rPr>
          <w:rFonts w:ascii="Times New Roman;serif" w:hAnsi="Times New Roman;serif"/>
          <w:b w:val="false"/>
          <w:color w:val="000000"/>
          <w:sz w:val="20"/>
        </w:rPr>
        <w:t xml:space="preserve">34 </w:t>
      </w:r>
      <w:r>
        <w:rPr>
          <w:rFonts w:ascii="Times New Roman;serif" w:hAnsi="Times New Roman;serif"/>
          <w:b w:val="false"/>
          <w:color w:val="000000"/>
          <w:sz w:val="20"/>
          <w:shd w:fill="FFFFFF" w:val="clear"/>
        </w:rPr>
        <w:t xml:space="preserve">issued U.S. utility patents,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 xml:space="preserve">issued Japan utility patents,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issued European utility patents,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issued China utility patents, one Canada utility patent, one India utility patent, two Australian utility patents, and three Singapore utility patents. We have </w:t>
      </w:r>
      <w:r>
        <w:rPr>
          <w:rFonts w:ascii="Times New Roman;serif" w:hAnsi="Times New Roman;serif"/>
          <w:b w:val="false"/>
          <w:color w:val="000000"/>
          <w:sz w:val="20"/>
        </w:rPr>
        <w:t>70</w:t>
      </w:r>
      <w:r>
        <w:rPr>
          <w:color w:val="000000"/>
          <w:shd w:fill="FFFFFF" w:val="clear"/>
        </w:rPr>
        <w:t xml:space="preserve"> </w:t>
      </w:r>
      <w:r>
        <w:rPr>
          <w:rFonts w:ascii="Times New Roman;serif" w:hAnsi="Times New Roman;serif"/>
          <w:b w:val="false"/>
          <w:color w:val="000000"/>
          <w:sz w:val="20"/>
          <w:shd w:fill="FFFFFF" w:val="clear"/>
        </w:rPr>
        <w:t xml:space="preserve">pending utility patent applications, including </w:t>
      </w:r>
      <w:r>
        <w:rPr>
          <w:rFonts w:ascii="Times New Roman;serif" w:hAnsi="Times New Roman;serif"/>
          <w:b w:val="false"/>
          <w:color w:val="000000"/>
          <w:sz w:val="20"/>
        </w:rPr>
        <w:t>47</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the United States, three international utility patent applications,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the European Union,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China, and </w:t>
      </w:r>
      <w:r>
        <w:rPr>
          <w:rFonts w:ascii="Times New Roman;serif" w:hAnsi="Times New Roman;serif"/>
          <w:b w:val="false"/>
          <w:color w:val="000000"/>
          <w:sz w:val="20"/>
        </w:rPr>
        <w:t>four</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Japan. Assuming all maintenance fees are paid, the U.S. issued patents are expected to naturally expire between years 2026 and 2041. Additionally, patents covering intellectual property relating to design specific technologies invented by our researchers in Shanghai and Wuxi, China are filed in China and owned by our China subsidiaries, respectively. As of December 31, 2025, our Shanghai subsidiary owns 12 issued utility patents and eight issued invention patents and has two pending invention patent applications, and our Wuxi subsidiary owns 42 issued utility patents and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issued invention patent and has </w:t>
      </w:r>
      <w:r>
        <w:rPr>
          <w:rFonts w:ascii="Times New Roman;serif" w:hAnsi="Times New Roman;serif"/>
          <w:b w:val="false"/>
          <w:color w:val="000000"/>
          <w:sz w:val="20"/>
        </w:rPr>
        <w:t>five</w:t>
      </w:r>
      <w:r>
        <w:rPr>
          <w:color w:val="000000"/>
          <w:shd w:fill="FFFFFF" w:val="clear"/>
        </w:rPr>
        <w:t xml:space="preserve"> </w:t>
      </w:r>
      <w:r>
        <w:rPr>
          <w:rFonts w:ascii="Times New Roman;serif" w:hAnsi="Times New Roman;serif"/>
          <w:b w:val="false"/>
          <w:color w:val="000000"/>
          <w:sz w:val="20"/>
          <w:shd w:fill="FFFFFF" w:val="clear"/>
        </w:rPr>
        <w:t xml:space="preserve">pending utility patent applications and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pending invention patent applications.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proceedings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are successfully issued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patents and patent applications may in the future be jointly 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existing intellectual property rights we have, we may have to abandon development of the relevant products, which could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Patents covering our current, and any future, products or our technologies could be found invalid or unenforceable if challenged in court or before administrative bodies in the United States or abroad,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 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rely substantially on our trademarks and trade names. If our trademarks and trade names are not adequately protected, then we may not be able to build name recognition in our markets of interest and our business may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limited foreign intellectual property rights outside the United States, selected countries in the European Union, the UK, Japan, and China and may not be able to protect our intellectual property and proprietary rights throughout the world,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limited intellectual property rights outside the United States, selected countries in the European Union, the UK,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Changes in U.S. patent law could diminish the value of patents in general, thereby impairing our ability to protect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 party was the first to invent the claimed invention. A third party that files a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application in the USPTO after March 15,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Third-party claims of intellectual property infringement, misappropriation or other violation against us, the joint-owners of our intellectual property, or our collaborators may prevent or delay the sale and marketing of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18 to our consolidated financial statements included elsewhere in this Annual Report on Form 10-K for further details regarding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including our competitors, may currently have patents or obtain patents in the future and claim that the manufacture, use or sale of our current and any future products infringes upon these patents. We have not conducted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any third 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and other intellectual property rights, which could be expensive, time-consuming and unsuccessful.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Failure of a key information technology system, process, or site could have an adverse effect on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are and have been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use of open source software could compromise our ability to offer our services and subject us to possible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open source software in connection with the software integrated in our instruments as well as our Cytek Cloud software.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stock price may continue to be volatile, and our stockholders may not be able to resell shares of our common stock at or above the price they paid.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Annual Report on Form 10-K, these factors include: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degree and rate of market adoption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variance in our financial performance from expectations of securities analysts or investors;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actual or anticipated fluctuations in our financial condition and results of operations, including as a result of anticipated or unanticipated demand based on seasonal factors;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our projected operating and financial results;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developments or disputes concerning our intellectual property or other proprietary rights;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significant lawsuits, including patent or stockholder litigation;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negative publicity associated with issues related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senior management or key personnel;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future sales of our common stock or other securities, by us or our stockholders, as well as the anticipation of lock-up releases;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trading volume of our common stock;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obtain and maintain regulatory approvals for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laws or regulations applicable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adverse developments concerning any of our third-party distribution partners and suppliers, including our single and sole-source suppliers;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announcements by us or our competitors of significant business developments, acquisitions, or new offerings;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inability to engage additional distribution partners and establish collaborations, if needed;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performance or news releases by other companies in our industry, including about adverse developments related to safety, effectiveness, accuracy and usability of their products, reputational concerns, regulatory compliance, and product recalls;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economic, regulatory and market conditions, including economic recessions or slowdowns, the ongoing war in Ukraine, conflicts in the Middle East, and the general inflationary environment;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other events or factors, many of which are beyond our control.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broad discretion in the use of our cash and may invest or spend the funds in ways with which you do not agree and in ways that may not yield a return.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Substantial future sales of shares of our common stock or securities convertible into our common stock will result in additional dilution of the percentage of ownership of our stockholders and could cause the market price of our common stock to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Concentration of ownership of our common stock among our executive officers, directors, and principal stockholders and their respective affiliates may prevent new investors from influencing significant corporate decisions.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number of shares of common stock outstanding as of December 31, 2025, our executive officers, directors, holders of 5% or more of our common stock and their respective affiliates (based on filings with the SEC), in the aggregate, own approximately 38.5%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do not intend to pay dividends for the foreseeable future and, as a result, your ability to achieve a return on your investment will depend on appreciation in the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Anti-takeover provisions under our charter documents and Delaware law could delay or prevent a change of control which could limit the market price of our common stock and may prevent or frustrate attempts by our stockholders to replace or remove our current management.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prohibition on stockholder action through written consent, which requires that all stockholder actions be taken at a meeting of our stockholders;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requirement that special meetings of stockholders be called only by the chairman of the board of directors, the chief executive officer, the president, or by a majority of the total number of authorized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advance notice requirements for stockholder proposals and nominations for election to our board of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because we are incorporated in Delaware, we are governed by the provisions of Section 203 of the General Corporation Law of the State of Delaware (the “DGCL”),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change-of-control transaction or changes in our board of directors could cause the market price of our common stock to decline.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internal affairs doctrine, in all cases to the fullest extent permitted by law and subject to the court’s having personal jurisdiction over the indispensable parties named as defendants.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choice-of-forum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could be subject to securities class action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incurred and will continue to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failure to meet Nasdaq’s continued listing requirements could result in a delisting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publish unfavorable or inaccurate research about our business, our common stock price and trading volume could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ability to use our net operating losses (“NOLs”) to offset future taxable income may be subject to certain limitations.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Sections 382 and 383 of the Internal Revenue Code of 1986, as amended (“Code”), and similar provisions of state and local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In addition, while U.S. federal NOLs arising in tax years beginning after December 31, 2017 may be carried forward indefinitely, such NOL carryforwards cannot offset more than 80% of taxable income in any tax year. There may also be other limitations under state law on our ability to utilize NOLs, including temporary suspensions or other limitations on the use of NOLs to offset taxable income. We determined that ownership changes occurred in 2018 and 2020 and in connection with our initial public offering in 2021.</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 xml:space="preserve">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Annual limitations may result in the expiration of the state net operating loss carryforwards before they can be fully utilized.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Changes in our effective tax rate or tax liability may have an adverse effect on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could increase due to several factors,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relative amounts of income before taxes in the various jurisdictions in which we operate that have differing statutory tax rates;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tax laws, tax treaties, and regulations or the interpretation of them;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outcome of current and future tax audits, examinations, or administrative appeals;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limitations or adverse findings regarding our ability to do business in some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tax law and regulations may have a material adverse effect on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For instance, legislation commonly referred to as the One Big Beautiful Bill Act (the “OBBBA”) enacted in 2025, the Inflation Reduction Act enacted in 2022, the Coronavirus Aid, Relief, and Economic Security Act enacted in 2020, and legislation informally titled the Tax Cuts and Jobs Act enacted in 2017 made significant changes to the U.S. tax laws. We urge investors to consult with their legal and tax advisers regarding the implication of potential changes in tax laws on an investment in our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and uncertainties in the tax system in the countries in which we have operations, could materially adversely affect our financial condition and results of operations, and reduce net returns to our shareholders.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1C. Cybersecurity.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the data of our partners (“Information Systems and Data”).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Financial Officer (“CFO”) and our information technology (“IT”) department help identify, assess, and manage our cybersecurity threats and risks. Our information technology department identifies and assesses risks from cybersecurity threats by monitoring and evaluating our threat environment using various methods including, for example, evaluating threats reported to us, conducting threat and vulnerability assessments, and performing audits.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on the environment, system, and data, we implement and maintain various technical, physical, and organizational measures, processes, standards, and/or policies designed to manage and mitigate material risks from cybersecurity threats to our Information Systems and Data, including, for example: a security incident response plan, disaster recovery and business continuity plans, encryption of data, access controls, asset management, and penetration testing.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assessment and management of material risks from cybersecurity threats are integrated into our overall risk management processes. For example, our IT department works with senior management to prioritize our risk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processes and mitigate cybersecurity threats that are more likely to lead to a material impact to our business, and our senior management evaluates material risks from cybersecurity threats against our overall business objectives and reports to our board of directors, which evaluates our overall enterprise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third-party service providers to assist us from time to time to identify, assess, and manage material risks from cybersecurity threats, including for example, professional services firms such as legal counsel, cybersecurity software providers and penetration testing firms.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third-party service providers to perform a variety of functions throughout our business, such as cloud-based infrastructure hosting, data hosting, and encryption and authentication services. We have a vendor management program to manage cybersecurity risks associated with our use of these providers, which may include regular security assessments, audits, and compliance checks.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the risks from cybersecurity threats that may materially affect our business and how they may do so, see the section titled “Risk Factors” in this Annual Report on Form 10-K, including “If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addresses our cybersecurity risk management as part of its general oversight function and is responsible for overseeing our cybersecurity risk management processes, including oversight of mitigation of risks from cybersecurity threats.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cybersecurity risk assessment and management processes are implemented and maintained by certain members of our management team</w:t>
      </w:r>
      <w:r>
        <w:rPr>
          <w:rFonts w:ascii="Times New Roman;serif" w:hAnsi="Times New Roman;serif"/>
          <w:b w:val="false"/>
          <w:color w:val="000000"/>
          <w:sz w:val="20"/>
          <w:shd w:fill="FFFFFF" w:val="clear"/>
        </w:rPr>
        <w:t xml:space="preserve">, including our CFO, Mr. William McCombe. Mr. McCombe has experience in the security of both corporate and technical systems as well as business continuity planning in previous roles at various companies.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responsible for hiring appropriate personnel, helping to integrate cybersecurity risk considerations into our overall risk management strategy, and communicating key priorities to relevant personnel. Management is also responsible for approving budgets, helping prepare for cybersecurity incidents, approving cybersecurity processes, and reviewing security assessments and other security-related reports.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security incident response plan is designed to escalate certain cybersecurity incidents to members of management depending on the circumstances, including our CFO and senior director of global information technology. Our CFO works with our IT department to help us mitigate and remediate cybersecurity incidents of which they are notified. In addition, our incident response process includes reporting to our board of directors for certain cybersecurity incidents.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receives periodic reports from management concerning our significant cybersecurity threats and risk and the processes we have implemented to address them. Our board of directors also receives various reports, summaries or presentations related to cybersecurity threats, risk and mitigation.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lease approximately 99,000 square feet of office and laboratory space for our headquarters in Fremont, California. The lease expires in February 2029.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Wuxi, China, we lease approximately 9,800 square feet of manufacturing and office space. The lease expires in January 2027. In November 2023, we purchased a building in Wuxi, China and relocated our Wuxi operations to the new facility in January 2024. The Wuxi building has approximately 56,000 square feet of manufacturing and office space.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Shanghai, China, we lease approximately 14,000 square feet of office and laboratory space, under multiple leases expiring between October 2026 and November 2027.</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Singapore, we lease approximately 8,500 square feet of manufacturing and office space. The lease expires in January 2028.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lease space in Seattle, Washington; Bethesda, Maryland; San Diego, California; Beijing, China; Tokyo, Japan; Amsterdam, Netherlands; and Ely, England. We believe that our existing office, laboratory and manufacturing space, together with additional space and facilities available on commercially reasonable terms, will be sufficient to meet our current and future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Legal Proceedings.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From time to time, we are involved in legal proceedings and claims. See </w:t>
      </w:r>
      <w:r>
        <w:rPr>
          <w:rFonts w:ascii="Times New Roman;serif" w:hAnsi="Times New Roman;serif"/>
          <w:b w:val="false"/>
          <w:color w:val="000000"/>
          <w:sz w:val="20"/>
          <w:shd w:fill="FFFFFF" w:val="clear"/>
        </w:rPr>
        <w:t>Note 18</w:t>
      </w:r>
      <w:r>
        <w:rPr>
          <w:color w:val="000000"/>
        </w:rPr>
        <w:t xml:space="preserve"> </w:t>
      </w:r>
      <w:r>
        <w:rPr>
          <w:rFonts w:ascii="Times New Roman;serif" w:hAnsi="Times New Roman;serif"/>
          <w:b w:val="false"/>
          <w:color w:val="000000"/>
          <w:sz w:val="20"/>
        </w:rPr>
        <w:t xml:space="preserve">to our consolidated financial statements included elsewhere in this Annual Report on Form 10-K for information regarding ongoing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common stock began trading on the Nasdaq Global Select Market on July 23, 2021 and trades under the symbol “CTKB”. Prior to July 23, 2021, there was no public trading market for our common stock.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February 17, 2026</w:t>
      </w:r>
      <w:r>
        <w:rPr>
          <w:rFonts w:ascii="Times New Roman;serif" w:hAnsi="Times New Roman;serif"/>
          <w:b w:val="false"/>
          <w:color w:val="000000"/>
          <w:sz w:val="20"/>
          <w:shd w:fill="FFFFFF" w:val="clear"/>
        </w:rPr>
        <w:t>, there were 15 stockholders of record.</w:t>
      </w:r>
      <w:r>
        <w:rPr>
          <w:color w:val="000000"/>
        </w:rPr>
        <w:t xml:space="preserve"> </w:t>
      </w:r>
      <w:r>
        <w:rPr>
          <w:rFonts w:ascii="Times New Roman;serif" w:hAnsi="Times New Roman;serif"/>
          <w:b w:val="false"/>
          <w:color w:val="000000"/>
          <w:sz w:val="20"/>
        </w:rPr>
        <w:t>Because brokers and other institutions hold many of our shares on behalf of stockholders, we are unable to estimate the total number of stockholders represented by these record holders.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Sales of Unregistered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Issuer Purchases of Equity Securities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June 5, 2024, our board of directors approved a program for the repurchase of up to an aggregate of $50 million of our outstanding common stock, which expired on December 31, 2024. On December 11, 2024, the Board approved a new program for the repurchase by the Company of up to an aggregate of</w:t>
      </w:r>
      <w:r>
        <w:rPr>
          <w:color w:val="000000"/>
          <w:shd w:fill="FFFFFF" w:val="clear"/>
        </w:rPr>
        <w:t xml:space="preserve"> </w:t>
      </w:r>
      <w:r>
        <w:rPr>
          <w:rFonts w:ascii="Times New Roman;serif" w:hAnsi="Times New Roman;serif"/>
          <w:b w:val="false"/>
          <w:color w:val="000000"/>
          <w:sz w:val="20"/>
        </w:rPr>
        <w:t>$50 million of its outstanding common stock commencing January 1, 2025, which expired on December 31, 2025. As of December 31, 2025, the Company had a remaining authorized amount of $35.0 million in the repurchase program. The repurchase programs were used to return capital to shareholders and to minimize the dilutive impact of stock options and other stock-based awards. The repurchased shares of common stock were retired.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with respect to the repurchase of shares of our common stock from the commencement of the repurchase program until its expiration on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for the share amount and average price per share, dollar value in thousands)</w:t>
      </w:r>
    </w:p>
    <w:tbl>
      <w:tblPr>
        <w:tblW w:w="10205" w:type="dxa"/>
        <w:jc w:val="left"/>
        <w:tblInd w:w="0" w:type="dxa"/>
        <w:tblLayout w:type="fixed"/>
        <w:tblCellMar>
          <w:top w:w="28" w:type="dxa"/>
          <w:left w:w="28" w:type="dxa"/>
          <w:bottom w:w="28" w:type="dxa"/>
          <w:right w:w="28" w:type="dxa"/>
        </w:tblCellMar>
      </w:tblPr>
      <w:tblGrid>
        <w:gridCol w:w="540"/>
        <w:gridCol w:w="476"/>
        <w:gridCol w:w="479"/>
        <w:gridCol w:w="714"/>
        <w:gridCol w:w="519"/>
        <w:gridCol w:w="521"/>
        <w:gridCol w:w="314"/>
        <w:gridCol w:w="772"/>
        <w:gridCol w:w="174"/>
        <w:gridCol w:w="1070"/>
        <w:gridCol w:w="824"/>
        <w:gridCol w:w="827"/>
        <w:gridCol w:w="438"/>
        <w:gridCol w:w="2185"/>
        <w:gridCol w:w="352"/>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repurchased</w:t>
            </w:r>
          </w:p>
        </w:tc>
        <w:tc>
          <w:tcPr>
            <w:tcW w:w="1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Average price paid per share ($)</w:t>
            </w:r>
          </w:p>
        </w:tc>
        <w:tc>
          <w:tcPr>
            <w:tcW w:w="27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Total number of shares purchased as part of publicly announced plans or programs </w:t>
            </w:r>
          </w:p>
        </w:tc>
        <w:tc>
          <w:tcPr>
            <w:tcW w:w="29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 ($)</w:t>
            </w:r>
          </w:p>
        </w:tc>
      </w:tr>
      <w:tr>
        <w:trPr/>
        <w:tc>
          <w:tcPr>
            <w:tcW w:w="14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 December 31, 2024</w:t>
            </w:r>
          </w:p>
        </w:tc>
        <w:tc>
          <w:tcPr>
            <w:tcW w:w="123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10,585,404 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10,585,404 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28,500,000 </w:t>
            </w:r>
          </w:p>
        </w:tc>
        <w:tc>
          <w:tcPr>
            <w:tcW w:w="35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 January 31, 2025</w:t>
            </w:r>
          </w:p>
        </w:tc>
        <w:tc>
          <w:tcPr>
            <w:tcW w:w="123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607,522 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w:t>
            </w:r>
          </w:p>
        </w:tc>
        <w:tc>
          <w:tcPr>
            <w:tcW w:w="18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11,192,926 </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46,500,007</w:t>
            </w:r>
          </w:p>
        </w:tc>
      </w:tr>
      <w:tr>
        <w:trPr/>
        <w:tc>
          <w:tcPr>
            <w:tcW w:w="14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 – February 28, 2025</w:t>
            </w:r>
          </w:p>
        </w:tc>
        <w:tc>
          <w:tcPr>
            <w:tcW w:w="123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658,878 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11,851,804 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43,000,014</w:t>
            </w:r>
          </w:p>
        </w:tc>
      </w:tr>
      <w:tr>
        <w:trPr/>
        <w:tc>
          <w:tcPr>
            <w:tcW w:w="1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1 – March 31, 2025</w:t>
            </w:r>
          </w:p>
        </w:tc>
        <w:tc>
          <w:tcPr>
            <w:tcW w:w="123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812,183 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12,663,987 </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39,500,021</w:t>
            </w:r>
          </w:p>
        </w:tc>
      </w:tr>
      <w:tr>
        <w:trPr/>
        <w:tc>
          <w:tcPr>
            <w:tcW w:w="14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 April 30, 2025</w:t>
            </w:r>
          </w:p>
        </w:tc>
        <w:tc>
          <w:tcPr>
            <w:tcW w:w="123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939,946 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13,603,933 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36,000,023</w:t>
            </w:r>
          </w:p>
        </w:tc>
      </w:tr>
      <w:tr>
        <w:trPr/>
        <w:tc>
          <w:tcPr>
            <w:tcW w:w="1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1 – May 31, 2025</w:t>
            </w:r>
          </w:p>
        </w:tc>
        <w:tc>
          <w:tcPr>
            <w:tcW w:w="123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274,059 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13,877,992 </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35,000,023</w:t>
            </w:r>
          </w:p>
        </w:tc>
      </w:tr>
      <w:tr>
        <w:trPr/>
        <w:tc>
          <w:tcPr>
            <w:tcW w:w="14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 1 - December 31, 2025</w:t>
            </w:r>
          </w:p>
        </w:tc>
        <w:tc>
          <w:tcPr>
            <w:tcW w:w="123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Life to Date Total*</w:t>
            </w:r>
          </w:p>
        </w:tc>
        <w:tc>
          <w:tcPr>
            <w:tcW w:w="1233"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shd w:fill="FFFFFF" w:val="clear"/>
              </w:rPr>
              <w:t>13,877,992</w:t>
            </w:r>
            <w:r>
              <w:rPr>
                <w:color w:val="000000"/>
                <w:shd w:fill="FFFFFF" w:val="clear"/>
              </w:rPr>
              <w:t>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shd w:fill="FFFFFF" w:val="clear"/>
              </w:rPr>
              <w:t>5.80</w:t>
            </w:r>
            <w:r>
              <w:rPr>
                <w:color w:val="000000"/>
                <w:shd w:fill="FFFFFF" w:val="clear"/>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shd w:fill="FFFFFF" w:val="clear"/>
              </w:rPr>
              <w:t>13,877,992</w:t>
            </w:r>
            <w:r>
              <w:rPr>
                <w:color w:val="000000"/>
                <w:shd w:fill="FFFFFF" w:val="clear"/>
              </w:rPr>
              <w:t> </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w:t>
            </w:r>
          </w:p>
        </w:tc>
        <w:tc>
          <w:tcPr>
            <w:tcW w:w="2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shd w:fill="FFFFFF" w:val="clear"/>
              </w:rPr>
              <w:t>35,000,023</w:t>
            </w:r>
            <w:r>
              <w:rPr>
                <w:color w:val="000000"/>
                <w:shd w:fill="FFFFFF" w:val="clear"/>
              </w:rPr>
              <w:t> </w:t>
            </w:r>
          </w:p>
        </w:tc>
        <w:tc>
          <w:tcPr>
            <w:tcW w:w="352"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The share repurchase program expired on December 31, 2025.</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commission costs related to the repurchases were </w:t>
      </w:r>
      <w:r>
        <w:rPr>
          <w:rFonts w:ascii="Times New Roman;serif" w:hAnsi="Times New Roman;serif"/>
          <w:b w:val="false"/>
          <w:color w:val="000000"/>
          <w:sz w:val="20"/>
          <w:shd w:fill="FFFFFF" w:val="clear"/>
        </w:rPr>
        <w:t>$— million and $0.07</w:t>
      </w:r>
      <w:r>
        <w:rPr>
          <w:color w:val="000000"/>
        </w:rPr>
        <w:t xml:space="preserve"> </w:t>
      </w:r>
      <w:r>
        <w:rPr>
          <w:rFonts w:ascii="Times New Roman;serif" w:hAnsi="Times New Roman;serif"/>
          <w:b w:val="false"/>
          <w:color w:val="000000"/>
          <w:sz w:val="20"/>
        </w:rPr>
        <w:t xml:space="preserve">million for the three months and twelve months ended December 31, 2025, respectively.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August 16, 2022, the Inflation Reduction Act of 2022 (the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2025, we have accrued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 xml:space="preserve">excise taxes related with our shares repurchases.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Stock Performance Graph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Section is not “soliciting material,” is not deemed “filed” with the SEC and is not to be incorporated by reference in any filing of Cytek Biosciences under the Securities Act of 1933, as amended (the “Securities Act”), or the Securities Exchange Act of 1934, as amended (the “Exchange Act”), whether made before or after the date hereof and irrespective of any general incorporation language in any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following graph compares the cumulative total return on an investment of $100 in cash on July 23, 2021 through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in our common stock, the Nasdaq Composite Index and the Nasdaq Biotechnology Components Index and assuming that all dividends were reinvested. The stockholder return shown on the graph below is based on historical data and is not necessarily indicative of future performance, and we do not make or endorse any predictions as to future stockholder returns.</w:t>
      </w:r>
    </w:p>
    <w:p>
      <w:pPr>
        <w:pStyle w:val="TextBody"/>
        <w:bidi w:val="0"/>
        <w:spacing w:before="0" w:after="0"/>
        <w:jc w:val="left"/>
        <w:rPr/>
      </w:pPr>
      <w:r>
        <w:rPr/>
      </w:r>
    </w:p>
    <w:p>
      <w:pPr>
        <w:pStyle w:val="TextBody"/>
        <w:bidi w:val="0"/>
        <w:spacing w:before="0" w:after="0"/>
        <w:jc w:val="left"/>
        <w:rPr/>
      </w:pPr>
      <w:r>
        <w:rPr/>
        <w:drawing>
          <wp:inline distT="0" distB="0" distL="0" distR="0">
            <wp:extent cx="6286500" cy="2438400"/>
            <wp:effectExtent l="0" t="0" r="0" b="0"/>
            <wp:docPr id="7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 descr=""/>
                    <pic:cNvPicPr>
                      <a:picLocks noChangeAspect="1" noChangeArrowheads="1"/>
                    </pic:cNvPicPr>
                  </pic:nvPicPr>
                  <pic:blipFill>
                    <a:blip r:embed="rId2"/>
                    <a:stretch>
                      <a:fillRect/>
                    </a:stretch>
                  </pic:blipFill>
                  <pic:spPr bwMode="auto">
                    <a:xfrm>
                      <a:off x="0" y="0"/>
                      <a:ext cx="6286500" cy="2438400"/>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consolidated financial statements and related notes included in this Annual Report on Form 10-K. This discussion contains forward-looking statements that involve risks and uncertainties. See </w:t>
      </w:r>
      <w:r>
        <w:rPr>
          <w:color w:val="000000"/>
        </w:rPr>
        <w:t>“</w:t>
      </w:r>
      <w:r>
        <w:rPr>
          <w:rFonts w:ascii="Times New Roman;serif" w:hAnsi="Times New Roman;serif"/>
          <w:b w:val="false"/>
          <w:i/>
          <w:color w:val="000000"/>
          <w:sz w:val="20"/>
        </w:rPr>
        <w:t>Special Note Regarding Forward-Looking Statements</w:t>
      </w:r>
      <w:r>
        <w:rPr>
          <w:color w:val="000000"/>
        </w:rPr>
        <w:t xml:space="preserve">” </w:t>
      </w:r>
      <w:r>
        <w:rPr>
          <w:rFonts w:ascii="Times New Roman;serif" w:hAnsi="Times New Roman;serif"/>
          <w:b w:val="false"/>
          <w:i/>
          <w:color w:val="000000"/>
          <w:sz w:val="20"/>
        </w:rPr>
        <w:t xml:space="preserve">at the beginning of this Annual Report on Form 10-K. Our actual results could differ materially from those contained in these forward-looking statements due to a number of factors, including those discussed in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 xml:space="preserve">and elsewhere in this Annual Report on Form 10-K. Unless the context requires otherwise, references in this Annual Report on Form 10-K to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our</w:t>
      </w:r>
      <w:r>
        <w:rPr>
          <w:color w:val="000000"/>
        </w:rPr>
        <w:t xml:space="preserve">” </w:t>
      </w:r>
      <w:r>
        <w:rPr>
          <w:rFonts w:ascii="Times New Roman;serif" w:hAnsi="Times New Roman;serif"/>
          <w:b w:val="false"/>
          <w:i/>
          <w:color w:val="000000"/>
          <w:sz w:val="20"/>
        </w:rPr>
        <w:t>refer to Cytek Biosciences, Inc.</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The following is a discussion and year-to-year comparisons of our financial condition and results of operations for the years ended December 31, 2025 and 2024. For a discussion of the results of operations and financial condition for the years ended December 31, 2024 and year-to-year comparisons between 2024 and 2023, please refer to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i/>
          <w:color w:val="000000"/>
          <w:sz w:val="20"/>
        </w:rPr>
        <w:t xml:space="preserve">section of our Annual Report on Form 10-K filed with the SEC on </w:t>
      </w:r>
      <w:r>
        <w:rPr>
          <w:rFonts w:ascii="Times New Roman;serif" w:hAnsi="Times New Roman;serif"/>
          <w:b w:val="false"/>
          <w:color w:val="000000"/>
          <w:sz w:val="20"/>
        </w:rPr>
        <w:t>February 28, 2025</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FSP cell analyzers, the Cytek Aurora, Northern Lights and Cytek Aurora Evo systems,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system”)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we have sold and deployed our instruments to customers around the world, including pharmaceutical companies, biopharma companies, academic research centers, and contract research organizations (“CROs”).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to our FSP product portfolio, pursuant to an acquisition in February 2023, we offer conventional flow and image-based flow cytometry instrumentation and related products and services under the Amnis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Guava</w:t>
      </w:r>
      <w:r>
        <w:rPr>
          <w:rFonts w:ascii="Times New Roman;serif" w:hAnsi="Times New Roman;serif"/>
          <w:b w:val="false"/>
          <w:color w:val="000000"/>
          <w:sz w:val="13"/>
        </w:rPr>
        <w:t xml:space="preserve">® </w:t>
      </w:r>
      <w:r>
        <w:rPr>
          <w:rFonts w:ascii="Times New Roman;serif" w:hAnsi="Times New Roman;serif"/>
          <w:b w:val="false"/>
          <w:color w:val="000000"/>
          <w:sz w:val="20"/>
        </w:rPr>
        <w:t>brands, which provide insights into all facets of cellular phenotypes and morphology. Amnis instruments and applications are important tools in the investigation of cell morphology, intracellular translocation and cell-cell interaction in a variety of research areas, including immunology, neurobiology, stem cell research and cell biology. Guava flow cytometers expand our core instrument offerings, adding cost-effective, entry-level and personal instrument options with microcapillary-based fluidics for cell analysis. The Guava microcapillary-based flow cytometers are mainly adopted by entry to mid-range flow cytometry users who are looking for easy-to-use and cost-effective solutions for applications, such as cell counting, cell biology and lower-plex immunophenotyping.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manufacture our instruments in our facilities in Fremont, California; Wuxi, China; </w:t>
      </w:r>
      <w:r>
        <w:rPr>
          <w:rFonts w:ascii="Times New Roman;serif" w:hAnsi="Times New Roman;serif"/>
          <w:b w:val="false"/>
          <w:color w:val="000000"/>
          <w:sz w:val="20"/>
          <w:shd w:fill="FFFFFF" w:val="clear"/>
        </w:rPr>
        <w:t>and Singapore.</w:t>
      </w:r>
      <w:r>
        <w:rPr>
          <w:color w:val="000000"/>
        </w:rPr>
        <w:t xml:space="preserve"> </w:t>
      </w:r>
      <w:r>
        <w:rPr>
          <w:rFonts w:ascii="Times New Roman;serif" w:hAnsi="Times New Roman;serif"/>
          <w:b w:val="false"/>
          <w:color w:val="000000"/>
          <w:sz w:val="20"/>
        </w:rPr>
        <w:t xml:space="preserve">We have designed our operating model to be capital efficient and to scale efficiently as our product volumes grow.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revenue for the year ended December 31, 2025 was </w:t>
      </w:r>
      <w:r>
        <w:rPr>
          <w:rFonts w:ascii="Times New Roman;serif" w:hAnsi="Times New Roman;serif"/>
          <w:b w:val="false"/>
          <w:color w:val="000000"/>
          <w:sz w:val="20"/>
          <w:shd w:fill="FFFFFF" w:val="clear"/>
        </w:rPr>
        <w:t>$201.5 million</w:t>
      </w:r>
      <w:r>
        <w:rPr>
          <w:rFonts w:ascii="Times New Roman;serif" w:hAnsi="Times New Roman;serif"/>
          <w:b w:val="false"/>
          <w:color w:val="000000"/>
          <w:sz w:val="20"/>
        </w:rPr>
        <w:t xml:space="preserve">, representing a </w:t>
      </w:r>
      <w:r>
        <w:rPr>
          <w:rFonts w:ascii="Times New Roman;serif" w:hAnsi="Times New Roman;serif"/>
          <w:b w:val="false"/>
          <w:color w:val="000000"/>
          <w:sz w:val="20"/>
          <w:shd w:fill="FFFFFF" w:val="clear"/>
        </w:rPr>
        <w:t>1%</w:t>
      </w:r>
      <w:r>
        <w:rPr>
          <w:color w:val="000000"/>
        </w:rPr>
        <w:t xml:space="preserve"> </w:t>
      </w:r>
      <w:r>
        <w:rPr>
          <w:rFonts w:ascii="Times New Roman;serif" w:hAnsi="Times New Roman;serif"/>
          <w:b w:val="false"/>
          <w:color w:val="000000"/>
          <w:sz w:val="20"/>
        </w:rPr>
        <w:t xml:space="preserve">increase compared to revenue for the year ended December 31, 2024 of $200.5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w:t>
      </w:r>
      <w:r>
        <w:rPr>
          <w:rFonts w:ascii="Times New Roman;serif" w:hAnsi="Times New Roman;serif"/>
          <w:b w:val="false"/>
          <w:color w:val="000000"/>
          <w:sz w:val="20"/>
          <w:shd w:fill="FFFFFF" w:val="clear"/>
        </w:rPr>
        <w:t>73%</w:t>
      </w:r>
      <w:r>
        <w:rPr>
          <w:rFonts w:ascii="Times New Roman;serif" w:hAnsi="Times New Roman;serif"/>
          <w:b w:val="false"/>
          <w:color w:val="000000"/>
          <w:sz w:val="20"/>
        </w:rPr>
        <w:t xml:space="preserve">, 75% and 76% of total revenue for the years ended December 31, 2025, 2024 and 2023, respectively, and revenue from distributors represented </w:t>
      </w:r>
      <w:r>
        <w:rPr>
          <w:rFonts w:ascii="Times New Roman;serif" w:hAnsi="Times New Roman;serif"/>
          <w:b w:val="false"/>
          <w:color w:val="000000"/>
          <w:sz w:val="20"/>
          <w:shd w:fill="FFFFFF" w:val="clear"/>
        </w:rPr>
        <w:t>27%</w:t>
      </w:r>
      <w:r>
        <w:rPr>
          <w:rFonts w:ascii="Times New Roman;serif" w:hAnsi="Times New Roman;serif"/>
          <w:b w:val="false"/>
          <w:color w:val="000000"/>
          <w:sz w:val="20"/>
        </w:rPr>
        <w:t>, 25% and 24% of total revenue for the years ended December 31, 2025, 2024 and 2023,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w:t>
      </w:r>
      <w:r>
        <w:rPr>
          <w:rFonts w:ascii="Times New Roman;serif" w:hAnsi="Times New Roman;serif"/>
          <w:b w:val="false"/>
          <w:color w:val="000000"/>
          <w:sz w:val="20"/>
          <w:shd w:fill="FFFFFF" w:val="clear"/>
        </w:rPr>
        <w:t>$36.5</w:t>
      </w:r>
      <w:r>
        <w:rPr>
          <w:color w:val="000000"/>
        </w:rPr>
        <w:t xml:space="preserve"> </w:t>
      </w:r>
      <w:r>
        <w:rPr>
          <w:rFonts w:ascii="Times New Roman;serif" w:hAnsi="Times New Roman;serif"/>
          <w:b w:val="false"/>
          <w:color w:val="000000"/>
          <w:sz w:val="20"/>
        </w:rPr>
        <w:t xml:space="preserve">million, $39.4 million and $44.2 million for the years ended December 31, 2025, 2024 and 2023, respectively. We intend to continue to make significant investments in research and development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w:t>
      </w:r>
      <w:r>
        <w:rPr>
          <w:rFonts w:ascii="Times New Roman;serif" w:hAnsi="Times New Roman;serif"/>
          <w:b w:val="false"/>
          <w:color w:val="000000"/>
          <w:sz w:val="20"/>
          <w:shd w:fill="FFFFFF" w:val="clear"/>
        </w:rPr>
        <w:t>$49.4</w:t>
      </w:r>
      <w:r>
        <w:rPr>
          <w:color w:val="000000"/>
        </w:rPr>
        <w:t xml:space="preserve"> </w:t>
      </w:r>
      <w:r>
        <w:rPr>
          <w:rFonts w:ascii="Times New Roman;serif" w:hAnsi="Times New Roman;serif"/>
          <w:b w:val="false"/>
          <w:color w:val="000000"/>
          <w:sz w:val="20"/>
        </w:rPr>
        <w:t>million, $49.1 million and $49.1 million for the years ended December 31, 2025, 2024 and 2023,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in 2014, we have financed our operations primarily through sales of our securities and revenue from the sale of our products and services.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net loss was </w:t>
      </w:r>
      <w:r>
        <w:rPr>
          <w:rFonts w:ascii="Times New Roman;serif" w:hAnsi="Times New Roman;serif"/>
          <w:b w:val="false"/>
          <w:color w:val="000000"/>
          <w:sz w:val="20"/>
          <w:shd w:fill="FFFFFF" w:val="clear"/>
        </w:rPr>
        <w:t>$66.5 million</w:t>
      </w:r>
      <w:r>
        <w:rPr>
          <w:rFonts w:ascii="Times New Roman;serif" w:hAnsi="Times New Roman;serif"/>
          <w:b w:val="false"/>
          <w:color w:val="000000"/>
          <w:sz w:val="20"/>
        </w:rPr>
        <w:t>, $6.0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$12.1 million </w:t>
      </w:r>
      <w:r>
        <w:rPr>
          <w:rFonts w:ascii="Times New Roman;serif" w:hAnsi="Times New Roman;serif"/>
          <w:b w:val="false"/>
          <w:color w:val="000000"/>
          <w:sz w:val="20"/>
          <w:shd w:fill="FFFFFF" w:val="clear"/>
        </w:rPr>
        <w:t>f</w:t>
      </w:r>
      <w:r>
        <w:rPr>
          <w:rFonts w:ascii="Times New Roman;serif" w:hAnsi="Times New Roman;serif"/>
          <w:b w:val="false"/>
          <w:color w:val="000000"/>
          <w:sz w:val="20"/>
        </w:rPr>
        <w:t>or the years ended December 31, 2025, 2024 and 2023, respectively. The change for the year ended December 31, 2025, compared to the year ended December 31, 2024, was primarily driven by the recording of a $33.1 million valuation allowance against deferred tax assets in 2025. In addition, lower gross profit, increased operating expenses, and an operating and interest expense reduction related to a change in estimate of a license and royalty settlement liability in 2024, contributed to the overall year-over-year change.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expenses will increase substantially in connection with our ongoing activities, as we: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attract, hire and retain qualified personnel;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invest in processes, commercial infrastructure and supporting functions to scale our business and introduce new products and services;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support our research and development efforts;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continue to expand geographically;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protect and defend our intellectual property;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make strategic investments in complementary businesses, services, products or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Key factors affecting our results of operations and future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Annual Report on Form 10-K.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Global customer adoption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Recurring revenues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Revenue mix and gross margin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revenue is primarily derived from sales of our instruments and services. Although we expect sales of our instruments to continue to represent the largest 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near term, we expect the continued leveraging of fixed manufacturing and service overhead costs, optimization of our manufacturing processes, and material cost fluctuations to have the greatest impact on our gross margin.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Expansion into new markets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Key business metrics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 </w:t>
      </w:r>
    </w:p>
    <w:tbl>
      <w:tblPr>
        <w:tblW w:w="10205" w:type="dxa"/>
        <w:jc w:val="left"/>
        <w:tblInd w:w="0" w:type="dxa"/>
        <w:tblLayout w:type="fixed"/>
        <w:tblCellMar>
          <w:top w:w="28" w:type="dxa"/>
          <w:left w:w="28" w:type="dxa"/>
          <w:bottom w:w="28" w:type="dxa"/>
          <w:right w:w="28" w:type="dxa"/>
        </w:tblCellMar>
      </w:tblPr>
      <w:tblGrid>
        <w:gridCol w:w="1227"/>
        <w:gridCol w:w="871"/>
        <w:gridCol w:w="86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7"/>
        <w:gridCol w:w="718"/>
        <w:gridCol w:w="117"/>
        <w:gridCol w:w="109"/>
        <w:gridCol w:w="109"/>
        <w:gridCol w:w="109"/>
        <w:gridCol w:w="227"/>
        <w:gridCol w:w="716"/>
        <w:gridCol w:w="169"/>
      </w:tblGrid>
      <w:tr>
        <w:trPr/>
        <w:tc>
          <w:tcPr>
            <w:tcW w:w="122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2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r>
      <w:tr>
        <w:trPr/>
        <w:tc>
          <w:tcPr>
            <w:tcW w:w="2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Sales channel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sales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Academia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Biotechnology, pharmaceutical, distributor and CRO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Distributors typically sell to end customers identified in other customer categories.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Known Trends, Events and Uncertainties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results of operation and financial condition are dependent on both domestic and global macroeconomic conditions.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and research and development costs, due to inflationary pressures as well as supply chain constraints, consequences associated with future public health crises, the ongoing conflict between Russia and Ukraine, and the conflicts in the Middle East.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our pharmaceutical and biotech customers based in the United States have been impacted by the difficult fundraising environment for small companies and generally high interest rates. We believe these factors contributed to longer sales cycles, which adversely impacted our operating results for the three months and full year ended December 31, 2025, and may adversely affect our operating results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 government has made and continues to signal additional changes to existing U.S. trade policies, including imposing and announcing plans for tariffs on all U.S. trading partners including China, and renegotiating or potentially terminating existing bilateral and multi-lateral trade agreements.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Although we cannot predict the ultimate extent 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U.S. government’s imposition of tariffs as well as threatened and actual retaliatory tariffs against U.S. goods may have a negative impact on our revenue and costs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new license and export controls announced by the U.S. government in January 2025 that impact exports of certain products and technology, including high-parameter and spectral flow cytometers and cell sorters and certain mass spectrometry equipment to certain countries, including China, may have a negative impact on our sales, manufacturing and research and development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Finally, changes in the U.S. National Institutes of Health (“NIH”) policy with respect to grants for academic research, specifically, the reduction in indirect cost reimbursement, has impacted and may continue to impact our revenue from academic and government customers in the near term.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further discussion of trends, events, uncertainties and other factors that could impact our operating results, see the section titled “Risk Factors” in Item 1A of Part I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revenue,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generate our total revenue, net from product revenue and service revenue.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Product</w:t>
      </w:r>
      <w:r>
        <w:rPr>
          <w:rFonts w:ascii="Times New Roman;serif" w:hAnsi="Times New Roman;serif"/>
          <w:b w:val="false"/>
          <w:color w:val="000000"/>
          <w:sz w:val="20"/>
        </w:rPr>
        <w:t>. Our product revenue primarily consists of sales of our instruments, including the Cytek Aurora, Northern Lights, Cytek Aurora Evo, Aurora CS, 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Service</w:t>
      </w:r>
      <w:r>
        <w:rPr>
          <w:rFonts w:ascii="Times New Roman;serif" w:hAnsi="Times New Roman;serif"/>
          <w:b w:val="false"/>
          <w:color w:val="000000"/>
          <w:sz w:val="20"/>
        </w:rPr>
        <w:t xml:space="preserve">.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expect our total revenue to increase in absolute dollars as we expand our sales organization and sales territories, broaden our customer base, and expand awareness of our products with new and existing customers. Our revenue was </w:t>
      </w:r>
      <w:r>
        <w:rPr>
          <w:rFonts w:ascii="Times New Roman;serif" w:hAnsi="Times New Roman;serif"/>
          <w:b w:val="false"/>
          <w:color w:val="000000"/>
          <w:sz w:val="20"/>
          <w:shd w:fill="FFFFFF" w:val="clear"/>
        </w:rPr>
        <w:t>$201.5</w:t>
      </w:r>
      <w:r>
        <w:rPr>
          <w:color w:val="000000"/>
        </w:rPr>
        <w:t xml:space="preserve"> </w:t>
      </w:r>
      <w:r>
        <w:rPr>
          <w:rFonts w:ascii="Times New Roman;serif" w:hAnsi="Times New Roman;serif"/>
          <w:b w:val="false"/>
          <w:color w:val="000000"/>
          <w:sz w:val="20"/>
        </w:rPr>
        <w:t xml:space="preserve">million, $200.5 million and $193.0 million for the years ended December 31, 2025, 2024 and 2023, respectively.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cost of sales, gross profit and gross margin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cost of sales is comprised of product cost of sales and service cost of sales.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Product. </w:t>
      </w:r>
      <w:r>
        <w:rPr>
          <w:rFonts w:ascii="Times New Roman;serif" w:hAnsi="Times New Roman;serif"/>
          <w:b w:val="false"/>
          <w:color w:val="000000"/>
          <w:sz w:val="20"/>
        </w:rPr>
        <w:t xml:space="preserve">Cost of sales associated with our products primarily consists of manufacturing-related costs incurred in the production process, inventory write-downs, warranty costs, third-party royalty costs, personnel and related costs, costs of component materials, overhead, packaging and delivery and depreciation expense.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Service</w:t>
      </w:r>
      <w:r>
        <w:rPr>
          <w:rFonts w:ascii="Times New Roman;serif" w:hAnsi="Times New Roman;serif"/>
          <w:b w:val="false"/>
          <w:color w:val="000000"/>
          <w:sz w:val="20"/>
        </w:rPr>
        <w:t xml:space="preserve">. Cost of sales associated with our services primarily consists of personnel and related costs, expenses related to product replacements, product updates and qualification validation of our products and depreciation expense.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total cost of sales to increase in absolute dollars in future periods, corresponding to our anticipated growth in revenue and employee headcount to support our manufacturing, operations, field service team and support organizations.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are primarily comprised of research and development, sales and marketing, and general and administrative expenses, depreciation and amortization, and related overhead.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Our research and development expenses primarily consist of salaries, benefits, and stock-based compensation costs for employees in our research and development department, independent contractor costs, laboratory supplies, equipment maintenance and materials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to invest in our research and development efforts. Research and development expense may increase in absolute dollars in future periods due to our continuing investment in product development.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xml:space="preserve">. Our sales and marketing expenses consist primarily of salaries, benefits, and stock-based compensation costs for employees in our sales and marketing department, sales commissions, marketing material costs, travel expenses and costs related to trade shows, trainings and various workshops. Sales and marketing expense may increase in absolute dollars in future periods.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Our general and administrative expenses primarily consist of salaries, benefits, and stock-based compensation costs for employees in our executive, accounting and finance, legal, and human resource functions, as well as professional services fees, such as consulting, audit, tax, legal, general corporate costs, and allocated overhead expenses. The Company is focused on controlling our general and administrative expenses; however these may increase in absolute dollars in future periods.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our operating expenses to vary from period to period as a percentage of revenue. As a result, our historical results of operations may not be indicative of our results of operations in future periods.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Interest income (expense), net.</w:t>
      </w:r>
      <w:r>
        <w:rPr>
          <w:color w:val="000000"/>
        </w:rPr>
        <w:t xml:space="preserve"> </w:t>
      </w:r>
      <w:r>
        <w:rPr>
          <w:rFonts w:ascii="Times New Roman;serif" w:hAnsi="Times New Roman;serif"/>
          <w:b w:val="false"/>
          <w:color w:val="000000"/>
          <w:sz w:val="20"/>
        </w:rPr>
        <w:t xml:space="preserve">Interest income (expense), net consists primarily of accretion of the present value of the litigation settlement liability. See our consolidated financial statements included elsewhere in this Annual Report on Form 10-K for further details regarding the settlement.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Our interest income consists primarily of interest earned on our cash and cash equivalents which are invested in cash deposits and in money market funds.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Other income, net. </w:t>
      </w:r>
      <w:r>
        <w:rPr>
          <w:rFonts w:ascii="Times New Roman;serif" w:hAnsi="Times New Roman;serif"/>
          <w:b w:val="false"/>
          <w:color w:val="000000"/>
          <w:sz w:val="20"/>
        </w:rPr>
        <w:t xml:space="preserve">Our other income, net consists primarily of investment income from our marketable securities offset by foreign exchange gains and losses. </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Our provision for (benefit from) income taxes </w:t>
      </w:r>
      <w:r>
        <w:rPr>
          <w:rFonts w:ascii="Times New Roman;serif" w:hAnsi="Times New Roman;serif"/>
          <w:b w:val="false"/>
          <w:color w:val="000000"/>
          <w:sz w:val="20"/>
        </w:rPr>
        <w:t>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Comparison of the years ended December 31, 2025 and 2024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presented below should be reviewed in conjunction with the consolidated financial statements and related notes included elsewhere in this Annual Report on Form 10-K. </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results of operations and comprehensive (loss) income data for the periods presented: </w:t>
      </w:r>
    </w:p>
    <w:tbl>
      <w:tblPr>
        <w:tblW w:w="7859"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826"/>
        <w:gridCol w:w="109"/>
        <w:gridCol w:w="109"/>
        <w:gridCol w:w="109"/>
        <w:gridCol w:w="109"/>
        <w:gridCol w:w="211"/>
        <w:gridCol w:w="826"/>
        <w:gridCol w:w="109"/>
        <w:gridCol w:w="109"/>
        <w:gridCol w:w="109"/>
        <w:gridCol w:w="109"/>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 (Notes 11,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revenue, net </w:t>
      </w:r>
    </w:p>
    <w:tbl>
      <w:tblPr>
        <w:tblW w:w="7897"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179"/>
        <w:gridCol w:w="182"/>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net increased by $1.0 million, or 1%, for the year ended December 31, 2025 as compared to the year ended December 31, 2024. Revenue growth was primarily driven by growth in service revenue partially offset by a decline in product revenue.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Product revenue decreased by $9.0 million, or 6%, to $144.2 million, for the year ended December 31, 2025 as compared to the year ended December 31, 2024. </w:t>
      </w:r>
      <w:r>
        <w:rPr>
          <w:rFonts w:ascii="Times New Roman;serif" w:hAnsi="Times New Roman;serif"/>
          <w:b w:val="false"/>
          <w:color w:val="000000"/>
          <w:sz w:val="20"/>
          <w:shd w:fill="FFFFFF" w:val="clear"/>
        </w:rPr>
        <w:t xml:space="preserve">The decrease was primarily driven by a decline in instrument revenue offset by growth in reagent revenue. Unit volumes decreased 6.0% for spectral and imaging products, including the Cytek Aurora, Northern Lights, Aurora CS and ImageStream systems.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Service revenue increased by $10.1 million, or 21%, to $57.3 million, for the year ended December 31, 2025 as compared to the year ended December 31, 2024. </w:t>
      </w:r>
      <w:r>
        <w:rPr>
          <w:rFonts w:ascii="Times New Roman;serif" w:hAnsi="Times New Roman;serif"/>
          <w:b w:val="false"/>
          <w:color w:val="000000"/>
          <w:sz w:val="20"/>
          <w:shd w:fill="FFFFFF" w:val="clear"/>
        </w:rPr>
        <w:t xml:space="preserve">The increase in service revenue was mainly driven by continued growth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installed base of our instruments with more instruments with expiring warranties contributing to greater contract and time and material service revenue.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cost of sales, gross profit and gross margin </w:t>
      </w:r>
    </w:p>
    <w:tbl>
      <w:tblPr>
        <w:tblW w:w="8221"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826"/>
        <w:gridCol w:w="271"/>
        <w:gridCol w:w="109"/>
        <w:gridCol w:w="109"/>
        <w:gridCol w:w="109"/>
        <w:gridCol w:w="211"/>
        <w:gridCol w:w="826"/>
        <w:gridCol w:w="271"/>
        <w:gridCol w:w="109"/>
        <w:gridCol w:w="109"/>
        <w:gridCol w:w="109"/>
        <w:gridCol w:w="211"/>
        <w:gridCol w:w="691"/>
        <w:gridCol w:w="109"/>
        <w:gridCol w:w="109"/>
        <w:gridCol w:w="109"/>
        <w:gridCol w:w="109"/>
        <w:gridCol w:w="180"/>
        <w:gridCol w:w="181"/>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cost of sales increased by $7.7 million, or 9%, for the year ended December 31, 2025 as compared to the year ended December 31, 2024. The increase in cost of sales was driven primarily by an increase in service revenue, and associated service material, headcount, and other overhead costs. Product cost of sales increased due to higher tariff costs and higher overhead costs resulting from transitioning a manufacturing facility overseas, offset by lower material costs as a result of lower instrument volume.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gross margin was 52% and 55% as a percent of total revenue for the years ended December 31, 2025 and 2024, respectively. Gross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tbl>
      <w:tblPr>
        <w:tblW w:w="8325"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16"/>
        <w:gridCol w:w="219"/>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revenue for the year ended December 31, 2025 decreased by 6% as compared to the year ended December 31, 2024. Product gross profit for the year ended December 31, 2025 decreased by 12% as compared to the year ended December 31, 2024. Product cost of sales for the year ended December 31, 2025 increased by 1% as compared to the same period in 2024. The lower product gross margins in the year ended December 31, 2025 compared to the year ended December 31, 2024 were primarily due to higher tariffs costs as well as higher production overhead costs related to transitioning a manufacturing facility overseas.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Service revenue and service gross profit for the year ended December 31, 2025 increased by 21% and 12%, respectively, as compared to the year ended December 31, 2024. Service cost of sales for the year ended December 31, 2025 increased by 34% as compared to the same period in 2024. The higher service gross profit in the year ended December 31, 2025 compared to the year ended December 31, 2024 was driven by higher revenue, while higher headcount, overhead, and material costs as a percentage of service revenue contributed to lower service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7656"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64"/>
        <w:gridCol w:w="166"/>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$36.5 million for the year ended December 31, 2025 as compared to $39.4 million for the year ended December 31, 2024. </w:t>
      </w:r>
      <w:r>
        <w:rPr>
          <w:rFonts w:ascii="Times New Roman;serif" w:hAnsi="Times New Roman;serif"/>
          <w:b w:val="false"/>
          <w:color w:val="000000"/>
          <w:sz w:val="20"/>
          <w:shd w:fill="FFFFFF" w:val="clear"/>
        </w:rPr>
        <w:t>The decrease of $2.9 million in research and development expenses was primarily due to a decline in research and development compensation expense, driven by efforts to streamline and focus our research and development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 to increase in absolute dollars going forward as we continue to develop new products and enhance existing instruments and technologies.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Sales and marketing </w:t>
      </w:r>
    </w:p>
    <w:tbl>
      <w:tblPr>
        <w:tblW w:w="7357"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28"/>
        <w:gridCol w:w="128"/>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Sales and marketing expenses were $49.4 million for the year ended December 31, 2025 as compared to $49.1 million for the year ended December 31, 2024. </w:t>
      </w:r>
      <w:r>
        <w:rPr>
          <w:rFonts w:ascii="Times New Roman;serif" w:hAnsi="Times New Roman;serif"/>
          <w:b w:val="false"/>
          <w:color w:val="000000"/>
          <w:sz w:val="20"/>
          <w:shd w:fill="FFFFFF" w:val="clear"/>
        </w:rPr>
        <w:t xml:space="preserve">The relatively flat sales and marketing expenses year-over-year was due to re-organization of the commercial team to drive increased revenue with a more focused and efficient sales team.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expect our sales and marketing expenses to increase in absolute dollars in the future as we hire additional sales and marketing personnel, expand our sales support infrastructure and invest in our brand and product awareness to further penetrate the United States and the international markets.</w:t>
      </w:r>
      <w:r>
        <w:rPr>
          <w:color w:val="000000"/>
        </w:rPr>
        <w:t xml:space="preserve">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w:t>
      </w:r>
    </w:p>
    <w:tbl>
      <w:tblPr>
        <w:tblW w:w="7717"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General and administrative expenses were $58.9 million for the year ended December 31, 2025 as compared to $43.1 million for the year ended December 31, 2024. The increase of $15.8 million in general and administrative expenses was primarily </w:t>
      </w:r>
      <w:r>
        <w:rPr>
          <w:rFonts w:ascii="Times New Roman;serif" w:hAnsi="Times New Roman;serif"/>
          <w:b w:val="false"/>
          <w:color w:val="000000"/>
          <w:sz w:val="20"/>
          <w:shd w:fill="FFFFFF" w:val="clear"/>
        </w:rPr>
        <w:t>due to higher patent litigation expenses, and also higher compensation, sales and use tax, and software expenses, and a lower benefit related to the change in estimate of the royalty settlement liability with Becton, Dickinson and Company (“BD”). See Note 11 to our consolidated financial statements included elsewhere in this Annual Report on Form 10-K for further details on the legal settlement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incur additional general and administrative expenses as a result of operating as a public company and for these expenses to increase in absolute dollars in future periods.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income (expense), net </w:t>
      </w:r>
    </w:p>
    <w:tbl>
      <w:tblPr>
        <w:tblW w:w="7581"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54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Interest expense was $0.5 million for the year ended December 31, 2025 as compared to interest income of $5.2 million for the year ended December 31, 2024. The $5.7</w:t>
      </w:r>
      <w:r>
        <w:rPr>
          <w:color w:val="000000"/>
          <w:shd w:fill="FFFFFF" w:val="clear"/>
        </w:rPr>
        <w:t xml:space="preserve"> </w:t>
      </w:r>
      <w:r>
        <w:rPr>
          <w:rFonts w:ascii="Times New Roman;serif" w:hAnsi="Times New Roman;serif"/>
          <w:b w:val="false"/>
          <w:color w:val="000000"/>
          <w:sz w:val="20"/>
          <w:shd w:fill="FFFFFF" w:val="clear"/>
        </w:rPr>
        <w:t xml:space="preserve">million decrease in interest income was primarily due to a benefit of </w:t>
      </w:r>
      <w:r>
        <w:rPr>
          <w:rFonts w:ascii="Times New Roman;serif" w:hAnsi="Times New Roman;serif"/>
          <w:b w:val="false"/>
          <w:color w:val="000000"/>
          <w:sz w:val="20"/>
        </w:rPr>
        <w:t>$5.3</w:t>
      </w:r>
      <w:r>
        <w:rPr>
          <w:color w:val="000000"/>
          <w:shd w:fill="FFFFFF" w:val="clear"/>
        </w:rPr>
        <w:t xml:space="preserve"> </w:t>
      </w:r>
      <w:r>
        <w:rPr>
          <w:rFonts w:ascii="Times New Roman;serif" w:hAnsi="Times New Roman;serif"/>
          <w:b w:val="false"/>
          <w:color w:val="000000"/>
          <w:sz w:val="20"/>
          <w:shd w:fill="FFFFFF" w:val="clear"/>
        </w:rPr>
        <w:t>million change in estimate to the royalty settlement liability with BD. See Note 11 to our consolidated financial statements included elsewhere in this Annual Report on Form 10-K for further details on the legal settlement liability.</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tbl>
      <w:tblPr>
        <w:tblW w:w="7552"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Interest income was $2.2 million and $5.1 million for the years ended December 31, 2025 and 2024, respectively. The decrease of $2.9 million in interest income was primarily the result of a lower interest rate environment and lower </w:t>
      </w:r>
      <w:r>
        <w:rPr>
          <w:rFonts w:ascii="Times New Roman;serif" w:hAnsi="Times New Roman;serif"/>
          <w:b w:val="false"/>
          <w:color w:val="000000"/>
          <w:sz w:val="20"/>
          <w:shd w:fill="FFFFFF" w:val="clear"/>
        </w:rPr>
        <w:t xml:space="preserve">cash and cash equivalents and short term investment balances as compared to the year ended December 31, 2024. This was a result of the movement of assets from interest bearing accounts to marketable securities investment accounts which are classified as investment income rather than interest income.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Other income, net </w:t>
      </w:r>
    </w:p>
    <w:tbl>
      <w:tblPr>
        <w:tblW w:w="7402" w:type="dxa"/>
        <w:jc w:val="left"/>
        <w:tblInd w:w="0" w:type="dxa"/>
        <w:tblLayout w:type="fixed"/>
        <w:tblCellMar>
          <w:top w:w="28" w:type="dxa"/>
          <w:left w:w="28" w:type="dxa"/>
          <w:bottom w:w="28" w:type="dxa"/>
          <w:right w:w="28" w:type="dxa"/>
        </w:tblCellMar>
      </w:tblPr>
      <w:tblGrid>
        <w:gridCol w:w="944"/>
        <w:gridCol w:w="831"/>
        <w:gridCol w:w="83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6"/>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Other income, net was $8.8 million for the year ended December 31, 2025 as compared to other income, net of $4.5 million for the year ended December 31, 2024, respectively. </w:t>
      </w:r>
      <w:r>
        <w:rPr>
          <w:rFonts w:ascii="Times New Roman;serif" w:hAnsi="Times New Roman;serif"/>
          <w:b w:val="false"/>
          <w:color w:val="000000"/>
          <w:sz w:val="20"/>
          <w:shd w:fill="FFFFFF" w:val="clear"/>
        </w:rPr>
        <w:t>The increase of $4.3 million was primarily due to $3.6 million of realized and unrealized foreign exchange losses in 2024, compared to $0.7 million of gains in 2025.</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tbl>
      <w:tblPr>
        <w:tblW w:w="8603"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338"/>
        <w:gridCol w:w="338"/>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taxes was $36.7 million for the year ended December 31, 2025. The benefit from income taxes was $0.3 million for the year ended December 31, 2024. The net change of $36.4 million for the year ended December 31, 2025 was primarily driven by the recording of a valuation allowance against deferred tax assets of $33.6 million due to the uncertainty of realizing the associated future tax benefit and an increase in current year tax expense from foreign jurisdictions of $2.5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 supplement our consolidated financial statements presented in accordance with generally accepted accounting principles, we use constant currency revenue, which is a financial measure not reported in accordance with accounting principles generally accepted in the United States of America (“GAAP”). We believe the presentation of revenue on a constant currency basis, in addition to results reported in accordance with </w:t>
      </w:r>
      <w:r>
        <w:rPr>
          <w:rFonts w:ascii="Times New Roman;serif" w:hAnsi="Times New Roman;serif"/>
          <w:b w:val="false"/>
          <w:color w:val="000000"/>
          <w:sz w:val="20"/>
          <w:shd w:fill="FFFFFF" w:val="clear"/>
        </w:rPr>
        <w:t>GAAP, provides useful information about our operating performance because the constant currency presentation excludes the effects of foreign currency volatility and highlights our core operating results. The presentation of revenue on a constant currency basis should be considered in addition to, but not as a substitute for, measures of financial performance reported in accordance with GAAP. Revenue on a constant currency basis, as we present it, may not be comparable to similarly titled measures used by other companies.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FX Impact is calculated as the difference between the current year amounts and the current year amounts translated at prior period average exchange rates. The FX Impact % represents the percentage change on a period-over-period basis adjusted for foreign currency impacts.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constant currency revenue to our reported net revenue for the periods indicated (in thousands, except percentages):</w:t>
      </w:r>
    </w:p>
    <w:tbl>
      <w:tblPr>
        <w:tblW w:w="6419" w:type="dxa"/>
        <w:jc w:val="left"/>
        <w:tblInd w:w="0" w:type="dxa"/>
        <w:tblLayout w:type="fixed"/>
        <w:tblCellMar>
          <w:top w:w="28" w:type="dxa"/>
          <w:left w:w="28" w:type="dxa"/>
          <w:bottom w:w="28" w:type="dxa"/>
          <w:right w:w="28" w:type="dxa"/>
        </w:tblCellMar>
      </w:tblPr>
      <w:tblGrid>
        <w:gridCol w:w="907"/>
        <w:gridCol w:w="801"/>
        <w:gridCol w:w="811"/>
        <w:gridCol w:w="413"/>
        <w:gridCol w:w="413"/>
        <w:gridCol w:w="915"/>
        <w:gridCol w:w="109"/>
        <w:gridCol w:w="109"/>
        <w:gridCol w:w="109"/>
        <w:gridCol w:w="413"/>
        <w:gridCol w:w="413"/>
        <w:gridCol w:w="1006"/>
      </w:tblGrid>
      <w:tr>
        <w:trPr/>
        <w:tc>
          <w:tcPr>
            <w:tcW w:w="90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Twelve months ended</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Twelve months ended</w:t>
              <w:br/>
              <w:t>December 31, 2024</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9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constant currency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198,247 </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201,346 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FX Impact [$]</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(3,246)</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FX Impact [%]</w:t>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9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541"/>
        <w:jc w:val="both"/>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 date, our primary sources of capital have been through sales of our securities and revenue from the sale of our products and services. As of December 31, 2025 and December 31, 2024, we had approximately </w:t>
      </w:r>
      <w:r>
        <w:rPr>
          <w:rFonts w:ascii="Times New Roman;serif" w:hAnsi="Times New Roman;serif"/>
          <w:b w:val="false"/>
          <w:color w:val="000000"/>
          <w:sz w:val="20"/>
          <w:shd w:fill="FFFFFF" w:val="clear"/>
        </w:rPr>
        <w:t>$261.5</w:t>
      </w:r>
      <w:r>
        <w:rPr>
          <w:color w:val="000000"/>
        </w:rPr>
        <w:t xml:space="preserve"> </w:t>
      </w:r>
      <w:r>
        <w:rPr>
          <w:rFonts w:ascii="Times New Roman;serif" w:hAnsi="Times New Roman;serif"/>
          <w:b w:val="false"/>
          <w:color w:val="000000"/>
          <w:sz w:val="20"/>
        </w:rPr>
        <w:t xml:space="preserve">million and $277.9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million, respectively, in cash and cash equivalents and short term investments, which were primarily held in U.S. short-term bank deposit accounts, money market funds, U.S. Treasury notes, Federal agency security notes, and short term commercial paper.</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Funding and material cash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anticipate making additional capital expenditures during the next 12 months, which is expected to primarily include equipment to be used for manufacturing and investment in research and development.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w:t>
      </w:r>
      <w:r>
        <w:rPr>
          <w:rFonts w:ascii="Times New Roman;serif" w:hAnsi="Times New Roman;serif"/>
          <w:b w:val="false"/>
          <w:color w:val="000000"/>
          <w:sz w:val="20"/>
          <w:shd w:fill="FFFFFF" w:val="clear"/>
        </w:rPr>
        <w:t>$21.3 million</w:t>
      </w:r>
      <w:r>
        <w:rPr>
          <w:color w:val="000000"/>
        </w:rPr>
        <w:t xml:space="preserve"> </w:t>
      </w:r>
      <w:r>
        <w:rPr>
          <w:rFonts w:ascii="Times New Roman;serif" w:hAnsi="Times New Roman;serif"/>
          <w:b w:val="false"/>
          <w:color w:val="000000"/>
          <w:sz w:val="20"/>
        </w:rPr>
        <w:t>as of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business plan, we believe our existing cash and cash equivalents and anticipated cash flows from operations will be sufficient to meet our working capital and capital expenditure needs for at least the next 12 months from the date of this Annual Report on Form 10-K.</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primarily through sales of our securities. In July 2021, we completed our initial public offering (“IPO”), which resulted in net proceeds to us of approximately $215.7 million. We have also benefited from operating cash flows from the sale of our products and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2022, we entered into a sales agreement (the “2022 Sales Agreement”) with Piper Sandler &amp; Co. (“Piper”) as sales agent to sell from time to time up to $150.0 million of our common stock through an “at-the-market” offering program. The securities in this transaction were offered pursuant to an automatic shelf registration statement on Form S-3ASR (File No. 333-267118) that was filed with the SEC on August 26, 2022 and expired in August 2025. As of the termination of the 2022 Sales Agreement in August 2025, concurrent with the expiration of the automatic shelf registration statement, the Company had not made any sales of common stock pursuant to the 2022 Sales Agreement. Accordingly, $0.7 million in transaction expenses recorded as prepaid offering costs have been expensed and recorded in the third quarter of 2025.</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May 17, 2023, our board of directors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$44.2 million at an average price per share of $6.66. The commission costs related to the repurchases were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for both the three months and twelve months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 xml:space="preserve">. The repurchase program was used to return capital to shareholders and to minimize the dilutive impact of stock options and other stock-based awards. The repurchased shares of common stock were retired. The repurchase program expired on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June 6, 2024, our board of directors approved a program for the repurchase by the Company of up to an aggregate of $50 million of its outstanding common stock. During the three months ended December 31, 2024, the Company repurchased </w:t>
      </w:r>
      <w:r>
        <w:rPr>
          <w:rFonts w:ascii="Times New Roman;serif" w:hAnsi="Times New Roman;serif"/>
          <w:b w:val="false"/>
          <w:color w:val="000000"/>
          <w:sz w:val="20"/>
          <w:shd w:fill="FFFFFF" w:val="clear"/>
        </w:rPr>
        <w:t xml:space="preserve">1,332,950 </w:t>
      </w:r>
      <w:r>
        <w:rPr>
          <w:rFonts w:ascii="Times New Roman;serif" w:hAnsi="Times New Roman;serif"/>
          <w:b w:val="false"/>
          <w:color w:val="000000"/>
          <w:sz w:val="20"/>
        </w:rPr>
        <w:t xml:space="preserve">shares of its outstanding common stock for a total cost of approximately </w:t>
      </w:r>
      <w:r>
        <w:rPr>
          <w:rFonts w:ascii="Times New Roman;serif" w:hAnsi="Times New Roman;serif"/>
          <w:b w:val="false"/>
          <w:color w:val="000000"/>
          <w:sz w:val="20"/>
          <w:shd w:fill="FFFFFF" w:val="clear"/>
        </w:rPr>
        <w:t>$7.0 million</w:t>
      </w:r>
      <w:r>
        <w:rPr>
          <w:color w:val="000000"/>
        </w:rPr>
        <w:t xml:space="preserve">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$5.21</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During the twelve months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the Company repurchased </w:t>
      </w:r>
      <w:r>
        <w:rPr>
          <w:rFonts w:ascii="Times New Roman;serif" w:hAnsi="Times New Roman;serif"/>
          <w:b w:val="false"/>
          <w:color w:val="000000"/>
          <w:sz w:val="20"/>
        </w:rPr>
        <w:t>3,971,624</w:t>
      </w:r>
      <w:r>
        <w:rPr>
          <w:color w:val="000000"/>
          <w:shd w:fill="FFFFFF" w:val="clear"/>
        </w:rPr>
        <w:t xml:space="preserve"> </w:t>
      </w:r>
      <w:r>
        <w:rPr>
          <w:rFonts w:ascii="Times New Roman;serif" w:hAnsi="Times New Roman;serif"/>
          <w:b w:val="false"/>
          <w:color w:val="000000"/>
          <w:sz w:val="20"/>
          <w:shd w:fill="FFFFFF" w:val="clear"/>
        </w:rPr>
        <w:t xml:space="preserve">shares of its outstanding common stock for a total cost of approximately $21.6 million at an average price per share of $5.41. The repurchase program was used to return capital to shareholders and to minimize the dilutive impact of stock options and other stock-based awards. The repurchased shares of common stock were retired. The repurchase program expired on </w:t>
      </w:r>
      <w:r>
        <w:rPr>
          <w:rFonts w:ascii="Times New Roman;serif" w:hAnsi="Times New Roman;serif"/>
          <w:b w:val="false"/>
          <w:color w:val="000000"/>
          <w:sz w:val="20"/>
        </w:rPr>
        <w:t>December 31, 2024.</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December 11, 2024, the Board approved a program for the repurchase by the Company of up to an aggregate of</w:t>
      </w:r>
      <w:r>
        <w:rPr>
          <w:color w:val="000000"/>
          <w:shd w:fill="FFFFFF" w:val="clear"/>
        </w:rPr>
        <w:t xml:space="preserve"> </w:t>
      </w:r>
      <w:r>
        <w:rPr>
          <w:rFonts w:ascii="Times New Roman;serif" w:hAnsi="Times New Roman;serif"/>
          <w:b w:val="false"/>
          <w:color w:val="000000"/>
          <w:sz w:val="20"/>
        </w:rPr>
        <w:t xml:space="preserve">$50 million of its outstanding common stock commencing January 1, 2025. During the twelve months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2025, the Company repurchased 3,292,588 shares of its outstanding common stock for a total cost of approximately $15.1 million at an average price per share of $4.56. As of December 31, 2025, the Company had a remaining authorized amount of $35.0 million in the repurchase program. The repurchase program was used to return capital to shareholders and to minimize the dilutive impact of stock options and other stock-based awards. The repurchased shares of common stock were retired. The repurchase program expired on December 31, 2025.</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Under these repurchase programs, the Company has purchased an aggregate of </w:t>
      </w:r>
      <w:r>
        <w:rPr>
          <w:rFonts w:ascii="Times New Roman;serif" w:hAnsi="Times New Roman;serif"/>
          <w:b w:val="false"/>
          <w:color w:val="000000"/>
          <w:sz w:val="20"/>
        </w:rPr>
        <w:t>13,877,992 shares of its outstanding common stock for a total cost of approximately $80.8 million at an average price per share of $5.80 as of December 31, 2025.</w:t>
      </w:r>
    </w:p>
    <w:p>
      <w:pPr>
        <w:pStyle w:val="TextBody"/>
        <w:bidi w:val="0"/>
        <w:spacing w:lineRule="auto" w:line="268" w:before="120" w:after="283"/>
        <w:ind w:left="0" w:right="0" w:firstLine="540"/>
        <w:jc w:val="both"/>
        <w:rPr/>
      </w:pPr>
      <w:r>
        <w:rPr>
          <w:rFonts w:ascii="Times New Roman;serif" w:hAnsi="Times New Roman;serif"/>
          <w:b w:val="false"/>
          <w:color w:val="000000"/>
          <w:sz w:val="20"/>
        </w:rPr>
        <w:t xml:space="preserve">On August 16, 2022, the Inflation Reduction Act of 2022 (the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2025, we have accrued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 xml:space="preserve">excise taxes related with our stock repurchases. </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9156" w:type="dxa"/>
        <w:jc w:val="left"/>
        <w:tblInd w:w="0" w:type="dxa"/>
        <w:tblLayout w:type="fixed"/>
        <w:tblCellMar>
          <w:top w:w="28" w:type="dxa"/>
          <w:left w:w="28" w:type="dxa"/>
          <w:bottom w:w="28" w:type="dxa"/>
          <w:right w:w="28" w:type="dxa"/>
        </w:tblCellMar>
      </w:tblPr>
      <w:tblGrid>
        <w:gridCol w:w="2287"/>
        <w:gridCol w:w="2018"/>
        <w:gridCol w:w="2025"/>
        <w:gridCol w:w="109"/>
        <w:gridCol w:w="109"/>
        <w:gridCol w:w="109"/>
        <w:gridCol w:w="211"/>
        <w:gridCol w:w="691"/>
        <w:gridCol w:w="109"/>
        <w:gridCol w:w="109"/>
        <w:gridCol w:w="109"/>
        <w:gridCol w:w="109"/>
        <w:gridCol w:w="211"/>
        <w:gridCol w:w="796"/>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6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Operating activities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Net cash used in operating activities for the year ended December 31, 2025 was $4.7 million. The primary factors affecting our operating cash flows during the period were our net loss of $66.5 million, impacted by our non-cash charges of $66.6 million, primarily consisting of stock-based compensation expense of $24.6 million, depreciation and amortization of $7.6 million, amortization of right-of-use assets of $4.4 million, and provision for excess and obsolete inventory of $1.7 million, respectively, partially offset by gain on investment accretion and amortization of $5.7 million, deferred income taxes of $33.6 million, and interest expenses for accretion of the legal settlement liabilities $0.3 million. The cash used in changes in our operating assets and liabilities of $4.8 million were primarily due to an increase of inventories of $5.2 million, a decrease of operating lease liabilities of $4.1 million, and a decrease in the legal settlement liability of $1.1 million, and an increase in prepaid expenses and other assets of $2.7 million. These amounts were partially offset by cash provided from changes in our operating assets and liabilities of an increase in deferred revenue of $3.6 million, and a decrease of </w:t>
      </w:r>
      <w:r>
        <w:rPr>
          <w:rFonts w:ascii="Times New Roman;serif" w:hAnsi="Times New Roman;serif"/>
          <w:b w:val="false"/>
          <w:color w:val="000000"/>
          <w:sz w:val="20"/>
          <w:shd w:fill="FFFFFF" w:val="clear"/>
        </w:rPr>
        <w:t xml:space="preserve">accrued expenses and other liabilities of $4.0 million, </w:t>
      </w:r>
      <w:r>
        <w:rPr>
          <w:rFonts w:ascii="Times New Roman;serif" w:hAnsi="Times New Roman;serif"/>
          <w:b w:val="false"/>
          <w:color w:val="000000"/>
          <w:sz w:val="20"/>
        </w:rPr>
        <w:t xml:space="preserve">and an increase in trade accounts payable of $0.4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year ended December 31, 2024 was $25.4 million. The primary factors affecting our operating cash flows during the period were our net loss of $6.0 million, impacted by our non-cash charges of $23.7 million, primarily consisting of stock-based compensation expense of $26.8 million, depreciation and amortization of $7.2 million, amortization of right-of-use assets of $3.3 million, and provision for excess and obsolete inventory of $1.6 million respectively, partially offset by interest expenses for accretion of the legal settlement liabilities of $7.2 million, gain on investment accretion and amortization of $5.2 million, and deferred income taxes of $2.9 million. The cash provided by changes in our operating assets and liabilities of $7.7 million were primarily due to a decrease of inventories of $14.8 million, an increase in deferred revenue of $3.7 million, and a decrease of trade accounts payables of $2.6 million. These amounts were partially offset by cash used from changes in our operating assets and liabilities of an increase of trade accounts receivable of $5.4 million, an increase in prepaid expenses and other assets of $2.8 million, a decrease in the legal settlement liability of $1.1 million, and a decrease of operating lease liabilities of $3.2 million, and an increase in accrued expenses and other liabilities of $0.8 million. </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Investing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during the year ended December 31, 2025 was $10.1 million driven by proceeds from maturities of marketable securities of $292.2 million, and proceeds from sales of property and equipment of $0.3 million, partially offset by purchases of marketable securities of $278.2 million, purchases of property and equipment of $4.1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year ended December 31, 2024 was $83.0 million driven by purchases of marketable securities of $274.1 million, purchases of property and equipment of $3.5 million, the purchase of the Cytometric Engineering Ltd. (d.b.a. FlowCEL) business of $0.5 million, and purchase of intangible assets of $0.2 million, partially offset by proceeds from maturities of marketable securities of $195 million, and proceeds from sales of property and equipment of $0.3 million.</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Financing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year ended December 31, 2025 was $13.4 million driven by $15.1 million of costs related to our share repurchase program, $4.7 million in loan repayment costs and payments for taxes related to net share settlement of equity awards of $0.7 million, partially offset by proceeds from line of credit of $5.6 million, the issuance of our common stock under our Employee Stock Purchase Plan of $1.1 million, and the issuance of our common stock under our equity incentive plans of $0.3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year ended December 31, 2024 was $15.8 million driven by $21.6 million of costs related to our share repurchase program, $0.6 million in loan repayment costs and payments for taxes related to net share settlement of equity awards of $0.6 million, partially offset by partially offset by proceeds from line of credit of $4.2 million, the issuance of our common stock under our Employee Stock Purchase Plan of $1.7 million, and the issuance of our common stock under our equity incentive plans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there were no material changes to our contractual obligations and commitments from those described under “Management’s Discussion and Analysis of Financial Condition” which is contained in our Form 10-K and filed with the SEC on February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prepared our consolidated financial statements in accordance with GAAP. Our preparation of these consolidated financial statements requires us to make estimates, assumptions and judgments that affect the reported amounts of assets, liabilities, revenue, expenses, and related disclosures. We evaluate our estimates and judgments on an ongoing basis. We based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Actual results could therefore differ materially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Note 2 to our consolidated financial statements included elsewhere in this Annual Report on Form 10-K, we believe that the following accounting policies are the most critical to understanding and evaluating our reported consolidated financial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product revenue primarily consists of sale of our instruments, instrument accessories, such as loaders and, to a lesser extent, consumables such as reagents. We offer multiple versions of our instruments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service revenue consists of post-warranty service contracts, preventative maintenance plans, repairs, installation and quality check, customer training and other specialized product support services. We recognize service contract revenue ratably over the term of the contract and other service obligations as they are performed. 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in the contract; and (v) recognize revenue when (or as) the entity satisfies a performance obligation.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defined as the unit of account for revenue recognition under the contract with customers guidance. Performance obligations are considered distinct if they are both capable of being distinct, and distinct within the context of the contract. The Company identified the following performance obligations in the contracts: product sales of instrument systems, installation on instrument systems, delivery of instrument accessories such as loaders, consumables, reagents, extended service contracts and professional services revenue for post-warranty service contracts, preventative maintenance plans, repairs, installations, training, time and material services and other specialized support services. A good or service is distinct when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Payments from customers are in arrears. For arrangements where the anticipated period between timing of transfer of services and the timing of payment is one year or less, we have elected to not assess whether a significant financing component exists. For arrangements with terms greater than one year, payments are either received up-front for reasons other than financing, or received according to financing arrangements and contract terms. Revenue is recognized only to the extent that it is probable that a significant reversal of the cumulative amount recognized will not occur in future periods.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our sales contracts involve the delivery or performance of multiple products and services within contractually binding arrangements. Significant judgment is sometimes required to determine the appropriate accounting for such arrangements, including whether the deliverables specified in a contract with multiple promises should be treated as separate performance obligations for revenue recognition purposes and, if so, how the related sales price should be allocated among the performance obligations, when to recognize revenue for each performance obligation, and the period over which revenue should be recognized. For most of our performance obligations, we have established the stand-alone selling prices (“SSP”) as a range rather than a single value, based on standalone sales of products. We allocate revenue to the performance obligations based on their relative standalone selling prices SSP.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Taxes, such as 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nature of our primary types of revenue and the revenue recognition policies and significant payment terms as they pertain to the types of transactions we enter into with our customers.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Product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standard arrangement for sales to end users is generally a purchase order or an executed contract. Product revenue is recognized upon transfer of control of the product to the customer, which, for us, generally occurs at a point in time depending on the shipping terms. Payment terms are generally 30 to 90 days from the date of invoicing.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distributor arrangements with our customers include a purchase order. The purchase order is governed by terms and conditions of the distributor agreements. Revenue is recognized upon transfer of control of the products to the distributor, which for us, occurs at a point in time depending on the shipping terms.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services are primarily a mix of service contracts, installation services, and time and material-based repair and support. We recognize revenue from the sale of service contracts over the respective period, while revenue on product support is recognized as the services are performed. Service contracts are typically between one and three years. Payment terms are generally 30 days from the date of invoicing. Installation revenue is recognized upon completion of the installation, which, for us, occurs at a point in time.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and net realizable value. Cost is computed using standard cost, which approximates actual cost on a first-in, first-out basis. We regularly monitor inventory quantities on hand and record write-downs for excess and obsolete inventories based on our estimate of demand for our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Our estimates of forecasted demand are based upon our analysis and assumptions including, but not limited to, expected product lifecycles,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plans and historical usage by product. If inventory is written down, a new cost basis is established that cannot be increased in future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Contract assets and contract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Contract assets are recorded when the amount of revenue recognized exceeds the amount invoiced to the customer and the right to payment is not solely subject to the passage of time. As of December 31, 2025 and 2024, we had immaterial amounts of contract assets included within prepaid expenses and other current assets on the consolidated balance sheets.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fees invoiced or paid by our customers for which the associated services have not been performed and revenue has not been recognized based on our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Legal Settlement Liability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the fourth quarter of 2025, we determined that it was necessary to revise our long-term forecasted net sales subject to royalties under the BD settlement as a result of the current macroeconomic conditions and headwinds. As a result, we remeasured the fair value of the legal settlement liability presented in the Consolidated Balance Sheets as of December 31, 2025. Based on the updated forecast, we recorded a </w:t>
      </w:r>
      <w:r>
        <w:rPr>
          <w:rFonts w:ascii="Times New Roman;serif" w:hAnsi="Times New Roman;serif"/>
          <w:b w:val="false"/>
          <w:color w:val="000000"/>
          <w:sz w:val="20"/>
          <w:shd w:fill="FFFFFF" w:val="clear"/>
        </w:rPr>
        <w:t>$1.0</w:t>
      </w:r>
      <w:r>
        <w:rPr>
          <w:color w:val="000000"/>
        </w:rPr>
        <w:t xml:space="preserve"> </w:t>
      </w:r>
      <w:r>
        <w:rPr>
          <w:rFonts w:ascii="Times New Roman;serif" w:hAnsi="Times New Roman;serif"/>
          <w:b w:val="false"/>
          <w:color w:val="000000"/>
          <w:sz w:val="20"/>
        </w:rPr>
        <w:t xml:space="preserve">million reduction of the legal settlement liability, with a corresponding change to interest income (expense), net in the Consolidated Statements of Operations and Comprehensive Income (Loss) for the year ended December 31, 2025. </w:t>
      </w:r>
      <w:r>
        <w:rPr>
          <w:rFonts w:ascii="Times New Roman;serif" w:hAnsi="Times New Roman;serif"/>
          <w:b w:val="false"/>
          <w:color w:val="000000"/>
          <w:sz w:val="20"/>
          <w:shd w:fill="FFFFFF" w:val="clear"/>
        </w:rPr>
        <w:t>See Note 11 to our consolidated financial statements included elsewhere in this Annual Report on Form 10-K for further details.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an equity incentive compensation plan under which incentive stock options and nonqualified stock options to purchase common stock, and restricted stock units for common stock, are granted primarily to employees and non-employee consultants.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Stock-based compensation cost is measured at the grant date based on the fair value of the award and is recognized as expense over the vesting period. The fair value of stock options is estimated using the Black-Scholes option pricing model. We record forfeitures as they occur.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Black-Scholes model considers several variables and assumptions in estimating the fair value of stock- based awards. These variables include the per share fair value of the underlying common stock, exercise price, expected term, risk-free interest rate, expected annual dividend yield and expected stock price volatility over the expected term. For all stock options granted, we calculated the expected term using the simplified method for standard stock option awards. After our IPO, the fair value of our common stock is determined by the closing price of our common stock on the date of grant as reported on the Nasdaq Global Select Market. The risk-free interest rate is based on the yield available on U.S. Treasury zero-coupon issues similar in duration to the expected term of the equity-settled award.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used in estimating the fair value of stock options granted during each of the periods presented:</w:t>
      </w:r>
    </w:p>
    <w:tbl>
      <w:tblPr>
        <w:tblW w:w="4814" w:type="dxa"/>
        <w:jc w:val="left"/>
        <w:tblInd w:w="0" w:type="dxa"/>
        <w:tblLayout w:type="fixed"/>
        <w:tblCellMar>
          <w:top w:w="28" w:type="dxa"/>
          <w:left w:w="28" w:type="dxa"/>
          <w:bottom w:w="28" w:type="dxa"/>
          <w:right w:w="28" w:type="dxa"/>
        </w:tblCellMar>
      </w:tblPr>
      <w:tblGrid>
        <w:gridCol w:w="755"/>
        <w:gridCol w:w="663"/>
        <w:gridCol w:w="666"/>
        <w:gridCol w:w="202"/>
        <w:gridCol w:w="204"/>
        <w:gridCol w:w="271"/>
        <w:gridCol w:w="109"/>
        <w:gridCol w:w="109"/>
        <w:gridCol w:w="109"/>
        <w:gridCol w:w="202"/>
        <w:gridCol w:w="204"/>
        <w:gridCol w:w="271"/>
        <w:gridCol w:w="109"/>
        <w:gridCol w:w="109"/>
        <w:gridCol w:w="109"/>
        <w:gridCol w:w="202"/>
        <w:gridCol w:w="204"/>
        <w:gridCol w:w="31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volatility—Expected volatility is estimated by analyzing the Company’s historical market data for the assessment corresponds to the expected term of the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term—Expected term represents the period that our stock-based awards are expected to be outstanding and is determined using the simplified method.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Risk-free interest rate—The risk-free interest rate is based on the U.S. Treasury zero-coupon issued in effect at the time of grant for periods corresponding with the expected term of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Dividend yield— The expected dividend yield is zero as we have never declared or paid cash dividends and have no current plans to do so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Recently adopted accounting pronouncements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See </w:t>
      </w:r>
      <w:r>
        <w:rPr>
          <w:rFonts w:ascii="Times New Roman;serif" w:hAnsi="Times New Roman;serif"/>
          <w:b w:val="false"/>
          <w:color w:val="000000"/>
          <w:sz w:val="20"/>
          <w:shd w:fill="FFFFFF" w:val="clear"/>
        </w:rPr>
        <w:t>Note 2</w:t>
      </w:r>
      <w:r>
        <w:rPr>
          <w:color w:val="000000"/>
        </w:rPr>
        <w:t xml:space="preserve"> </w:t>
      </w:r>
      <w:r>
        <w:rPr>
          <w:rFonts w:ascii="Times New Roman;serif" w:hAnsi="Times New Roman;serif"/>
          <w:b w:val="false"/>
          <w:color w:val="000000"/>
          <w:sz w:val="20"/>
        </w:rPr>
        <w:t>to our consolidated financial statements included elsewhere in this Annual Report on Form 10-K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 </w:t>
      </w:r>
    </w:p>
    <w:p>
      <w:pPr>
        <w:pStyle w:val="TextBody"/>
        <w:bidi w:val="0"/>
        <w:spacing w:lineRule="auto" w:line="288" w:before="120" w:after="283"/>
        <w:jc w:val="both"/>
        <w:rPr/>
      </w:pPr>
      <w:r>
        <w:rPr>
          <w:rFonts w:ascii="Times New Roman;serif" w:hAnsi="Times New Roman;serif"/>
          <w:b/>
          <w:i/>
          <w:color w:val="000000"/>
          <w:sz w:val="20"/>
        </w:rPr>
        <w:t>Interest rate risk</w:t>
      </w:r>
      <w:r>
        <w:rPr>
          <w:color w:val="00000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market risk inherent in our financial instruments and in our financial condition represents the potential loss arising from adverse changes in interest rates or exchange rates. As of December 31, 2025, we had cash and cash equivalents of </w:t>
      </w:r>
      <w:r>
        <w:rPr>
          <w:rFonts w:ascii="Times New Roman;serif" w:hAnsi="Times New Roman;serif"/>
          <w:b w:val="false"/>
          <w:color w:val="000000"/>
          <w:sz w:val="20"/>
          <w:shd w:fill="FFFFFF" w:val="clear"/>
        </w:rPr>
        <w:t>$90.9</w:t>
      </w:r>
      <w:r>
        <w:rPr>
          <w:color w:val="000000"/>
        </w:rPr>
        <w:t xml:space="preserve"> </w:t>
      </w:r>
      <w:r>
        <w:rPr>
          <w:rFonts w:ascii="Times New Roman;serif" w:hAnsi="Times New Roman;serif"/>
          <w:b w:val="false"/>
          <w:color w:val="000000"/>
          <w:sz w:val="20"/>
        </w:rPr>
        <w:t xml:space="preserve">million, which consisted primarily of money market funds and bank deposits. The primary objective of our investment is to preserve principal and provide liquidity. These money market funds and bank deposits generate interest income at variable rates.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therefore do not believe we are exposed to, nor do we anticipate being in the near future exposed to, material risk due to changes in interest rates because of the short-term nature of our cash and cash equivalents.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Foreign currency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believe that either inflation or foreign currency risk had a material effect on our business, financial condition, or results of operations during the periods presented. Please see the section titled “Management’s Discussion and Analysis of Financial Condition and Results of Operations— Non-GAAP Financial Measure” for a presentation of revenue on a constant currency basis, which provides information regarding our operating performance excluding the effects of foreign currency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Cytek Biosciences, Inc.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Cytek Biosciences, Inc. and subsidiaries (the “Company”) as of December 31, 2025 and 2024, the related consolidated statements of operations and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120" w:after="283"/>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26, 2026, expressed an unqualified opinion on the Company's internal control over financial reporting.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Inventories – Excess and Obsolete Inventories — Refer to Notes 2 and 5 to the financial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20" w:after="283"/>
        <w:jc w:val="both"/>
        <w:rPr/>
      </w:pPr>
      <w:r>
        <w:rPr>
          <w:rFonts w:ascii="Times New Roman;serif" w:hAnsi="Times New Roman;serif"/>
          <w:b w:val="false"/>
          <w:color w:val="000000"/>
          <w:sz w:val="20"/>
        </w:rPr>
        <w:t xml:space="preserve">The Company records write-downs for excess and obsolete inventories based on the Company’s estimate of demand for its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The Company’s inventories balance is </w:t>
      </w:r>
      <w:r>
        <w:rPr>
          <w:rFonts w:ascii="Times New Roman;serif" w:hAnsi="Times New Roman;serif"/>
          <w:b w:val="false"/>
          <w:color w:val="000000"/>
          <w:sz w:val="20"/>
          <w:shd w:fill="FFFFFF" w:val="clear"/>
        </w:rPr>
        <w:t>$48.4</w:t>
      </w:r>
      <w:r>
        <w:rPr>
          <w:color w:val="000000"/>
        </w:rPr>
        <w:t xml:space="preserve"> </w:t>
      </w:r>
      <w:r>
        <w:rPr>
          <w:rFonts w:ascii="Times New Roman;serif" w:hAnsi="Times New Roman;serif"/>
          <w:b w:val="false"/>
          <w:color w:val="000000"/>
          <w:sz w:val="20"/>
        </w:rPr>
        <w:t>million as of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identified excess and obsolete inventories as a critical audit matter because of the estimates and assumptions made by management to evaluate inventories for excess and obsolescence, especially considering the uncertainty present in these estimates and assumptions. This required a high degree of auditor judgment when performing audit procedures to evaluate the reasonableness of management’s estimates and assumptions related to excess and obsolete inventories.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excess and obsolete inventories included the following, among others: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tested the effectiveness of internal controls over management’s estimates and assumptions used to evaluate excess and obsolete inventories, including internal controls over the estimates of demand for products.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evaluated the reasonableness of management’s method, assumptions, and judgments used in developing their estimate of excess and obsolete inventories, which included estimates of demand for its products, potential obsolescence of technology, product life cycles, pricing trends and forecasts, and selling prices.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tested underlying data used and considered by management in making their estimates and assumptions related to excess and obsolete inventories, including the amount of inventory on hand, estimates of demand for products, and historical usage by product.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compared actual inventory usage and write-down activity in the current year to the excess and obsolete estimates made by management in the prior year to evaluate management’s ability to make accurate estimates.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selected a sample of inventory items from a) those management determined to be excess and obsolete and b) those management did not determine to be excess and obsolete, and performed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evaluated the reasonableness of management’s estimates and assumptions by obtaining product-specific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inquired of management, including personnel with operational roles, regarding the estimates and assumptions specific to the selected inventory items.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considered inventory write-downs made subsequent to December 31, 2025 in evaluating the reasonableness of management’s estimates and assumptions related to excess and obsolete inventories.</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21"/>
        <w:gridCol w:w="2191"/>
        <w:gridCol w:w="2200"/>
        <w:gridCol w:w="109"/>
        <w:gridCol w:w="109"/>
        <w:gridCol w:w="109"/>
        <w:gridCol w:w="211"/>
        <w:gridCol w:w="826"/>
        <w:gridCol w:w="109"/>
        <w:gridCol w:w="109"/>
        <w:gridCol w:w="109"/>
        <w:gridCol w:w="109"/>
        <w:gridCol w:w="211"/>
        <w:gridCol w:w="826"/>
        <w:gridCol w:w="156"/>
      </w:tblGrid>
      <w:tr>
        <w:trPr/>
        <w:tc>
          <w:tcPr>
            <w:tcW w:w="282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1,000,000,000 authorized shares as of December 31, 2025 and December 31, 2024, respectively; 128,550,136 and 129,205,901 issued and outstanding shares as of December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395,737 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2090"/>
        <w:gridCol w:w="1822"/>
        <w:gridCol w:w="1827"/>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2090"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 (Notes 11,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allocated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127,745,939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130,611,330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135,283,044</w:t>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127,745,939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130,611,330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135,283,044</w:t>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Cytek Biosciences,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Stockholders’ Equity</w:t>
      </w:r>
    </w:p>
    <w:tbl>
      <w:tblPr>
        <w:tblW w:w="10205" w:type="dxa"/>
        <w:jc w:val="left"/>
        <w:tblInd w:w="0" w:type="dxa"/>
        <w:tblLayout w:type="fixed"/>
        <w:tblCellMar>
          <w:top w:w="28" w:type="dxa"/>
          <w:left w:w="28" w:type="dxa"/>
          <w:bottom w:w="28" w:type="dxa"/>
          <w:right w:w="28" w:type="dxa"/>
        </w:tblCellMar>
      </w:tblPr>
      <w:tblGrid>
        <w:gridCol w:w="1138"/>
        <w:gridCol w:w="936"/>
        <w:gridCol w:w="940"/>
        <w:gridCol w:w="109"/>
        <w:gridCol w:w="109"/>
        <w:gridCol w:w="109"/>
        <w:gridCol w:w="279"/>
        <w:gridCol w:w="279"/>
        <w:gridCol w:w="283"/>
        <w:gridCol w:w="181"/>
        <w:gridCol w:w="361"/>
        <w:gridCol w:w="109"/>
        <w:gridCol w:w="181"/>
        <w:gridCol w:w="616"/>
        <w:gridCol w:w="109"/>
        <w:gridCol w:w="181"/>
        <w:gridCol w:w="662"/>
        <w:gridCol w:w="109"/>
        <w:gridCol w:w="268"/>
        <w:gridCol w:w="717"/>
        <w:gridCol w:w="163"/>
        <w:gridCol w:w="358"/>
        <w:gridCol w:w="805"/>
        <w:gridCol w:w="217"/>
        <w:gridCol w:w="185"/>
        <w:gridCol w:w="635"/>
        <w:gridCol w:w="166"/>
      </w:tblGrid>
      <w:tr>
        <w:trPr/>
        <w:tc>
          <w:tcPr>
            <w:tcW w:w="113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4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9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deficit </w:t>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 xml:space="preserve">(loss) income </w:t>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w:t>
              <w:br/>
              <w:t xml:space="preserve">interest in consolidated </w:t>
              <w:br/>
              <w:t xml:space="preserve">subsidiary </w:t>
            </w:r>
          </w:p>
        </w:tc>
        <w:tc>
          <w:tcPr>
            <w:tcW w:w="9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 xml:space="preserve">stockholders’ </w:t>
              <w:br/>
              <w:t>equity</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 thousands, except share data)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December 31, 2022</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135,365,381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425,546 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1,723,511</w:t>
            </w:r>
          </w:p>
        </w:tc>
        <w:tc>
          <w:tcPr>
            <w:tcW w:w="5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1,467 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Employee Stock Purchase Plan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296,236</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(56,442)</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(6,613,780)</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(44,471)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marketable securities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December 31, 2023</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130,714,906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393,064 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2,193,491</w:t>
            </w:r>
          </w:p>
        </w:tc>
        <w:tc>
          <w:tcPr>
            <w:tcW w:w="5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1,015 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Employee Stock Purchase Plan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358,547</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(89,419)</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(3,971,624)</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marketable securities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December 31, 2024</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129,205,901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430,791 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395,736 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2,316,708</w:t>
            </w:r>
          </w:p>
        </w:tc>
        <w:tc>
          <w:tcPr>
            <w:tcW w:w="5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325 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Employee Stock Purchase Plan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477,462</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(157,347)</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(3,292,588)</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marketable securities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December 31, 2025</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128,550,136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341,739 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16"/>
        </w:rPr>
        <w:t>The accompanying notes are an integral part of these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255"/>
        <w:gridCol w:w="1949"/>
        <w:gridCol w:w="1962"/>
        <w:gridCol w:w="109"/>
        <w:gridCol w:w="109"/>
        <w:gridCol w:w="109"/>
        <w:gridCol w:w="196"/>
        <w:gridCol w:w="714"/>
        <w:gridCol w:w="109"/>
        <w:gridCol w:w="109"/>
        <w:gridCol w:w="109"/>
        <w:gridCol w:w="109"/>
        <w:gridCol w:w="196"/>
        <w:gridCol w:w="646"/>
        <w:gridCol w:w="109"/>
        <w:gridCol w:w="109"/>
        <w:gridCol w:w="109"/>
        <w:gridCol w:w="109"/>
        <w:gridCol w:w="196"/>
        <w:gridCol w:w="736"/>
        <w:gridCol w:w="156"/>
      </w:tblGrid>
      <w:tr>
        <w:trPr/>
        <w:tc>
          <w:tcPr>
            <w:tcW w:w="225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 Ended December 31,</w:t>
            </w:r>
          </w:p>
        </w:tc>
      </w:tr>
      <w:tr>
        <w:trPr/>
        <w:tc>
          <w:tcPr>
            <w:tcW w:w="6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(benefit from)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investments, accretion, and amortization,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expenses for accretion of the legal settlement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Legal settlement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(175,935)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 (patents)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additional investment in Cytek Japan,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(93,894)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for repurchase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taxes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(131,870)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299,500 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167,630 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paid for taxes, net of refunds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Fixed asset purchases in accounts payable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in accrued expenses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excise taxes for share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tbl>
      <w:tblPr>
        <w:tblW w:w="9564" w:type="dxa"/>
        <w:jc w:val="center"/>
        <w:tblInd w:w="0" w:type="dxa"/>
        <w:tblLayout w:type="fixed"/>
        <w:tblCellMar>
          <w:top w:w="28" w:type="dxa"/>
          <w:left w:w="28" w:type="dxa"/>
          <w:bottom w:w="28" w:type="dxa"/>
          <w:right w:w="28" w:type="dxa"/>
        </w:tblCellMar>
      </w:tblPr>
      <w:tblGrid>
        <w:gridCol w:w="2209"/>
        <w:gridCol w:w="1945"/>
        <w:gridCol w:w="1951"/>
        <w:gridCol w:w="109"/>
        <w:gridCol w:w="109"/>
        <w:gridCol w:w="109"/>
        <w:gridCol w:w="196"/>
        <w:gridCol w:w="556"/>
        <w:gridCol w:w="109"/>
        <w:gridCol w:w="109"/>
        <w:gridCol w:w="109"/>
        <w:gridCol w:w="109"/>
        <w:gridCol w:w="196"/>
        <w:gridCol w:w="556"/>
        <w:gridCol w:w="109"/>
        <w:gridCol w:w="109"/>
        <w:gridCol w:w="109"/>
        <w:gridCol w:w="109"/>
        <w:gridCol w:w="196"/>
        <w:gridCol w:w="406"/>
        <w:gridCol w:w="154"/>
      </w:tblGrid>
      <w:tr>
        <w:trPr/>
        <w:tc>
          <w:tcPr>
            <w:tcW w:w="22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Derecognition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inventory to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Holdback amount in 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Cytek Biosciences,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color w:val="000000"/>
        </w:rPr>
        <w:t xml:space="preserve">™” </w:t>
      </w:r>
      <w:r>
        <w:rPr>
          <w:rFonts w:ascii="Times New Roman;serif" w:hAnsi="Times New Roman;serif"/>
          <w:b w:val="false"/>
          <w:color w:val="000000"/>
          <w:sz w:val="20"/>
        </w:rPr>
        <w:t>or “FSP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technology). The Company is focused on becoming the premier cell analysis company through continued innovation that facilitates scientific advances in biomedical research and clinical applications.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has successfully developed and manufactured its full spectrum flow cytometry platform (“instrument(s)” or “product(s)”). The Company’s FSP cell analyzers, the Cytek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Aurora</w:t>
      </w:r>
      <w:r>
        <w:rPr>
          <w:color w:val="000000"/>
        </w:rPr>
        <w:t>™</w:t>
      </w:r>
      <w:r>
        <w:rPr>
          <w:rFonts w:ascii="Times New Roman;serif" w:hAnsi="Times New Roman;serif"/>
          <w:b w:val="false"/>
          <w:color w:val="000000"/>
          <w:sz w:val="20"/>
        </w:rPr>
        <w:t>, Northern Lights</w:t>
      </w:r>
      <w:r>
        <w:rPr>
          <w:color w:val="000000"/>
        </w:rPr>
        <w:t xml:space="preserve">™ </w:t>
      </w:r>
      <w:r>
        <w:rPr>
          <w:rFonts w:ascii="Times New Roman;serif" w:hAnsi="Times New Roman;serif"/>
          <w:b w:val="false"/>
          <w:color w:val="000000"/>
          <w:sz w:val="20"/>
        </w:rPr>
        <w:t>and Cytek Aurora Evo systems, deliver high-resolution, high-content and high-sensitivity cell analysis. The Company also launched its Cytek Aurora cell sorter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serif" w:hAnsi="Times New Roman;serif"/>
          <w:b w:val="false"/>
          <w:color w:val="000000"/>
          <w:sz w:val="13"/>
        </w:rPr>
        <w:t>®</w:t>
      </w:r>
      <w:r>
        <w:rPr>
          <w:rFonts w:ascii="Times New Roman;serif" w:hAnsi="Times New Roman;serif"/>
          <w:b w:val="false"/>
          <w:color w:val="000000"/>
          <w:sz w:val="20"/>
        </w:rPr>
        <w:t>- and Guava</w:t>
      </w:r>
      <w:r>
        <w:rPr>
          <w:rFonts w:ascii="Times New Roman;serif" w:hAnsi="Times New Roman;serif"/>
          <w:b w:val="false"/>
          <w:color w:val="000000"/>
          <w:sz w:val="13"/>
        </w:rPr>
        <w:t>®</w:t>
      </w:r>
      <w:r>
        <w:rPr>
          <w:rFonts w:ascii="Times New Roman;serif" w:hAnsi="Times New Roman;serif"/>
          <w:b w:val="false"/>
          <w:color w:val="000000"/>
          <w:sz w:val="20"/>
        </w:rPr>
        <w:t>-branded instruments, and flow cytometry reagent products and services (the “FCI Business”). The acquired FCI Business includes conventional flow and image-based flow cytometry instrumentation and related products and services (the “FCI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incorporated in the state of Delaware in December 2014 and is headquartered in Fremont, California with offices, manufacturing facilities and distribution channels across the globe.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prepared the accompanying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Cytek (Wuxi) Biosciences Co., Ltd. (“Cytek Wuxi”), and Cytek Biosciences Canada Ltd. (Canada). All intercompany accounts and transactions have been eliminated in consolidation.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Variable interest entities and voting interest entities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consolidated financial statements in conformity with GAAP requires management to make estimates and assumptions that affect the reported amounts of assets,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Operating segments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 xml:space="preserve">reportable and operating segment.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Foreign currency translation and transactions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consolidated statements of operations and comprehensive loss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consolidated statements of operations and comprehensive (loss) income.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 maturity of three months or less when purchased to be cash equivalents. Cash equivalents are carried at cost, which approximates fair value.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Company’s cash, cash equivalents, and restricted cash consist of money held in demand depository accounts and money market funds. The carrying amount of cash, cash equivalents, and restricted cash was $90.9 million and </w:t>
      </w:r>
      <w:r>
        <w:rPr>
          <w:rFonts w:ascii="Times New Roman;serif" w:hAnsi="Times New Roman;serif"/>
          <w:b w:val="false"/>
          <w:color w:val="000000"/>
          <w:sz w:val="20"/>
          <w:shd w:fill="FFFFFF" w:val="clear"/>
        </w:rPr>
        <w:t>$98.7</w:t>
      </w:r>
      <w:r>
        <w:rPr>
          <w:color w:val="000000"/>
        </w:rPr>
        <w:t xml:space="preserve"> </w:t>
      </w:r>
      <w:r>
        <w:rPr>
          <w:rFonts w:ascii="Times New Roman;serif" w:hAnsi="Times New Roman;serif"/>
          <w:b w:val="false"/>
          <w:color w:val="000000"/>
          <w:sz w:val="20"/>
        </w:rPr>
        <w:t>million as of December 31, 2025 and 2024,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December 31, 2025 and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restricted cash as current on the accompanying consolidated balance sheets based upon the term of the remaining restrictions.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cash, cash equivalents and restricted cash on the consolidated balance sheets (in thousands): </w:t>
      </w:r>
    </w:p>
    <w:tbl>
      <w:tblPr>
        <w:tblW w:w="10205" w:type="dxa"/>
        <w:jc w:val="left"/>
        <w:tblInd w:w="0" w:type="dxa"/>
        <w:tblLayout w:type="fixed"/>
        <w:tblCellMar>
          <w:top w:w="28" w:type="dxa"/>
          <w:left w:w="28" w:type="dxa"/>
          <w:bottom w:w="28" w:type="dxa"/>
          <w:right w:w="28" w:type="dxa"/>
        </w:tblCellMar>
      </w:tblPr>
      <w:tblGrid>
        <w:gridCol w:w="2795"/>
        <w:gridCol w:w="2412"/>
        <w:gridCol w:w="2450"/>
        <w:gridCol w:w="220"/>
        <w:gridCol w:w="754"/>
        <w:gridCol w:w="113"/>
        <w:gridCol w:w="109"/>
        <w:gridCol w:w="109"/>
        <w:gridCol w:w="109"/>
        <w:gridCol w:w="219"/>
        <w:gridCol w:w="752"/>
        <w:gridCol w:w="163"/>
      </w:tblGrid>
      <w:tr>
        <w:trPr/>
        <w:tc>
          <w:tcPr>
            <w:tcW w:w="2795"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32,251 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as presented on the consolidated statements of cash flows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90,853 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98,745 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Short-term restricted cash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December 31, 2024, two bank guarantees to Cytek Biosciences B.V. totaled </w:t>
      </w:r>
      <w:r>
        <w:rPr>
          <w:rFonts w:ascii="Times New Roman;serif" w:hAnsi="Times New Roman;serif"/>
          <w:b w:val="false"/>
          <w:color w:val="000000"/>
          <w:sz w:val="20"/>
        </w:rPr>
        <w:t>$29.0</w:t>
      </w:r>
      <w:r>
        <w:rPr>
          <w:color w:val="000000"/>
          <w:shd w:fill="FFFFFF" w:val="clear"/>
        </w:rPr>
        <w:t xml:space="preserve"> </w:t>
      </w:r>
      <w:r>
        <w:rPr>
          <w:rFonts w:ascii="Times New Roman;serif" w:hAnsi="Times New Roman;serif"/>
          <w:b w:val="false"/>
          <w:color w:val="000000"/>
          <w:sz w:val="20"/>
          <w:shd w:fill="FFFFFF" w:val="clear"/>
        </w:rPr>
        <w:t xml:space="preserve">thousand (EUR </w:t>
      </w:r>
      <w:r>
        <w:rPr>
          <w:rFonts w:ascii="Times New Roman;serif" w:hAnsi="Times New Roman;serif"/>
          <w:b w:val="false"/>
          <w:color w:val="000000"/>
          <w:sz w:val="20"/>
        </w:rPr>
        <w:t>27.5 thousand</w:t>
      </w:r>
      <w:r>
        <w:rPr>
          <w:rFonts w:ascii="Times New Roman;serif" w:hAnsi="Times New Roman;serif"/>
          <w:b w:val="false"/>
          <w:color w:val="000000"/>
          <w:sz w:val="20"/>
          <w:shd w:fill="FFFFFF" w:val="clear"/>
        </w:rPr>
        <w:t>). The restricted cash was related to two customers and was based on a 12-month period warranty security that would be released in 2025.</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As of December 31, 2025, </w:t>
      </w:r>
      <w:r>
        <w:rPr>
          <w:rFonts w:ascii="Times New Roman;serif" w:hAnsi="Times New Roman;serif"/>
          <w:b w:val="false"/>
          <w:color w:val="000000"/>
          <w:sz w:val="20"/>
          <w:shd w:fill="FFFFFF" w:val="clear"/>
        </w:rPr>
        <w:t>all short-term restricted cash had been released, and there was no short-term restricted cash with Cytek Biosciences B.V.</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Available-for-sale investments. </w:t>
      </w:r>
      <w:r>
        <w:rPr>
          <w:rFonts w:ascii="Times New Roman;serif" w:hAnsi="Times New Roman;serif"/>
          <w:b w:val="false"/>
          <w:color w:val="000000"/>
          <w:sz w:val="20"/>
        </w:rPr>
        <w:t xml:space="preserve">The Company’s investments may consist of U.S. treasury and U.S. government agency securities, corporate notes and bonds, commercial paper, and money market funds. The Company has designated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as available-for-sale and, therefore, such investments are reported at fair value, with unrealized gains and losses recorded in accumulated other comprehensive (loss) income.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(expenses),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Equity Investment. </w:t>
      </w:r>
      <w:r>
        <w:rPr>
          <w:rFonts w:ascii="Times New Roman;serif" w:hAnsi="Times New Roman;serif"/>
          <w:b w:val="false"/>
          <w:color w:val="000000"/>
          <w:sz w:val="20"/>
        </w:rPr>
        <w:t>The Company’s investment consists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net in the consolidated statements of operations. There were no material events or circumstances impacting the carrying amount of our strategic investments during the year ended December 31,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Trade accounts receivable,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accounts receivable consists principally of amounts due related to product sales of instrument systems and accessories, as well as installation and repair services. These receivables are generally due within 30 to 90 days of the period in which the corresponding sales occur, do not bear interest, and are classified as trade accounts receivable, net on the consolidated balance sheets. Trade accounts receivable are reported at their estimated net realizable value.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adopted ASU 2016-13, Financial Instruments—Credit Losses (Topic 326): Measurement of Credit Losses on Financial Instruments (“ASU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not party to any off-balance sheet arrangements that would require an allowance for credit losses in accordance with this accounting standard.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for the year ended December 31, 2025 were as follows (in thousands):</w:t>
      </w:r>
    </w:p>
    <w:tbl>
      <w:tblPr>
        <w:tblW w:w="4221" w:type="dxa"/>
        <w:jc w:val="left"/>
        <w:tblInd w:w="0" w:type="dxa"/>
        <w:tblLayout w:type="fixed"/>
        <w:tblCellMar>
          <w:top w:w="28" w:type="dxa"/>
          <w:left w:w="28" w:type="dxa"/>
          <w:bottom w:w="28" w:type="dxa"/>
          <w:right w:w="28" w:type="dxa"/>
        </w:tblCellMar>
      </w:tblPr>
      <w:tblGrid>
        <w:gridCol w:w="1227"/>
        <w:gridCol w:w="1079"/>
        <w:gridCol w:w="1084"/>
        <w:gridCol w:w="211"/>
        <w:gridCol w:w="46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Allowance for credit losses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6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of allowance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of allowance for credit losses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 </w:t>
      </w:r>
    </w:p>
    <w:tbl>
      <w:tblPr>
        <w:tblW w:w="7153" w:type="dxa"/>
        <w:jc w:val="left"/>
        <w:tblInd w:w="0" w:type="dxa"/>
        <w:tblLayout w:type="fixed"/>
        <w:tblCellMar>
          <w:top w:w="28" w:type="dxa"/>
          <w:left w:w="28" w:type="dxa"/>
          <w:bottom w:w="28" w:type="dxa"/>
          <w:right w:w="28" w:type="dxa"/>
        </w:tblCellMar>
      </w:tblPr>
      <w:tblGrid>
        <w:gridCol w:w="971"/>
        <w:gridCol w:w="850"/>
        <w:gridCol w:w="863"/>
        <w:gridCol w:w="1306"/>
        <w:gridCol w:w="1306"/>
        <w:gridCol w:w="1857"/>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Estimated Useful Lives</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2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446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5 - 7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5 - 10 years</w:t>
            </w:r>
          </w:p>
        </w:tc>
      </w:tr>
      <w:tr>
        <w:trPr/>
        <w:tc>
          <w:tcPr>
            <w:tcW w:w="2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446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expected lease term or estimated useful life</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sale or retirement of the assets, the cost and related accumulated depreciation are removed from the accounts and the resulting gain or loss is recognized in the consolidated statement of operations and comprehensive (loss) income. Expenditures for general maintenance and repairs are expensed as incurred.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Goodwill and intangible assets,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 </w:t>
      </w:r>
    </w:p>
    <w:tbl>
      <w:tblPr>
        <w:tblW w:w="4379" w:type="dxa"/>
        <w:jc w:val="left"/>
        <w:tblInd w:w="0" w:type="dxa"/>
        <w:tblLayout w:type="fixed"/>
        <w:tblCellMar>
          <w:top w:w="28" w:type="dxa"/>
          <w:left w:w="28" w:type="dxa"/>
          <w:bottom w:w="28" w:type="dxa"/>
          <w:right w:w="28" w:type="dxa"/>
        </w:tblCellMar>
      </w:tblPr>
      <w:tblGrid>
        <w:gridCol w:w="829"/>
        <w:gridCol w:w="730"/>
        <w:gridCol w:w="736"/>
        <w:gridCol w:w="609"/>
        <w:gridCol w:w="609"/>
        <w:gridCol w:w="86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Estimated Useful Lives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2 - 15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FCI developed technology</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1 - 6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7 - 9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Reagent licenses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 license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Accounting for Impairment of Long-Lived Assets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Fair value of financial instruments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1—Quoted prices in active markets for identical assets or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reflected in the consolidated balance sheets for cash and cash equivalents, trade accounts receivable, net, trade accounts payable and accrued expenses approximate their fair values.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 revenue consists of sales of its instrument systems and accessories. The Company recognizes product revenue at the point in time when control of the product is transferred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Invoicing for products occurs upon shipment and is adjusted based on the applicable International Commercial Terms,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recorded $14.9 million of revenue under bill-and-hold arrangements. As of December 31, 2023, the Company recorded $5.4 million in revenue from products that had not yet shipped. The Company did not record any revenue under bill-and-hold arrangements during the years ended December 31, 2025, and December 31,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Product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standard arrangement for sales to end users is a purchase order or an executed contract. Revenue is recognized upon transfer of control of the product to the customer, which occurs at a point in time depending on the shipping terms.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Service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Contract liabilities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Assurance-type product warranties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 one 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Deferred offering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Deferred offering costs, which consist of direct incremental legal, consulting, banking and accounting fees, are capitalized, and are offset against proceeds from an offering upon the effectiveness of the offering.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the termination of the 2022 Sales Agreement in August 2025, the Company had not made any sales of common stock pursuant to the 2022 Sales Agreement. Accordingly,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$0.7 million in transaction expenses recorded as prepaid offering costs have been expensed and recorded in the third quarter of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Advertising costs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cost of advertising, marketing and media is expensed as incurred. For the years ended December 31, 2025, 2024 and 2023 advertising, marketing and media expenses were </w:t>
      </w:r>
      <w:r>
        <w:rPr>
          <w:rFonts w:ascii="Times New Roman;serif" w:hAnsi="Times New Roman;serif"/>
          <w:b w:val="false"/>
          <w:color w:val="000000"/>
          <w:sz w:val="20"/>
          <w:shd w:fill="FFFFFF" w:val="clear"/>
        </w:rPr>
        <w:t>$4.2</w:t>
      </w:r>
      <w:r>
        <w:rPr>
          <w:color w:val="000000"/>
        </w:rPr>
        <w:t xml:space="preserve"> </w:t>
      </w:r>
      <w:r>
        <w:rPr>
          <w:rFonts w:ascii="Times New Roman;serif" w:hAnsi="Times New Roman;serif"/>
          <w:b w:val="false"/>
          <w:color w:val="000000"/>
          <w:sz w:val="20"/>
        </w:rPr>
        <w:t>million, $3.8 million and $3.4 million,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Volatility—Expected volatility is estimated by analyzing the historical volatility of selected industry peers, and the Company’s historical market data for the assessment corresponds to the expected term of the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Expected Term—Expected term represents the period that the Company’s stock-based awards are expected to be outstanding and is determined using the simplified method.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Dividend Yield— The expected dividend yield is zero as the Company has never declared or paid cash dividends and has no current plans to do so in the foreseeable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Risk-Free Interest Rate—The risk-free interest rate is based on the U.S. Treasury zero-coupon issued in effect at the time of grant for periods corresponding with the expected term of the option.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guidance on January 1, 2021 on a prospective basis, and the adoption did not have a material impact to the Company’s consolidated financial statements.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Net loss attributable to common stockholders per share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attributable to common stockholders per share and diluted net loss attributable to common stockholders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loss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attributable to common stockholders per share gives effect to all potentially dilutive common stock equivalents, including outstanding options and redeemable convertible preferred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equivalents are excluded from the computation of diluted net loss attributable to common stockholders per share if their effect is antidilutive.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uses the acquisition method of accounting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Recently adopted accounting pronouncements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2023-07, Segment Reporting (Topic 280): Improvements to Reportable Segment Disclosures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 of significant segment expenses and other segment items as well as incremental qualitative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22 for further information on the Company’s reportable segment.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 (“ASU 2023-09”)</w:t>
      </w:r>
      <w:r>
        <w:rPr>
          <w:rFonts w:ascii="Times New Roman;serif" w:hAnsi="Times New Roman;serif"/>
          <w:b w:val="false"/>
          <w:color w:val="000000"/>
          <w:sz w:val="20"/>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Company adopted ASU 2023-09 during the fourth quarter of 2025 on a prospective basis. The standard did not have a material impact on the Company’s consolidated financial statements. Refer to Note 16 for more information.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ASU 2024-03”</w:t>
      </w:r>
      <w:r>
        <w:rPr>
          <w:rFonts w:ascii="Times New Roman;serif" w:hAnsi="Times New Roman;serif"/>
          <w:b w:val="false"/>
          <w:color w:val="000000"/>
          <w:sz w:val="20"/>
        </w:rPr>
        <w:t xml:space="preserve">), and in January 2025 issued ASU 2025-01, </w:t>
      </w:r>
      <w:r>
        <w:rPr>
          <w:rFonts w:ascii="Times New Roman;serif" w:hAnsi="Times New Roman;serif"/>
          <w:b w:val="false"/>
          <w:i/>
          <w:color w:val="000000"/>
          <w:sz w:val="20"/>
        </w:rPr>
        <w:t>Clarifying the Effective Date</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ASU 2025-01</w:t>
      </w:r>
      <w:r>
        <w:rPr>
          <w:color w:val="000000"/>
        </w:rPr>
        <w:t>”</w:t>
      </w:r>
      <w:r>
        <w:rPr>
          <w:rFonts w:ascii="Times New Roman;serif" w:hAnsi="Times New Roman;serif"/>
          <w:b w:val="false"/>
          <w:color w:val="000000"/>
          <w:sz w:val="20"/>
        </w:rPr>
        <w:t xml:space="preserve">)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clarification as to the effective date.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as amended by ASU 2025-01, is effective for annual reporting periods beginning after December 15, 2026, and interim reporting periods within fiscal years beginning after December 15, 2027. ASU 2024-03 can be applied on a prospective basis. Early adoption is permitted. The Company is currently in the process of evaluating the impact of this pronouncement on its related disclosures.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 which provides a practical expedient and an accounting policy election related to the estimation of expected credit losses for current accounts receivable and current contract assets. ASU 2025-05 is effective for annual periods beginning after December 15, 2025. The Company does not expect this standard to have a material impact on its consolidated financial statements and related disclosures.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which modernizes the accounting for internal-use software costs. ASU 2025-06 is effective for annual periods beginning after December 15, 2027, with early adoption permitted as of the beginning of an annual period. The Company is currently in the process of evaluating the impact of this pronouncement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3.    Concentrations of credit risk and other risks and uncertainties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4.    Revenue from contracts with customers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by sales channel mix and customer mix as defined by the nature of workflows (in thousands):</w:t>
      </w:r>
    </w:p>
    <w:tbl>
      <w:tblPr>
        <w:tblW w:w="10205" w:type="dxa"/>
        <w:jc w:val="left"/>
        <w:tblInd w:w="0" w:type="dxa"/>
        <w:tblLayout w:type="fixed"/>
        <w:tblCellMar>
          <w:top w:w="28" w:type="dxa"/>
          <w:left w:w="28" w:type="dxa"/>
          <w:bottom w:w="28" w:type="dxa"/>
          <w:right w:w="28" w:type="dxa"/>
        </w:tblCellMar>
      </w:tblPr>
      <w:tblGrid>
        <w:gridCol w:w="2228"/>
        <w:gridCol w:w="1913"/>
        <w:gridCol w:w="1926"/>
        <w:gridCol w:w="211"/>
        <w:gridCol w:w="826"/>
        <w:gridCol w:w="109"/>
        <w:gridCol w:w="109"/>
        <w:gridCol w:w="109"/>
        <w:gridCol w:w="109"/>
        <w:gridCol w:w="211"/>
        <w:gridCol w:w="826"/>
        <w:gridCol w:w="109"/>
        <w:gridCol w:w="109"/>
        <w:gridCol w:w="109"/>
        <w:gridCol w:w="109"/>
        <w:gridCol w:w="211"/>
        <w:gridCol w:w="826"/>
        <w:gridCol w:w="155"/>
      </w:tblGrid>
      <w:tr>
        <w:trPr/>
        <w:tc>
          <w:tcPr>
            <w:tcW w:w="222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Sales channel mix</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sales channel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channel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mix</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Academia and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82,145 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Biotechnology, pharmaceutical, distributor and contract research organizations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Revenue by geographical markets is presented in Note 22, </w:t>
      </w:r>
      <w:r>
        <w:rPr>
          <w:rFonts w:ascii="Times New Roman;serif" w:hAnsi="Times New Roman;serif"/>
          <w:b w:val="false"/>
          <w:i/>
          <w:color w:val="000000"/>
          <w:sz w:val="20"/>
        </w:rPr>
        <w:t>Segment Information and Geographic Data</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Remaining performance obligations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includes estimated revenues expected to be recognized in the future related to performance obligations that are unsatisfied (or partially satisfied) as of December 31, 2025 (in thousands): </w:t>
      </w:r>
    </w:p>
    <w:tbl>
      <w:tblPr>
        <w:tblW w:w="6045" w:type="dxa"/>
        <w:jc w:val="left"/>
        <w:tblInd w:w="0" w:type="dxa"/>
        <w:tblLayout w:type="fixed"/>
        <w:tblCellMar>
          <w:top w:w="28" w:type="dxa"/>
          <w:left w:w="28" w:type="dxa"/>
          <w:bottom w:w="28" w:type="dxa"/>
          <w:right w:w="28" w:type="dxa"/>
        </w:tblCellMar>
      </w:tblPr>
      <w:tblGrid>
        <w:gridCol w:w="521"/>
        <w:gridCol w:w="459"/>
        <w:gridCol w:w="460"/>
        <w:gridCol w:w="261"/>
        <w:gridCol w:w="894"/>
        <w:gridCol w:w="135"/>
        <w:gridCol w:w="109"/>
        <w:gridCol w:w="109"/>
        <w:gridCol w:w="109"/>
        <w:gridCol w:w="319"/>
        <w:gridCol w:w="1091"/>
        <w:gridCol w:w="165"/>
        <w:gridCol w:w="109"/>
        <w:gridCol w:w="109"/>
        <w:gridCol w:w="109"/>
        <w:gridCol w:w="211"/>
        <w:gridCol w:w="72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Contract balances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immaterial amounts of contract assets included within prepaid expenses and other current assets on the consolidated balance sheets. The following table provides information about deferred revenue from contracts with customers, and customer deposits (in thousands): </w:t>
      </w:r>
    </w:p>
    <w:tbl>
      <w:tblPr>
        <w:tblW w:w="8020" w:type="dxa"/>
        <w:jc w:val="left"/>
        <w:tblInd w:w="0" w:type="dxa"/>
        <w:tblLayout w:type="fixed"/>
        <w:tblCellMar>
          <w:top w:w="28" w:type="dxa"/>
          <w:left w:w="28" w:type="dxa"/>
          <w:bottom w:w="28" w:type="dxa"/>
          <w:right w:w="28" w:type="dxa"/>
        </w:tblCellMar>
      </w:tblPr>
      <w:tblGrid>
        <w:gridCol w:w="1976"/>
        <w:gridCol w:w="1738"/>
        <w:gridCol w:w="1745"/>
        <w:gridCol w:w="222"/>
        <w:gridCol w:w="759"/>
        <w:gridCol w:w="114"/>
        <w:gridCol w:w="109"/>
        <w:gridCol w:w="109"/>
        <w:gridCol w:w="109"/>
        <w:gridCol w:w="221"/>
        <w:gridCol w:w="757"/>
        <w:gridCol w:w="161"/>
      </w:tblGrid>
      <w:tr>
        <w:trPr/>
        <w:tc>
          <w:tcPr>
            <w:tcW w:w="197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long-term</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which are included in 'Other current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provides a roll-forward of the contract liabilities (in thousands): </w:t>
      </w:r>
    </w:p>
    <w:tbl>
      <w:tblPr>
        <w:tblW w:w="3681" w:type="dxa"/>
        <w:jc w:val="left"/>
        <w:tblInd w:w="0" w:type="dxa"/>
        <w:tblLayout w:type="fixed"/>
        <w:tblCellMar>
          <w:top w:w="28" w:type="dxa"/>
          <w:left w:w="28" w:type="dxa"/>
          <w:bottom w:w="28" w:type="dxa"/>
          <w:right w:w="28" w:type="dxa"/>
        </w:tblCellMar>
      </w:tblPr>
      <w:tblGrid>
        <w:gridCol w:w="941"/>
        <w:gridCol w:w="824"/>
        <w:gridCol w:w="830"/>
        <w:gridCol w:w="211"/>
        <w:gridCol w:w="721"/>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Contract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5.    Balance sheet details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inventory (in thousands): </w:t>
      </w:r>
    </w:p>
    <w:tbl>
      <w:tblPr>
        <w:tblW w:w="4076" w:type="dxa"/>
        <w:jc w:val="left"/>
        <w:tblInd w:w="0" w:type="dxa"/>
        <w:tblLayout w:type="fixed"/>
        <w:tblCellMar>
          <w:top w:w="28" w:type="dxa"/>
          <w:left w:w="28" w:type="dxa"/>
          <w:bottom w:w="28" w:type="dxa"/>
          <w:right w:w="28" w:type="dxa"/>
        </w:tblCellMar>
      </w:tblPr>
      <w:tblGrid>
        <w:gridCol w:w="549"/>
        <w:gridCol w:w="481"/>
        <w:gridCol w:w="485"/>
        <w:gridCol w:w="222"/>
        <w:gridCol w:w="759"/>
        <w:gridCol w:w="114"/>
        <w:gridCol w:w="109"/>
        <w:gridCol w:w="109"/>
        <w:gridCol w:w="109"/>
        <w:gridCol w:w="221"/>
        <w:gridCol w:w="757"/>
        <w:gridCol w:w="16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48,428 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Prepaid expenses and other current assets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prepaid expenses and other current assets (in thousands): </w:t>
      </w:r>
    </w:p>
    <w:tbl>
      <w:tblPr>
        <w:tblW w:w="6491" w:type="dxa"/>
        <w:jc w:val="left"/>
        <w:tblInd w:w="0" w:type="dxa"/>
        <w:tblLayout w:type="fixed"/>
        <w:tblCellMar>
          <w:top w:w="28" w:type="dxa"/>
          <w:left w:w="28" w:type="dxa"/>
          <w:bottom w:w="28" w:type="dxa"/>
          <w:right w:w="28" w:type="dxa"/>
        </w:tblCellMar>
      </w:tblPr>
      <w:tblGrid>
        <w:gridCol w:w="1423"/>
        <w:gridCol w:w="1248"/>
        <w:gridCol w:w="1259"/>
        <w:gridCol w:w="222"/>
        <w:gridCol w:w="759"/>
        <w:gridCol w:w="114"/>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inventory</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refund receivable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 receivables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19,530 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Accrued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accrued expenses (in thousands): </w:t>
      </w:r>
    </w:p>
    <w:tbl>
      <w:tblPr>
        <w:tblW w:w="6176" w:type="dxa"/>
        <w:jc w:val="left"/>
        <w:tblInd w:w="0" w:type="dxa"/>
        <w:tblLayout w:type="fixed"/>
        <w:tblCellMar>
          <w:top w:w="28" w:type="dxa"/>
          <w:left w:w="28" w:type="dxa"/>
          <w:bottom w:w="28" w:type="dxa"/>
          <w:right w:w="28" w:type="dxa"/>
        </w:tblCellMar>
      </w:tblPr>
      <w:tblGrid>
        <w:gridCol w:w="1310"/>
        <w:gridCol w:w="1148"/>
        <w:gridCol w:w="1157"/>
        <w:gridCol w:w="222"/>
        <w:gridCol w:w="759"/>
        <w:gridCol w:w="114"/>
        <w:gridCol w:w="109"/>
        <w:gridCol w:w="109"/>
        <w:gridCol w:w="109"/>
        <w:gridCol w:w="221"/>
        <w:gridCol w:w="757"/>
        <w:gridCol w:w="161"/>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fees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product warranty analysis refer to Note 20.</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Other current liabilities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other current liabilities (in thousands): </w:t>
      </w:r>
    </w:p>
    <w:tbl>
      <w:tblPr>
        <w:tblW w:w="5305" w:type="dxa"/>
        <w:jc w:val="left"/>
        <w:tblInd w:w="0" w:type="dxa"/>
        <w:tblLayout w:type="fixed"/>
        <w:tblCellMar>
          <w:top w:w="28" w:type="dxa"/>
          <w:left w:w="28" w:type="dxa"/>
          <w:bottom w:w="28" w:type="dxa"/>
          <w:right w:w="28" w:type="dxa"/>
        </w:tblCellMar>
      </w:tblPr>
      <w:tblGrid>
        <w:gridCol w:w="994"/>
        <w:gridCol w:w="874"/>
        <w:gridCol w:w="876"/>
        <w:gridCol w:w="222"/>
        <w:gridCol w:w="759"/>
        <w:gridCol w:w="114"/>
        <w:gridCol w:w="109"/>
        <w:gridCol w:w="109"/>
        <w:gridCol w:w="109"/>
        <w:gridCol w:w="221"/>
        <w:gridCol w:w="757"/>
        <w:gridCol w:w="161"/>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use tax payable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loan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6.    Fair value of financial instruments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table sets forth the fair value of the Company’s financial assets and liabilities by level within the fair value hierarchy (in thousands): </w:t>
      </w:r>
    </w:p>
    <w:p>
      <w:pPr>
        <w:pStyle w:val="TextBody"/>
        <w:bidi w:val="0"/>
        <w:spacing w:before="120" w:after="283"/>
        <w:ind w:left="0" w:right="0" w:firstLine="540"/>
        <w:jc w:val="both"/>
        <w:rPr/>
      </w:pPr>
      <w:r>
        <w:rPr/>
      </w:r>
    </w:p>
    <w:tbl>
      <w:tblPr>
        <w:tblW w:w="7806" w:type="dxa"/>
        <w:jc w:val="left"/>
        <w:tblInd w:w="0" w:type="dxa"/>
        <w:tblLayout w:type="fixed"/>
        <w:tblCellMar>
          <w:top w:w="28" w:type="dxa"/>
          <w:left w:w="28" w:type="dxa"/>
          <w:bottom w:w="28" w:type="dxa"/>
          <w:right w:w="28" w:type="dxa"/>
        </w:tblCellMar>
      </w:tblPr>
      <w:tblGrid>
        <w:gridCol w:w="742"/>
        <w:gridCol w:w="653"/>
        <w:gridCol w:w="65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07" w:type="dxa"/>
        <w:jc w:val="left"/>
        <w:tblInd w:w="0" w:type="dxa"/>
        <w:tblLayout w:type="fixed"/>
        <w:tblCellMar>
          <w:top w:w="28" w:type="dxa"/>
          <w:left w:w="28" w:type="dxa"/>
          <w:bottom w:w="28" w:type="dxa"/>
          <w:right w:w="28" w:type="dxa"/>
        </w:tblCellMar>
      </w:tblPr>
      <w:tblGrid>
        <w:gridCol w:w="744"/>
        <w:gridCol w:w="653"/>
        <w:gridCol w:w="65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transfers of financial assets measured at fair value on a recurring basis to or from Level 1, Level 2 or Level 3 for any of the periods presented.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table above does not include the Company’s investments in privately held equity securities. Non-marketable equity investments of </w:t>
      </w:r>
      <w:r>
        <w:rPr>
          <w:rFonts w:ascii="Times New Roman;serif" w:hAnsi="Times New Roman;serif"/>
          <w:b w:val="false"/>
          <w:color w:val="000000"/>
          <w:sz w:val="20"/>
          <w:shd w:fill="FFFFFF" w:val="clear"/>
        </w:rPr>
        <w:t>$1.6 million</w:t>
      </w:r>
      <w:r>
        <w:rPr>
          <w:color w:val="000000"/>
        </w:rPr>
        <w:t xml:space="preserve"> </w:t>
      </w:r>
      <w:r>
        <w:rPr>
          <w:rFonts w:ascii="Times New Roman;serif" w:hAnsi="Times New Roman;serif"/>
          <w:b w:val="false"/>
          <w:color w:val="000000"/>
          <w:sz w:val="20"/>
        </w:rPr>
        <w:t>are included within Other noncurrent assets on the consolidated balance sheet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7.    Investments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investments in available-for-sale securities by significant investment category reported as short-term as of December 31, 2025 (in thousands):</w:t>
      </w:r>
    </w:p>
    <w:tbl>
      <w:tblPr>
        <w:tblW w:w="10205" w:type="dxa"/>
        <w:jc w:val="left"/>
        <w:tblInd w:w="0" w:type="dxa"/>
        <w:tblLayout w:type="fixed"/>
        <w:tblCellMar>
          <w:top w:w="28" w:type="dxa"/>
          <w:left w:w="28" w:type="dxa"/>
          <w:bottom w:w="28" w:type="dxa"/>
          <w:right w:w="28" w:type="dxa"/>
        </w:tblCellMar>
      </w:tblPr>
      <w:tblGrid>
        <w:gridCol w:w="1065"/>
        <w:gridCol w:w="924"/>
        <w:gridCol w:w="917"/>
        <w:gridCol w:w="227"/>
        <w:gridCol w:w="892"/>
        <w:gridCol w:w="117"/>
        <w:gridCol w:w="109"/>
        <w:gridCol w:w="109"/>
        <w:gridCol w:w="109"/>
        <w:gridCol w:w="464"/>
        <w:gridCol w:w="1031"/>
        <w:gridCol w:w="243"/>
        <w:gridCol w:w="109"/>
        <w:gridCol w:w="109"/>
        <w:gridCol w:w="109"/>
        <w:gridCol w:w="488"/>
        <w:gridCol w:w="941"/>
        <w:gridCol w:w="254"/>
        <w:gridCol w:w="109"/>
        <w:gridCol w:w="109"/>
        <w:gridCol w:w="109"/>
        <w:gridCol w:w="292"/>
        <w:gridCol w:w="1147"/>
        <w:gridCol w:w="222"/>
      </w:tblGrid>
      <w:tr>
        <w:trPr/>
        <w:tc>
          <w:tcPr>
            <w:tcW w:w="106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99"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Unrealized 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170,536 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available-for-sale securities at December 31, 2025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76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170,536 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investments in available-for-sale securities by significant investment category reported as short-term as of December 31, 2024 (in thousands):</w:t>
      </w:r>
    </w:p>
    <w:tbl>
      <w:tblPr>
        <w:tblW w:w="10205" w:type="dxa"/>
        <w:jc w:val="left"/>
        <w:tblInd w:w="0" w:type="dxa"/>
        <w:tblLayout w:type="fixed"/>
        <w:tblCellMar>
          <w:top w:w="28" w:type="dxa"/>
          <w:left w:w="28" w:type="dxa"/>
          <w:bottom w:w="28" w:type="dxa"/>
          <w:right w:w="28" w:type="dxa"/>
        </w:tblCellMar>
      </w:tblPr>
      <w:tblGrid>
        <w:gridCol w:w="1069"/>
        <w:gridCol w:w="929"/>
        <w:gridCol w:w="924"/>
        <w:gridCol w:w="227"/>
        <w:gridCol w:w="892"/>
        <w:gridCol w:w="117"/>
        <w:gridCol w:w="109"/>
        <w:gridCol w:w="109"/>
        <w:gridCol w:w="109"/>
        <w:gridCol w:w="467"/>
        <w:gridCol w:w="1037"/>
        <w:gridCol w:w="244"/>
        <w:gridCol w:w="109"/>
        <w:gridCol w:w="109"/>
        <w:gridCol w:w="109"/>
        <w:gridCol w:w="499"/>
        <w:gridCol w:w="891"/>
        <w:gridCol w:w="260"/>
        <w:gridCol w:w="109"/>
        <w:gridCol w:w="109"/>
        <w:gridCol w:w="109"/>
        <w:gridCol w:w="293"/>
        <w:gridCol w:w="1151"/>
        <w:gridCol w:w="224"/>
      </w:tblGrid>
      <w:tr>
        <w:trPr/>
        <w:tc>
          <w:tcPr>
            <w:tcW w:w="106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161,477 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179,061 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available-for-sale securities at December 31, 2024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8.    Property and equipment,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property and equipment, net (in thousands): </w:t>
      </w:r>
    </w:p>
    <w:tbl>
      <w:tblPr>
        <w:tblW w:w="5245" w:type="dxa"/>
        <w:jc w:val="left"/>
        <w:tblInd w:w="0" w:type="dxa"/>
        <w:tblLayout w:type="fixed"/>
        <w:tblCellMar>
          <w:top w:w="28" w:type="dxa"/>
          <w:left w:w="28" w:type="dxa"/>
          <w:bottom w:w="28" w:type="dxa"/>
          <w:right w:w="28" w:type="dxa"/>
        </w:tblCellMar>
      </w:tblPr>
      <w:tblGrid>
        <w:gridCol w:w="972"/>
        <w:gridCol w:w="854"/>
        <w:gridCol w:w="858"/>
        <w:gridCol w:w="222"/>
        <w:gridCol w:w="759"/>
        <w:gridCol w:w="114"/>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land</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depreciation expense for the years ended December 31, 2025, 2024, and 2023 were </w:t>
      </w:r>
      <w:r>
        <w:rPr>
          <w:rFonts w:ascii="Times New Roman;serif" w:hAnsi="Times New Roman;serif"/>
          <w:b w:val="false"/>
          <w:color w:val="000000"/>
          <w:sz w:val="20"/>
          <w:shd w:fill="FFFFFF" w:val="clear"/>
        </w:rPr>
        <w:t>$3.9 million</w:t>
      </w:r>
      <w:r>
        <w:rPr>
          <w:rFonts w:ascii="Times New Roman;serif" w:hAnsi="Times New Roman;serif"/>
          <w:b w:val="false"/>
          <w:color w:val="000000"/>
          <w:sz w:val="20"/>
        </w:rPr>
        <w:t>, $3.5 million and $2.8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9.    </w:t>
      </w:r>
      <w:r>
        <w:rPr>
          <w:rFonts w:ascii="Times New Roman;serif" w:hAnsi="Times New Roman;serif"/>
          <w:b/>
          <w:color w:val="000000"/>
          <w:sz w:val="20"/>
          <w:shd w:fill="FFFFFF" w:val="clear"/>
        </w:rPr>
        <w:t>Acquisition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2023, the Company completed the FCI Acquisition for an aggregate cash consideration of $44.9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FCI Acquisition expanded Cytek’s product portfolio to include high-resolution cell images with the speed, sensitivity and phenotyping abilities of flow cytometry and added cost-effective, entry-level and personal instrument options to broaden the market and research areas it services.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acquisition was accounted for as a business combination in accordance with ASC 805. The purchase price has been allocated to tangible assets and identifiable intangible assets acquired and liabilities assumed based upon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estimated fair values, with the exception of contract liabilities assumed which are recognized and measured in accordance with ASC 606, </w:t>
      </w:r>
      <w:r>
        <w:rPr>
          <w:rFonts w:ascii="Times New Roman;serif" w:hAnsi="Times New Roman;serif"/>
          <w:b w:val="false"/>
          <w:i/>
          <w:color w:val="000000"/>
          <w:sz w:val="20"/>
          <w:shd w:fill="FFFFFF" w:val="clear"/>
        </w:rPr>
        <w:t>Revenue from Contracts with Customers</w:t>
      </w:r>
      <w:r>
        <w:rPr>
          <w:rFonts w:ascii="Times New Roman;serif" w:hAnsi="Times New Roman;serif"/>
          <w:b w:val="false"/>
          <w:color w:val="000000"/>
          <w:sz w:val="20"/>
          <w:shd w:fill="FFFFFF" w:val="clear"/>
        </w:rPr>
        <w:t xml:space="preserve">. The Company finalized its accounting for the </w:t>
      </w:r>
      <w:r>
        <w:rPr>
          <w:rFonts w:ascii="Times New Roman;serif" w:hAnsi="Times New Roman;serif"/>
          <w:b w:val="false"/>
          <w:color w:val="000000"/>
          <w:sz w:val="20"/>
        </w:rPr>
        <w:t xml:space="preserve">FCI Acquisition during the fourth quarter of 2023.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 the Company recorded the following changes as a result of measurement period adjustments to the fair value of the initial assets as follows:</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val="false"/>
          <w:color w:val="000000"/>
          <w:sz w:val="20"/>
          <w:shd w:fill="FFFFFF" w:val="clear"/>
        </w:rPr>
        <w:t>Property and equipment increased by $1.4 million</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val="false"/>
          <w:color w:val="000000"/>
          <w:sz w:val="20"/>
          <w:shd w:fill="FFFFFF" w:val="clear"/>
        </w:rPr>
        <w:t xml:space="preserve">Deferred tax assets increased by </w:t>
      </w:r>
      <w:r>
        <w:rPr>
          <w:rFonts w:ascii="Times New Roman;serif" w:hAnsi="Times New Roman;serif"/>
          <w:b w:val="false"/>
          <w:color w:val="000000"/>
          <w:sz w:val="20"/>
        </w:rPr>
        <w:t>$0.6 million</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val="false"/>
          <w:color w:val="000000"/>
          <w:sz w:val="20"/>
          <w:shd w:fill="FFFFFF" w:val="clear"/>
        </w:rPr>
        <w:t>Customer relationships increased by $0.1 million</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val="false"/>
          <w:color w:val="000000"/>
          <w:sz w:val="20"/>
          <w:shd w:fill="FFFFFF" w:val="clear"/>
        </w:rPr>
        <w:t>Developed technologies increased by $0.7 million</w:t>
      </w:r>
    </w:p>
    <w:p>
      <w:pPr>
        <w:pStyle w:val="TextBody"/>
        <w:bidi w:val="0"/>
        <w:spacing w:lineRule="auto" w:line="288" w:before="120" w:after="283"/>
        <w:ind w:left="0" w:right="0" w:hanging="540"/>
        <w:jc w:val="both"/>
        <w:rPr/>
      </w:pPr>
      <w:r>
        <w:rPr>
          <w:color w:val="000000"/>
          <w:shd w:fill="FFFFFF" w:val="clear"/>
        </w:rPr>
        <w:t>•</w:t>
      </w:r>
      <w:r>
        <w:rPr>
          <w:rFonts w:ascii="Times New Roman;serif" w:hAnsi="Times New Roman;serif"/>
          <w:b w:val="false"/>
          <w:color w:val="000000"/>
          <w:sz w:val="20"/>
          <w:shd w:fill="FFFFFF" w:val="clear"/>
        </w:rPr>
        <w:t>Trade names increased by $0.2 million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measurement period adjustments noted above decreased goodwill by $3.0 million.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fol</w:t>
      </w:r>
      <w:r>
        <w:rPr>
          <w:rFonts w:ascii="Times New Roman;serif" w:hAnsi="Times New Roman;serif"/>
          <w:b w:val="false"/>
          <w:color w:val="000000"/>
          <w:sz w:val="20"/>
        </w:rPr>
        <w:t>lowing table summarizes the estimated fair value of assets acquired and liabilities assumed at the date of the FCI Acquisition:</w:t>
      </w:r>
    </w:p>
    <w:tbl>
      <w:tblPr>
        <w:tblW w:w="5910" w:type="dxa"/>
        <w:jc w:val="left"/>
        <w:tblInd w:w="0" w:type="dxa"/>
        <w:tblLayout w:type="fixed"/>
        <w:tblCellMar>
          <w:top w:w="28" w:type="dxa"/>
          <w:left w:w="28" w:type="dxa"/>
          <w:bottom w:w="28" w:type="dxa"/>
          <w:right w:w="28" w:type="dxa"/>
        </w:tblCellMar>
      </w:tblPr>
      <w:tblGrid>
        <w:gridCol w:w="1699"/>
        <w:gridCol w:w="1495"/>
        <w:gridCol w:w="1501"/>
        <w:gridCol w:w="236"/>
        <w:gridCol w:w="807"/>
        <w:gridCol w:w="172"/>
      </w:tblGrid>
      <w:tr>
        <w:trPr/>
        <w:tc>
          <w:tcPr>
            <w:tcW w:w="169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(in thousands) </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ImageStream 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Guava easyCyte and Muse developed technology</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FlowSight and CellStream 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trade name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Guava trade name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costs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net assets acquired</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44,896 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tbl>
      <w:tblPr>
        <w:tblW w:w="7682" w:type="dxa"/>
        <w:jc w:val="left"/>
        <w:tblInd w:w="0" w:type="dxa"/>
        <w:tblLayout w:type="fixed"/>
        <w:tblCellMar>
          <w:top w:w="28" w:type="dxa"/>
          <w:left w:w="28" w:type="dxa"/>
          <w:bottom w:w="28" w:type="dxa"/>
          <w:right w:w="28" w:type="dxa"/>
        </w:tblCellMar>
      </w:tblPr>
      <w:tblGrid>
        <w:gridCol w:w="1700"/>
        <w:gridCol w:w="1495"/>
        <w:gridCol w:w="1500"/>
        <w:gridCol w:w="211"/>
        <w:gridCol w:w="721"/>
        <w:gridCol w:w="109"/>
        <w:gridCol w:w="109"/>
        <w:gridCol w:w="109"/>
        <w:gridCol w:w="109"/>
        <w:gridCol w:w="474"/>
        <w:gridCol w:w="474"/>
        <w:gridCol w:w="671"/>
      </w:tblGrid>
      <w:tr>
        <w:trPr/>
        <w:tc>
          <w:tcPr>
            <w:tcW w:w="17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Useful life (years)</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for years)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ImageStream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Guava easyCyte and Muse 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FlowSight and CellStream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Guava trade 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acquired intangibles are being amortized over their estimated useful lives using the straight-line method of amortization.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assigned to the assets acquired are based on reasonable assumptions and estimates that market participants would use. Actual results may differ from these estimates and assumptions.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results of operation</w:t>
      </w:r>
      <w:r>
        <w:rPr>
          <w:rFonts w:ascii="Times New Roman;serif" w:hAnsi="Times New Roman;serif"/>
          <w:b w:val="false"/>
          <w:color w:val="000000"/>
          <w:sz w:val="20"/>
          <w:shd w:fill="FFFFFF" w:val="clear"/>
        </w:rPr>
        <w:t>s for the FCI Business are included in the consolidated financial statements of the Company from the date of th</w:t>
      </w:r>
      <w:r>
        <w:rPr>
          <w:rFonts w:ascii="Times New Roman;serif" w:hAnsi="Times New Roman;serif"/>
          <w:b w:val="false"/>
          <w:color w:val="000000"/>
          <w:sz w:val="20"/>
        </w:rPr>
        <w:t xml:space="preserve">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10.    Goodwill and intangible assets,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28, 2024, Cytek Biosciences Ltd completed an immaterial acquisition of certain assets of Cytometric Engineering Ltd. (d.b.a. FlowCEL) for cash consideration of $571,732. The increase in goodwill and the customer relationships intangible during the year ended December 31, 2024 was primarily due to this acquisition.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intangible assets, net (in thousands):</w:t>
      </w:r>
    </w:p>
    <w:tbl>
      <w:tblPr>
        <w:tblW w:w="5261" w:type="dxa"/>
        <w:jc w:val="left"/>
        <w:tblInd w:w="0" w:type="dxa"/>
        <w:tblLayout w:type="fixed"/>
        <w:tblCellMar>
          <w:top w:w="28" w:type="dxa"/>
          <w:left w:w="28" w:type="dxa"/>
          <w:bottom w:w="28" w:type="dxa"/>
          <w:right w:w="28" w:type="dxa"/>
        </w:tblCellMar>
      </w:tblPr>
      <w:tblGrid>
        <w:gridCol w:w="976"/>
        <w:gridCol w:w="859"/>
        <w:gridCol w:w="865"/>
        <w:gridCol w:w="222"/>
        <w:gridCol w:w="759"/>
        <w:gridCol w:w="114"/>
        <w:gridCol w:w="109"/>
        <w:gridCol w:w="109"/>
        <w:gridCol w:w="109"/>
        <w:gridCol w:w="221"/>
        <w:gridCol w:w="757"/>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trademarks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 license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Reagent license</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Use Right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amortization expense for the years ended December 31, 2025, 2024, and 2023 were approximately </w:t>
      </w:r>
      <w:r>
        <w:rPr>
          <w:rFonts w:ascii="Times New Roman;serif" w:hAnsi="Times New Roman;serif"/>
          <w:b w:val="false"/>
          <w:color w:val="000000"/>
          <w:sz w:val="20"/>
          <w:shd w:fill="FFFFFF" w:val="clear"/>
        </w:rPr>
        <w:t xml:space="preserve">$3.7 </w:t>
      </w:r>
      <w:r>
        <w:rPr>
          <w:rFonts w:ascii="Times New Roman;serif" w:hAnsi="Times New Roman;serif"/>
          <w:b w:val="false"/>
          <w:color w:val="000000"/>
          <w:sz w:val="20"/>
        </w:rPr>
        <w:t>million, $3.7 million, $3.2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11.    </w:t>
      </w:r>
      <w:r>
        <w:rPr>
          <w:rFonts w:ascii="Times New Roman;serif" w:hAnsi="Times New Roman;serif"/>
          <w:b/>
          <w:color w:val="000000"/>
          <w:sz w:val="20"/>
          <w:shd w:fill="FFFFFF" w:val="clear"/>
        </w:rPr>
        <w:t xml:space="preserve">Legal settlement liability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patents in question were determined to have an average useful life of 18 months. Accordingly, beginning the second quarter of 2022, the remaining contractual payments were classified as operating expenses as they were considered deferred litigation settlement. </w:t>
      </w:r>
      <w:r>
        <w:rPr>
          <w:rFonts w:ascii="Times New Roman;serif" w:hAnsi="Times New Roman;serif"/>
          <w:b w:val="false"/>
          <w:color w:val="000000"/>
          <w:sz w:val="20"/>
          <w:shd w:fill="FFFFFF" w:val="clear"/>
        </w:rPr>
        <w:t>The Company recorded $0.0 million of interest expense for the year ended December 31, 2025, and $5.5 million reduction, and $1.6 million in interest expense for the years ended December 31, 2024, and 2023,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$9.3</w:t>
      </w:r>
      <w:r>
        <w:rPr>
          <w:color w:val="000000"/>
        </w:rPr>
        <w:t xml:space="preserve"> </w:t>
      </w:r>
      <w:r>
        <w:rPr>
          <w:rFonts w:ascii="Times New Roman;serif" w:hAnsi="Times New Roman;serif"/>
          <w:b w:val="false"/>
          <w:color w:val="000000"/>
          <w:sz w:val="20"/>
        </w:rPr>
        <w:t xml:space="preserve">million and $10.7 million as of December 31, 2025 and December 31, 2024, respectively, and will record licensing expense in future periods.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reduced its long-term forecast of future net sales subject to royalties under the BD settlement to reflect the current macroeconomic conditions and headwinds. As a result, the Company remeasured the fair value of the legal settlement liability presented in the Consolidated Balance Sheets as of December 31, 2025. Based on the updated forecast, the Company recorded a $1.0 million decrease to the legal settlement liability with a corresponding change to interest income (expense), net in the Consolidated Statements of Operations and Comprehensive Loss for the year ended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the legal settlement liability (in thousands):</w:t>
      </w:r>
    </w:p>
    <w:tbl>
      <w:tblPr>
        <w:tblW w:w="5155" w:type="dxa"/>
        <w:jc w:val="left"/>
        <w:tblInd w:w="0" w:type="dxa"/>
        <w:tblLayout w:type="fixed"/>
        <w:tblCellMar>
          <w:top w:w="28" w:type="dxa"/>
          <w:left w:w="28" w:type="dxa"/>
          <w:bottom w:w="28" w:type="dxa"/>
          <w:right w:w="28" w:type="dxa"/>
        </w:tblCellMar>
      </w:tblPr>
      <w:tblGrid>
        <w:gridCol w:w="937"/>
        <w:gridCol w:w="823"/>
        <w:gridCol w:w="834"/>
        <w:gridCol w:w="247"/>
        <w:gridCol w:w="721"/>
        <w:gridCol w:w="127"/>
        <w:gridCol w:w="109"/>
        <w:gridCol w:w="109"/>
        <w:gridCol w:w="109"/>
        <w:gridCol w:w="221"/>
        <w:gridCol w:w="757"/>
        <w:gridCol w:w="161"/>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legal settlement liability</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12.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December 31, 2025, the total outstanding loan amount is</w:t>
      </w:r>
      <w:r>
        <w:rPr>
          <w:color w:val="000000"/>
          <w:shd w:fill="FFFFFF" w:val="clear"/>
        </w:rPr>
        <w:t xml:space="preserve">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The current portion of the loan, </w:t>
      </w:r>
      <w:r>
        <w:rPr>
          <w:rFonts w:ascii="Times New Roman;serif" w:hAnsi="Times New Roman;serif"/>
          <w:b w:val="false"/>
          <w:color w:val="000000"/>
          <w:sz w:val="20"/>
        </w:rPr>
        <w:t>$0.6 million</w:t>
      </w:r>
      <w:r>
        <w:rPr>
          <w:rFonts w:ascii="Times New Roman;serif" w:hAnsi="Times New Roman;serif"/>
          <w:b w:val="false"/>
          <w:color w:val="000000"/>
          <w:sz w:val="20"/>
          <w:shd w:fill="FFFFFF" w:val="clear"/>
        </w:rPr>
        <w:t xml:space="preserve">, is included in other current liabilities.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interest rate on the loan was </w:t>
      </w:r>
      <w:r>
        <w:rPr>
          <w:rFonts w:ascii="Times New Roman;serif" w:hAnsi="Times New Roman;serif"/>
          <w:b w:val="false"/>
          <w:color w:val="000000"/>
          <w:sz w:val="20"/>
        </w:rPr>
        <w:t>3.7%</w:t>
      </w:r>
      <w:r>
        <w:rPr>
          <w:rFonts w:ascii="Times New Roman;serif" w:hAnsi="Times New Roman;serif"/>
          <w:b w:val="false"/>
          <w:color w:val="000000"/>
          <w:sz w:val="20"/>
          <w:shd w:fill="FFFFFF" w:val="clear"/>
        </w:rPr>
        <w:t>, which is based o</w:t>
      </w:r>
      <w:r>
        <w:rPr>
          <w:rFonts w:ascii="Times New Roman;serif" w:hAnsi="Times New Roman;serif"/>
          <w:b w:val="false"/>
          <w:color w:val="000000"/>
          <w:sz w:val="20"/>
        </w:rPr>
        <w:t>n the five-year Loan Prime Rate (LPR) plus a margin of 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16, 2024, the Company signed a maximum credit agreement with Bank of Communications, China for 40 million Chinese renminbi (approximately US $5.7 million). This credit was collateralized by the Wuxi building purchased in November 2023. 20 million Chinese renminbi (approximately US $2.8 million) under the credit agreement served as collateral for the Wuxi Loan. The remaining 20 million Chinese renminbi (approximately US $2.8 million) could be borrowed, as needed, as a short-term loan for normal business operation requirements. The line of credit was available from December 25, 2023 to December 25,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28, 2024, based on the above mentioned line of credit, Cytek Wuxi entered into a one-year 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3.45%. The loan effective term was February 28, 2024 to February 28, 2025. The interest expenses was paid on a monthly basis. The loan was used for operating expenses. The loan was paid in full at the end of the loan term on February 28, 2025.</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October 24, 2024, the Company signed a maximum credit agreement with the Bank of China, Wuxi Branch (the “Bank of China Maximum Credit Agreement”), for 37 million Chinese renminbi (approximately US $5.2 million), which was renewed on August 26, 2025. This credit is collateralized by Cytek Wuxi’s cash deposit to the bank. The 37 million Chinese renminbi (approximately US $5.2 million) can be borrowed, as needed, as a short-term loan for normal business operation requirements. Under the renewed Bank of China Maximum Credit Agreement, the line of credit is available until August 14, 2026. During the fourth quarter of 2024, the Company withdrew 20 million Chinese renminbi (approximately US $2.8 million) to support its operational needs. </w:t>
      </w:r>
      <w:r>
        <w:rPr>
          <w:rFonts w:ascii="Times New Roman;serif" w:hAnsi="Times New Roman;serif"/>
          <w:b w:val="false"/>
          <w:color w:val="000000"/>
          <w:sz w:val="20"/>
          <w:shd w:fill="FFFFFF" w:val="clear"/>
        </w:rPr>
        <w:t xml:space="preserve">During the third quarter of 2025, the Company withdrew </w:t>
      </w:r>
      <w:r>
        <w:rPr>
          <w:rFonts w:ascii="Times New Roman;serif" w:hAnsi="Times New Roman;serif"/>
          <w:b w:val="false"/>
          <w:color w:val="000000"/>
          <w:sz w:val="20"/>
        </w:rPr>
        <w:t>15</w:t>
      </w:r>
      <w:r>
        <w:rPr>
          <w:color w:val="000000"/>
          <w:shd w:fill="FFFFFF" w:val="clear"/>
        </w:rPr>
        <w:t xml:space="preserve"> </w:t>
      </w:r>
      <w:r>
        <w:rPr>
          <w:rFonts w:ascii="Times New Roman;serif" w:hAnsi="Times New Roman;serif"/>
          <w:b w:val="false"/>
          <w:color w:val="000000"/>
          <w:sz w:val="20"/>
          <w:shd w:fill="FFFFFF" w:val="clear"/>
        </w:rPr>
        <w:t xml:space="preserve">million Chinese renminbi (approximately US </w:t>
      </w:r>
      <w:r>
        <w:rPr>
          <w:rFonts w:ascii="Times New Roman;serif" w:hAnsi="Times New Roman;serif"/>
          <w:b w:val="false"/>
          <w:color w:val="000000"/>
          <w:sz w:val="20"/>
        </w:rPr>
        <w:t>$2.1</w:t>
      </w:r>
      <w:r>
        <w:rPr>
          <w:color w:val="000000"/>
          <w:shd w:fill="FFFFFF" w:val="clear"/>
        </w:rPr>
        <w:t xml:space="preserve"> </w:t>
      </w:r>
      <w:r>
        <w:rPr>
          <w:rFonts w:ascii="Times New Roman;serif" w:hAnsi="Times New Roman;serif"/>
          <w:b w:val="false"/>
          <w:color w:val="000000"/>
          <w:sz w:val="20"/>
          <w:shd w:fill="FFFFFF" w:val="clear"/>
        </w:rPr>
        <w:t xml:space="preserve">million) to support its operational needs. During the fourth quarter of 2025, the Company repaid the short-term loan of </w:t>
      </w:r>
      <w:r>
        <w:rPr>
          <w:rFonts w:ascii="Times New Roman;serif" w:hAnsi="Times New Roman;serif"/>
          <w:b w:val="false"/>
          <w:color w:val="000000"/>
          <w:sz w:val="20"/>
        </w:rPr>
        <w:t xml:space="preserve">20 million Chinese renminbi (approximately US $2.8 million) and withdrew 10 million Chinese renminbi (approximately US $1.4 million). </w:t>
      </w:r>
      <w:r>
        <w:rPr>
          <w:rFonts w:ascii="Times New Roman;serif" w:hAnsi="Times New Roman;serif"/>
          <w:b w:val="false"/>
          <w:color w:val="000000"/>
          <w:sz w:val="20"/>
          <w:shd w:fill="FFFFFF" w:val="clear"/>
        </w:rPr>
        <w:t xml:space="preserve">The remaining balance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12</w:t>
      </w:r>
      <w:r>
        <w:rPr>
          <w:color w:val="000000"/>
          <w:shd w:fill="FFFFFF" w:val="clear"/>
        </w:rPr>
        <w:t xml:space="preserve"> </w:t>
      </w:r>
      <w:r>
        <w:rPr>
          <w:rFonts w:ascii="Times New Roman;serif" w:hAnsi="Times New Roman;serif"/>
          <w:b w:val="false"/>
          <w:color w:val="000000"/>
          <w:sz w:val="20"/>
          <w:shd w:fill="FFFFFF" w:val="clear"/>
        </w:rPr>
        <w:t xml:space="preserve">million Chinese renminbi (approximately US </w:t>
      </w:r>
      <w:r>
        <w:rPr>
          <w:rFonts w:ascii="Times New Roman;serif" w:hAnsi="Times New Roman;serif"/>
          <w:b w:val="false"/>
          <w:color w:val="000000"/>
          <w:sz w:val="20"/>
        </w:rPr>
        <w:t>$1.7</w:t>
      </w:r>
      <w:r>
        <w:rPr>
          <w:color w:val="000000"/>
          <w:shd w:fill="FFFFFF" w:val="clear"/>
        </w:rPr>
        <w:t xml:space="preserve"> </w:t>
      </w:r>
      <w:r>
        <w:rPr>
          <w:rFonts w:ascii="Times New Roman;serif" w:hAnsi="Times New Roman;serif"/>
          <w:b w:val="false"/>
          <w:color w:val="000000"/>
          <w:sz w:val="20"/>
          <w:shd w:fill="FFFFFF" w:val="clear"/>
        </w:rPr>
        <w:t>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6, 2025, Cytek (Shanghai) Biosciences Co., Ltd. signed a maximum credit agreement with the Bank of Ningbo for 10 million Chinese renminbi (approximately US $1.4 million). Collateral for the credit was provided to the bank by Cytek Wuxi. In January and March of 2025, Cytek (Shanghai) Biosciences Co., Ltd. withdrew 2.0 million Chinese renminbi (approximately US $0.3 million) and 3.0 million Chinese renminbi (approximately US $0.45 million), respectively, to support its operational needs. The interest rate was at 3.1% and 2.55%, respectively. The line of credit bearing interest at 3.1% matured on January 9, 2026, while the other line of credit is due on March 3, 2026. As of December 31, 2025, the outstanding balance was 5 million Chinese renminbi (approximately US $0.75 million).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June 11, 2025</w:t>
      </w:r>
      <w:r>
        <w:rPr>
          <w:rFonts w:ascii="Times New Roman;serif" w:hAnsi="Times New Roman;serif"/>
          <w:b w:val="false"/>
          <w:color w:val="000000"/>
          <w:sz w:val="20"/>
          <w:shd w:fill="FFFFFF" w:val="clear"/>
        </w:rPr>
        <w:t xml:space="preserve">, Cytek Wuxi entered into a </w:t>
      </w:r>
      <w:r>
        <w:rPr>
          <w:rFonts w:ascii="Times New Roman;serif" w:hAnsi="Times New Roman;serif"/>
          <w:b w:val="false"/>
          <w:color w:val="000000"/>
          <w:sz w:val="20"/>
        </w:rPr>
        <w:t xml:space="preserve">one-year </w:t>
      </w:r>
      <w:r>
        <w:rPr>
          <w:rFonts w:ascii="Times New Roman;serif" w:hAnsi="Times New Roman;serif"/>
          <w:b w:val="false"/>
          <w:color w:val="000000"/>
          <w:sz w:val="20"/>
          <w:shd w:fill="FFFFFF" w:val="clear"/>
        </w:rPr>
        <w:t xml:space="preserve">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w:t>
      </w:r>
      <w:r>
        <w:rPr>
          <w:rFonts w:ascii="Times New Roman;serif" w:hAnsi="Times New Roman;serif"/>
          <w:b w:val="false"/>
          <w:color w:val="000000"/>
          <w:sz w:val="20"/>
        </w:rPr>
        <w:t>2.8%</w:t>
      </w:r>
      <w:r>
        <w:rPr>
          <w:rFonts w:ascii="Times New Roman;serif" w:hAnsi="Times New Roman;serif"/>
          <w:b w:val="false"/>
          <w:color w:val="000000"/>
          <w:sz w:val="20"/>
          <w:shd w:fill="FFFFFF" w:val="clear"/>
        </w:rPr>
        <w:t xml:space="preserve">. The loan effective term is </w:t>
      </w:r>
      <w:r>
        <w:rPr>
          <w:rFonts w:ascii="Times New Roman;serif" w:hAnsi="Times New Roman;serif"/>
          <w:b w:val="false"/>
          <w:color w:val="000000"/>
          <w:sz w:val="20"/>
        </w:rPr>
        <w:t>June 11, 2025</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June 10, 2026</w:t>
      </w:r>
      <w:r>
        <w:rPr>
          <w:rFonts w:ascii="Times New Roman;serif" w:hAnsi="Times New Roman;serif"/>
          <w:b w:val="false"/>
          <w:color w:val="000000"/>
          <w:sz w:val="20"/>
          <w:shd w:fill="FFFFFF" w:val="clear"/>
        </w:rPr>
        <w:t>. The interest expenses are paid on a monthly basis. The loan was used for operating expenses. The total line of credit loan of 10 million Chinese renminbi (approximately US $1.4 million) is included in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13.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The securities in this transaction were to be offered pursuant to an automatic shelf registration statement on Form S-3ASR (File No. 333-267118) that was filed with the SEC on August 26, 2022 and expired in August 2025. Accordingly, </w:t>
      </w:r>
      <w:r>
        <w:rPr>
          <w:rFonts w:ascii="Times New Roman;serif" w:hAnsi="Times New Roman;serif"/>
          <w:b w:val="false"/>
          <w:color w:val="000000"/>
          <w:sz w:val="20"/>
          <w:shd w:fill="FFFFFF" w:val="clear"/>
        </w:rPr>
        <w:t xml:space="preserve">$0.7 million in </w:t>
      </w:r>
      <w:r>
        <w:rPr>
          <w:rFonts w:ascii="Times New Roman;serif" w:hAnsi="Times New Roman;serif"/>
          <w:b w:val="false"/>
          <w:color w:val="000000"/>
          <w:sz w:val="20"/>
        </w:rPr>
        <w:t xml:space="preserve">transaction expenses recorded as prepaid offering costs have been expensed and recorded as of September 30, 2025. As of December 31, 2025, the Company has not made any sales of common stock pursuant to the 2022 Sales Agreement.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May 17, 2023, the Board approved a program for the repurchase by the Company of up to an aggregate of $50 million of its outstanding common stock. During the three months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 xml:space="preserve">, the Company repurchased 5,332,769 shares of its outstanding common stock for a total cost of approximately $34.6 million at an average price per share of $6.49. During the twelve months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 xml:space="preserve">, the Company repurchased 6,613,780 shares of its outstanding common stock for a total cost of approximately $44.2 million at an average price per share of $6.66. The commission costs related to the repurchases were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 xml:space="preserve">for both the three months and twelve months ended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 xml:space="preserve">. The repurchase program was used to return capital to shareholders and to minimize the dilutive impact of stock options and other stock-based awards. The repurchased shares of common stock were retired. The repurchase program expired on </w:t>
      </w:r>
      <w:r>
        <w:rPr>
          <w:rFonts w:ascii="Times New Roman;serif" w:hAnsi="Times New Roman;serif"/>
          <w:b w:val="false"/>
          <w:color w:val="000000"/>
          <w:sz w:val="20"/>
        </w:rPr>
        <w:t>December 31, 2023</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June 6, 2024, the Board approved a program for the repurchase by the Company of up to an aggregate of $50 million of its outstanding common stock. During the three months ended December 31, 2024, the Company repurchased </w:t>
      </w:r>
      <w:r>
        <w:rPr>
          <w:rFonts w:ascii="Times New Roman;serif" w:hAnsi="Times New Roman;serif"/>
          <w:b w:val="false"/>
          <w:color w:val="000000"/>
          <w:sz w:val="20"/>
          <w:shd w:fill="FFFFFF" w:val="clear"/>
        </w:rPr>
        <w:t xml:space="preserve">1,332,950 </w:t>
      </w:r>
      <w:r>
        <w:rPr>
          <w:rFonts w:ascii="Times New Roman;serif" w:hAnsi="Times New Roman;serif"/>
          <w:b w:val="false"/>
          <w:color w:val="000000"/>
          <w:sz w:val="20"/>
        </w:rPr>
        <w:t xml:space="preserve">shares of its outstanding common stock for a total cost of approximately </w:t>
      </w:r>
      <w:r>
        <w:rPr>
          <w:rFonts w:ascii="Times New Roman;serif" w:hAnsi="Times New Roman;serif"/>
          <w:b w:val="false"/>
          <w:color w:val="000000"/>
          <w:sz w:val="20"/>
          <w:shd w:fill="FFFFFF" w:val="clear"/>
        </w:rPr>
        <w:t>$7.0 million</w:t>
      </w:r>
      <w:r>
        <w:rPr>
          <w:color w:val="000000"/>
        </w:rPr>
        <w:t xml:space="preserve">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$5.21</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During the twelve months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the Company repurchased </w:t>
      </w:r>
      <w:r>
        <w:rPr>
          <w:rFonts w:ascii="Times New Roman;serif" w:hAnsi="Times New Roman;serif"/>
          <w:b w:val="false"/>
          <w:color w:val="000000"/>
          <w:sz w:val="20"/>
        </w:rPr>
        <w:t>3,971,624</w:t>
      </w:r>
      <w:r>
        <w:rPr>
          <w:color w:val="000000"/>
          <w:shd w:fill="FFFFFF" w:val="clear"/>
        </w:rPr>
        <w:t xml:space="preserve"> </w:t>
      </w:r>
      <w:r>
        <w:rPr>
          <w:rFonts w:ascii="Times New Roman;serif" w:hAnsi="Times New Roman;serif"/>
          <w:b w:val="false"/>
          <w:color w:val="000000"/>
          <w:sz w:val="20"/>
          <w:shd w:fill="FFFFFF" w:val="clear"/>
        </w:rPr>
        <w:t xml:space="preserve">shares of its outstanding common stock for a total cost of approximately $21.6 million at an average price per share of $ $5.41. As of December 31, 2024, the Company had a remaining authorized amount of </w:t>
      </w:r>
      <w:r>
        <w:rPr>
          <w:rFonts w:ascii="Times New Roman;serif" w:hAnsi="Times New Roman;serif"/>
          <w:b w:val="false"/>
          <w:color w:val="000000"/>
          <w:sz w:val="20"/>
        </w:rPr>
        <w:t>$28.5 million</w:t>
      </w:r>
      <w:r>
        <w:rPr>
          <w:color w:val="000000"/>
          <w:shd w:fill="FFFFFF" w:val="clear"/>
        </w:rPr>
        <w:t xml:space="preserve"> </w:t>
      </w:r>
      <w:r>
        <w:rPr>
          <w:rFonts w:ascii="Times New Roman;serif" w:hAnsi="Times New Roman;serif"/>
          <w:b w:val="false"/>
          <w:color w:val="000000"/>
          <w:sz w:val="20"/>
          <w:shd w:fill="FFFFFF" w:val="clear"/>
        </w:rPr>
        <w:t xml:space="preserve">in the repurchase program. The repurchase program was used to return capital to shareholders and to minimize the dilutive impact of stock options and other stock-based awards. The repurchased shares of common stock were retired. The repurchase program expired on </w:t>
      </w:r>
      <w:r>
        <w:rPr>
          <w:rFonts w:ascii="Times New Roman;serif" w:hAnsi="Times New Roman;serif"/>
          <w:b w:val="false"/>
          <w:color w:val="000000"/>
          <w:sz w:val="20"/>
        </w:rPr>
        <w:t xml:space="preserve">December 31, 2024.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December 11, 2024, the Board approved a new program for the repurchase by the Company of up to an aggregate of</w:t>
      </w:r>
      <w:r>
        <w:rPr>
          <w:color w:val="000000"/>
          <w:shd w:fill="FFFFFF" w:val="clear"/>
        </w:rPr>
        <w:t xml:space="preserve"> </w:t>
      </w:r>
      <w:r>
        <w:rPr>
          <w:rFonts w:ascii="Times New Roman;serif" w:hAnsi="Times New Roman;serif"/>
          <w:b w:val="false"/>
          <w:color w:val="000000"/>
          <w:sz w:val="20"/>
        </w:rPr>
        <w:t>$50 million of its outstanding common stock commencing January 1, 2025. During the twelve months ended December 31, 2025, the Company repurchased 3,292,588 shares of its outstanding common stock for a total cost of approximately $15.1 million at an average price per share of $4.56. As of December 31, 2025, the Company had a remaining authorized amount of $35.0 million in the repurchase program. The repurchase program was used to return capital to shareholders and to minimize the dilutive impact of stock options and other stock-based awards. The repurchased shares of common stock were retired. The repurchase program expired on December 31, 2025.</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Under these repurchase programs, the Company has purchased an aggregate of </w:t>
      </w:r>
      <w:r>
        <w:rPr>
          <w:rFonts w:ascii="Times New Roman;serif" w:hAnsi="Times New Roman;serif"/>
          <w:b w:val="false"/>
          <w:color w:val="000000"/>
          <w:sz w:val="20"/>
        </w:rPr>
        <w:t>13,877,992 shares of its outstanding common stock for a total cost of approximately $80.8 million at an average price per share of $5.80.</w:t>
      </w:r>
      <w:r>
        <w:rPr>
          <w:color w:val="000000"/>
          <w:shd w:fill="FFFFFF" w:val="clear"/>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August 16, 2022, the Inflation Reduction Act of 2022, or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2025, we have accrued </w:t>
      </w:r>
      <w:r>
        <w:rPr>
          <w:rFonts w:ascii="Times New Roman;serif" w:hAnsi="Times New Roman;serif"/>
          <w:b w:val="false"/>
          <w:color w:val="000000"/>
          <w:sz w:val="20"/>
          <w:shd w:fill="FFFFFF" w:val="clear"/>
        </w:rPr>
        <w:t>$0.1 million</w:t>
      </w:r>
      <w:r>
        <w:rPr>
          <w:color w:val="000000"/>
        </w:rPr>
        <w:t xml:space="preserve"> </w:t>
      </w:r>
      <w:r>
        <w:rPr>
          <w:rFonts w:ascii="Times New Roman;serif" w:hAnsi="Times New Roman;serif"/>
          <w:b w:val="false"/>
          <w:color w:val="000000"/>
          <w:sz w:val="20"/>
        </w:rPr>
        <w:t xml:space="preserve">excise taxes related with our shares buy back.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14.    Stock-based compensation plan </w:t>
      </w:r>
    </w:p>
    <w:p>
      <w:pPr>
        <w:pStyle w:val="TextBody"/>
        <w:bidi w:val="0"/>
        <w:spacing w:lineRule="auto" w:line="288" w:before="120" w:after="283"/>
        <w:jc w:val="both"/>
        <w:rPr/>
      </w:pPr>
      <w:r>
        <w:rPr>
          <w:rFonts w:ascii="Times New Roman;serif" w:hAnsi="Times New Roman;serif"/>
          <w:b w:val="false"/>
          <w:i/>
          <w:color w:val="000000"/>
          <w:sz w:val="20"/>
        </w:rPr>
        <w:t>Stock Plans</w:t>
      </w:r>
      <w:r>
        <w:rPr>
          <w:color w:val="00000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As of December 31, 2025, the Company had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stock-based compensation plans (the “Plans”) which are described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2015 Equity Incentive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2021 Equity Incentive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Board elects to authorize a lesser number of shares prior to the applicable January 1. As of December 31, 2025, the total number of shares of common stock available for issuance under the 2021 Plan was 23,533,103 shares.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2021 Employee Stock Purchase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year ended December 31, 2025, 477,462 shares were issued pursuant to purchases under the ESPP. As of December 31, 2025, the total number of shares of common stock available for issuance under the ESPP was 5,965,420 shares.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 valuation assumptions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stock option activity during the periods indicated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879"/>
        <w:gridCol w:w="723"/>
        <w:gridCol w:w="729"/>
        <w:gridCol w:w="547"/>
        <w:gridCol w:w="547"/>
        <w:gridCol w:w="549"/>
        <w:gridCol w:w="109"/>
        <w:gridCol w:w="109"/>
        <w:gridCol w:w="109"/>
        <w:gridCol w:w="487"/>
        <w:gridCol w:w="1184"/>
        <w:gridCol w:w="253"/>
        <w:gridCol w:w="109"/>
        <w:gridCol w:w="109"/>
        <w:gridCol w:w="109"/>
        <w:gridCol w:w="603"/>
        <w:gridCol w:w="603"/>
        <w:gridCol w:w="604"/>
        <w:gridCol w:w="109"/>
        <w:gridCol w:w="109"/>
        <w:gridCol w:w="109"/>
        <w:gridCol w:w="293"/>
        <w:gridCol w:w="1003"/>
        <w:gridCol w:w="220"/>
      </w:tblGrid>
      <w:tr>
        <w:trPr/>
        <w:tc>
          <w:tcPr>
            <w:tcW w:w="87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options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7,219,702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6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7,764,457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6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9,140,164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Options exercisable as of December 31, 2025</w:t>
            </w:r>
          </w:p>
        </w:tc>
        <w:tc>
          <w:tcPr>
            <w:tcW w:w="164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5,982,905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1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9.17 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0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5,284 </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weighted-average grant date fair value of options granted during the years ended December 31, 2025, 2024, and 2023 were </w:t>
      </w:r>
      <w:r>
        <w:rPr>
          <w:rFonts w:ascii="Times New Roman;serif" w:hAnsi="Times New Roman;serif"/>
          <w:b w:val="false"/>
          <w:color w:val="000000"/>
          <w:sz w:val="20"/>
          <w:shd w:fill="FFFFFF" w:val="clear"/>
        </w:rPr>
        <w:t>$2.67</w:t>
      </w:r>
      <w:r>
        <w:rPr>
          <w:rFonts w:ascii="Times New Roman;serif" w:hAnsi="Times New Roman;serif"/>
          <w:b w:val="false"/>
          <w:color w:val="000000"/>
          <w:sz w:val="20"/>
        </w:rPr>
        <w:t>, $4.61, and $6.64 per share,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There was </w:t>
      </w:r>
      <w:r>
        <w:rPr>
          <w:rFonts w:ascii="Times New Roman;serif" w:hAnsi="Times New Roman;serif"/>
          <w:b w:val="false"/>
          <w:color w:val="000000"/>
          <w:sz w:val="20"/>
          <w:shd w:fill="FFFFFF" w:val="clear"/>
        </w:rPr>
        <w:t>$10.6 million</w:t>
      </w:r>
      <w:r>
        <w:rPr>
          <w:color w:val="000000"/>
        </w:rPr>
        <w:t xml:space="preserve"> </w:t>
      </w:r>
      <w:r>
        <w:rPr>
          <w:rFonts w:ascii="Times New Roman;serif" w:hAnsi="Times New Roman;serif"/>
          <w:b w:val="false"/>
          <w:color w:val="000000"/>
          <w:sz w:val="20"/>
        </w:rPr>
        <w:t xml:space="preserve">of unrecognized stock-based compensation expense related to unvested stock options as of December 31, 2025. The unrecognized stock-based compensation expense is estimated to be recognized over a period of </w:t>
      </w:r>
      <w:r>
        <w:rPr>
          <w:rFonts w:ascii="Times New Roman;serif" w:hAnsi="Times New Roman;serif"/>
          <w:b w:val="false"/>
          <w:color w:val="000000"/>
          <w:sz w:val="20"/>
          <w:shd w:fill="FFFFFF" w:val="clear"/>
        </w:rPr>
        <w:t xml:space="preserve">2.50 years </w:t>
      </w:r>
      <w:r>
        <w:rPr>
          <w:rFonts w:ascii="Times New Roman;serif" w:hAnsi="Times New Roman;serif"/>
          <w:b w:val="false"/>
          <w:color w:val="000000"/>
          <w:sz w:val="20"/>
        </w:rPr>
        <w:t>as of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uses authorized and unissued shares to satisfy option exercises.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and the estimated fair value of the Company’s common stock as of December 31,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RSU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RSU awards activity during the periods indicated:</w:t>
      </w:r>
    </w:p>
    <w:tbl>
      <w:tblPr>
        <w:tblW w:w="10205" w:type="dxa"/>
        <w:jc w:val="left"/>
        <w:tblInd w:w="0" w:type="dxa"/>
        <w:tblLayout w:type="fixed"/>
        <w:tblCellMar>
          <w:top w:w="28" w:type="dxa"/>
          <w:left w:w="28" w:type="dxa"/>
          <w:bottom w:w="28" w:type="dxa"/>
          <w:right w:w="28" w:type="dxa"/>
        </w:tblCellMar>
      </w:tblPr>
      <w:tblGrid>
        <w:gridCol w:w="645"/>
        <w:gridCol w:w="566"/>
        <w:gridCol w:w="570"/>
        <w:gridCol w:w="505"/>
        <w:gridCol w:w="506"/>
        <w:gridCol w:w="341"/>
        <w:gridCol w:w="109"/>
        <w:gridCol w:w="109"/>
        <w:gridCol w:w="109"/>
        <w:gridCol w:w="502"/>
        <w:gridCol w:w="1470"/>
        <w:gridCol w:w="262"/>
        <w:gridCol w:w="803"/>
        <w:gridCol w:w="803"/>
        <w:gridCol w:w="805"/>
        <w:gridCol w:w="109"/>
        <w:gridCol w:w="109"/>
        <w:gridCol w:w="109"/>
        <w:gridCol w:w="343"/>
        <w:gridCol w:w="1174"/>
        <w:gridCol w:w="256"/>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24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December 31, 2023</w:t>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December 31, 2024</w:t>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5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(1,762,850)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(459,549)</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December 31, 2025</w:t>
            </w:r>
          </w:p>
        </w:tc>
        <w:tc>
          <w:tcPr>
            <w:tcW w:w="13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There was </w:t>
      </w:r>
      <w:r>
        <w:rPr>
          <w:rFonts w:ascii="Times New Roman;serif" w:hAnsi="Times New Roman;serif"/>
          <w:b w:val="false"/>
          <w:color w:val="000000"/>
          <w:sz w:val="20"/>
          <w:shd w:fill="FFFFFF" w:val="clear"/>
        </w:rPr>
        <w:t>$28.4 million</w:t>
      </w:r>
      <w:r>
        <w:rPr>
          <w:color w:val="000000"/>
        </w:rPr>
        <w:t xml:space="preserve"> </w:t>
      </w:r>
      <w:r>
        <w:rPr>
          <w:rFonts w:ascii="Times New Roman;serif" w:hAnsi="Times New Roman;serif"/>
          <w:b w:val="false"/>
          <w:color w:val="000000"/>
          <w:sz w:val="20"/>
        </w:rPr>
        <w:t xml:space="preserve">of unrecognized stock-based compensation expense related to unvested RSU awards as of December 31, 2025. The unrecognized stock-based compensation expense is estimated to be recognized over a period of </w:t>
      </w:r>
      <w:r>
        <w:rPr>
          <w:rFonts w:ascii="Times New Roman;serif" w:hAnsi="Times New Roman;serif"/>
          <w:b w:val="false"/>
          <w:color w:val="000000"/>
          <w:sz w:val="20"/>
          <w:shd w:fill="FFFFFF" w:val="clear"/>
        </w:rPr>
        <w:t>2.53 years</w:t>
      </w:r>
      <w:r>
        <w:rPr>
          <w:color w:val="000000"/>
        </w:rPr>
        <w:t xml:space="preserve"> </w:t>
      </w:r>
      <w:r>
        <w:rPr>
          <w:rFonts w:ascii="Times New Roman;serif" w:hAnsi="Times New Roman;serif"/>
          <w:b w:val="false"/>
          <w:color w:val="000000"/>
          <w:sz w:val="20"/>
        </w:rPr>
        <w:t>as of December 31,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expense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allocation of stock-based compensation expense related to the Company’s stock-based awards (in thousands): </w:t>
      </w:r>
    </w:p>
    <w:tbl>
      <w:tblPr>
        <w:tblW w:w="6567" w:type="dxa"/>
        <w:jc w:val="left"/>
        <w:tblInd w:w="0" w:type="dxa"/>
        <w:tblLayout w:type="fixed"/>
        <w:tblCellMar>
          <w:top w:w="28" w:type="dxa"/>
          <w:left w:w="28" w:type="dxa"/>
          <w:bottom w:w="28" w:type="dxa"/>
          <w:right w:w="28" w:type="dxa"/>
        </w:tblCellMar>
      </w:tblPr>
      <w:tblGrid>
        <w:gridCol w:w="993"/>
        <w:gridCol w:w="868"/>
        <w:gridCol w:w="884"/>
        <w:gridCol w:w="211"/>
        <w:gridCol w:w="721"/>
        <w:gridCol w:w="109"/>
        <w:gridCol w:w="109"/>
        <w:gridCol w:w="109"/>
        <w:gridCol w:w="109"/>
        <w:gridCol w:w="211"/>
        <w:gridCol w:w="721"/>
        <w:gridCol w:w="109"/>
        <w:gridCol w:w="109"/>
        <w:gridCol w:w="109"/>
        <w:gridCol w:w="109"/>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weighted-average valuation assumptions used in determining the fair value of employee stock options: </w:t>
      </w:r>
    </w:p>
    <w:tbl>
      <w:tblPr>
        <w:tblW w:w="4814" w:type="dxa"/>
        <w:jc w:val="left"/>
        <w:tblInd w:w="0" w:type="dxa"/>
        <w:tblLayout w:type="fixed"/>
        <w:tblCellMar>
          <w:top w:w="28" w:type="dxa"/>
          <w:left w:w="28" w:type="dxa"/>
          <w:bottom w:w="28" w:type="dxa"/>
          <w:right w:w="28" w:type="dxa"/>
        </w:tblCellMar>
      </w:tblPr>
      <w:tblGrid>
        <w:gridCol w:w="755"/>
        <w:gridCol w:w="663"/>
        <w:gridCol w:w="666"/>
        <w:gridCol w:w="202"/>
        <w:gridCol w:w="204"/>
        <w:gridCol w:w="271"/>
        <w:gridCol w:w="109"/>
        <w:gridCol w:w="109"/>
        <w:gridCol w:w="109"/>
        <w:gridCol w:w="202"/>
        <w:gridCol w:w="204"/>
        <w:gridCol w:w="271"/>
        <w:gridCol w:w="109"/>
        <w:gridCol w:w="109"/>
        <w:gridCol w:w="109"/>
        <w:gridCol w:w="202"/>
        <w:gridCol w:w="204"/>
        <w:gridCol w:w="31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used in estimating the fair value of the ESPP for the current offering period using the Black-Scholes option-pricing model:</w:t>
      </w:r>
    </w:p>
    <w:tbl>
      <w:tblPr>
        <w:tblW w:w="4814" w:type="dxa"/>
        <w:jc w:val="left"/>
        <w:tblInd w:w="0" w:type="dxa"/>
        <w:tblLayout w:type="fixed"/>
        <w:tblCellMar>
          <w:top w:w="28" w:type="dxa"/>
          <w:left w:w="28" w:type="dxa"/>
          <w:bottom w:w="28" w:type="dxa"/>
          <w:right w:w="28" w:type="dxa"/>
        </w:tblCellMar>
      </w:tblPr>
      <w:tblGrid>
        <w:gridCol w:w="755"/>
        <w:gridCol w:w="663"/>
        <w:gridCol w:w="666"/>
        <w:gridCol w:w="202"/>
        <w:gridCol w:w="204"/>
        <w:gridCol w:w="271"/>
        <w:gridCol w:w="109"/>
        <w:gridCol w:w="109"/>
        <w:gridCol w:w="109"/>
        <w:gridCol w:w="202"/>
        <w:gridCol w:w="204"/>
        <w:gridCol w:w="271"/>
        <w:gridCol w:w="109"/>
        <w:gridCol w:w="109"/>
        <w:gridCol w:w="109"/>
        <w:gridCol w:w="202"/>
        <w:gridCol w:w="204"/>
        <w:gridCol w:w="31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15.    Employee benefit plan </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401(k) retirement savings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maintains a 401(k) retirement savings plan that covers substantially all of its employees (the “401(k) Plan”). The 401(k) Plan permits voluntary contributions by employees, a portion of which are matched by the Company. The Company’s contributions to the 401(k) Plan were approximately $2,048,000, $1,823,000, and $1,678,000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16.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income from continuing operations before taxes consisted of amounts related to U.S. operations and income associated with the Company’s foreign operations. The geographical breakdown of the Company’s loss before income taxes is as follows (in thousands):</w:t>
      </w:r>
    </w:p>
    <w:tbl>
      <w:tblPr>
        <w:tblW w:w="6207" w:type="dxa"/>
        <w:jc w:val="left"/>
        <w:tblInd w:w="0" w:type="dxa"/>
        <w:tblLayout w:type="fixed"/>
        <w:tblCellMar>
          <w:top w:w="28" w:type="dxa"/>
          <w:left w:w="28" w:type="dxa"/>
          <w:bottom w:w="28" w:type="dxa"/>
          <w:right w:w="28" w:type="dxa"/>
        </w:tblCellMar>
      </w:tblPr>
      <w:tblGrid>
        <w:gridCol w:w="782"/>
        <w:gridCol w:w="686"/>
        <w:gridCol w:w="692"/>
        <w:gridCol w:w="211"/>
        <w:gridCol w:w="796"/>
        <w:gridCol w:w="109"/>
        <w:gridCol w:w="109"/>
        <w:gridCol w:w="109"/>
        <w:gridCol w:w="109"/>
        <w:gridCol w:w="211"/>
        <w:gridCol w:w="796"/>
        <w:gridCol w:w="109"/>
        <w:gridCol w:w="109"/>
        <w:gridCol w:w="109"/>
        <w:gridCol w:w="109"/>
        <w:gridCol w:w="211"/>
        <w:gridCol w:w="79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attributable to income from continuing operations consists of (in thousands):</w:t>
      </w:r>
    </w:p>
    <w:tbl>
      <w:tblPr>
        <w:tblW w:w="7782" w:type="dxa"/>
        <w:jc w:val="left"/>
        <w:tblInd w:w="0" w:type="dxa"/>
        <w:tblLayout w:type="fixed"/>
        <w:tblCellMar>
          <w:top w:w="28" w:type="dxa"/>
          <w:left w:w="28" w:type="dxa"/>
          <w:bottom w:w="28" w:type="dxa"/>
          <w:right w:w="28" w:type="dxa"/>
        </w:tblCellMar>
      </w:tblPr>
      <w:tblGrid>
        <w:gridCol w:w="1416"/>
        <w:gridCol w:w="1248"/>
        <w:gridCol w:w="1251"/>
        <w:gridCol w:w="211"/>
        <w:gridCol w:w="721"/>
        <w:gridCol w:w="109"/>
        <w:gridCol w:w="109"/>
        <w:gridCol w:w="109"/>
        <w:gridCol w:w="109"/>
        <w:gridCol w:w="211"/>
        <w:gridCol w:w="691"/>
        <w:gridCol w:w="109"/>
        <w:gridCol w:w="109"/>
        <w:gridCol w:w="109"/>
        <w:gridCol w:w="109"/>
        <w:gridCol w:w="211"/>
        <w:gridCol w:w="796"/>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provisions for income taxes: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expense (benefit):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expense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Tax rate reconciliation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federal statutory rate to the Company’s effective tax rate:</w:t>
      </w:r>
    </w:p>
    <w:tbl>
      <w:tblPr>
        <w:tblW w:w="7404" w:type="dxa"/>
        <w:jc w:val="left"/>
        <w:tblInd w:w="0" w:type="dxa"/>
        <w:tblLayout w:type="fixed"/>
        <w:tblCellMar>
          <w:top w:w="28" w:type="dxa"/>
          <w:left w:w="28" w:type="dxa"/>
          <w:bottom w:w="28" w:type="dxa"/>
          <w:right w:w="28" w:type="dxa"/>
        </w:tblCellMar>
      </w:tblPr>
      <w:tblGrid>
        <w:gridCol w:w="1854"/>
        <w:gridCol w:w="1635"/>
        <w:gridCol w:w="1641"/>
        <w:gridCol w:w="211"/>
        <w:gridCol w:w="721"/>
        <w:gridCol w:w="109"/>
        <w:gridCol w:w="109"/>
        <w:gridCol w:w="109"/>
        <w:gridCol w:w="109"/>
        <w:gridCol w:w="291"/>
        <w:gridCol w:w="294"/>
        <w:gridCol w:w="321"/>
      </w:tblGrid>
      <w:tr>
        <w:trPr/>
        <w:tc>
          <w:tcPr>
            <w:tcW w:w="18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Rate</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China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Foreign income taxed at different rate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Netherlands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Foreign income taxed at different rate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Change in tax reserve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Other countries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Global intangible low-taxed income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Subpart F</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Stock-based compensation</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20"/>
              </w:rPr>
              <w:t>Other permanent differences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reconciling items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tax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state income taxes estimated for 2025 are attributable to Texas.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subsequent to our adoption of ASU 2023-09 for cash paid for income taxes, net of refunds received, by jurisdiction:</w:t>
      </w:r>
    </w:p>
    <w:tbl>
      <w:tblPr>
        <w:tblW w:w="4701" w:type="dxa"/>
        <w:jc w:val="left"/>
        <w:tblInd w:w="0" w:type="dxa"/>
        <w:tblLayout w:type="fixed"/>
        <w:tblCellMar>
          <w:top w:w="28" w:type="dxa"/>
          <w:left w:w="28" w:type="dxa"/>
          <w:bottom w:w="28" w:type="dxa"/>
          <w:right w:w="28" w:type="dxa"/>
        </w:tblCellMar>
      </w:tblPr>
      <w:tblGrid>
        <w:gridCol w:w="1343"/>
        <w:gridCol w:w="1183"/>
        <w:gridCol w:w="1194"/>
        <w:gridCol w:w="211"/>
        <w:gridCol w:w="616"/>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China</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Netherlands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taxes paid (net of refunds received)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our adoption of ASU 2023-09 and presents the differences between our provision for (benefit from) income taxes as presented in the accompanying consolidated statements of operations and the income tax expense computed at the federal statutory rate as a percentage of loss before provision for (benefit from) income taxes (in percentages):</w:t>
      </w:r>
    </w:p>
    <w:tbl>
      <w:tblPr>
        <w:tblW w:w="5909" w:type="dxa"/>
        <w:jc w:val="left"/>
        <w:tblInd w:w="0" w:type="dxa"/>
        <w:tblLayout w:type="fixed"/>
        <w:tblCellMar>
          <w:top w:w="28" w:type="dxa"/>
          <w:left w:w="28" w:type="dxa"/>
          <w:bottom w:w="28" w:type="dxa"/>
          <w:right w:w="28" w:type="dxa"/>
        </w:tblCellMar>
      </w:tblPr>
      <w:tblGrid>
        <w:gridCol w:w="1383"/>
        <w:gridCol w:w="1219"/>
        <w:gridCol w:w="1223"/>
        <w:gridCol w:w="291"/>
        <w:gridCol w:w="294"/>
        <w:gridCol w:w="271"/>
        <w:gridCol w:w="109"/>
        <w:gridCol w:w="109"/>
        <w:gridCol w:w="109"/>
        <w:gridCol w:w="291"/>
        <w:gridCol w:w="294"/>
        <w:gridCol w:w="316"/>
      </w:tblGrid>
      <w:tr>
        <w:trPr/>
        <w:tc>
          <w:tcPr>
            <w:tcW w:w="138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tax benefit at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taxed at different rates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 deduction</w:t>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foreign earnings and losses</w:t>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adjustments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true up due to tax rate change</w:t>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net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compensation</w:t>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Significant components of deferred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and carryforwards that give rise to significant portions of the deferred tax assets and deferred tax liabilities at December 31, 2025 and 2024 are presented below (in thousands):</w:t>
      </w:r>
    </w:p>
    <w:tbl>
      <w:tblPr>
        <w:tblW w:w="6309" w:type="dxa"/>
        <w:jc w:val="left"/>
        <w:tblInd w:w="0" w:type="dxa"/>
        <w:tblLayout w:type="fixed"/>
        <w:tblCellMar>
          <w:top w:w="28" w:type="dxa"/>
          <w:left w:w="28" w:type="dxa"/>
          <w:bottom w:w="28" w:type="dxa"/>
          <w:right w:w="28" w:type="dxa"/>
        </w:tblCellMar>
      </w:tblPr>
      <w:tblGrid>
        <w:gridCol w:w="1409"/>
        <w:gridCol w:w="1235"/>
        <w:gridCol w:w="1241"/>
        <w:gridCol w:w="211"/>
        <w:gridCol w:w="691"/>
        <w:gridCol w:w="109"/>
        <w:gridCol w:w="109"/>
        <w:gridCol w:w="109"/>
        <w:gridCol w:w="109"/>
        <w:gridCol w:w="211"/>
        <w:gridCol w:w="721"/>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 carryforward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 carryforward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capitalization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available positive and negative evidence to estimate if sufficient future taxable income will be generated to utilize the existing deferred tax assets.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maintained a valuation allowance against all deferred tax assets as Management believes these are not more likely than not to be realized. The Company will continue to reassess the valuation allowance quarterly and if future evidence allows for a partial or full release of the valuation allowance, a tax benefit will be recorded accordingly.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net operating loss carryforwards for federal and state income tax purposes of approximately $19.2 million and $11.1 million, respectively. Federal net operating losses do not expire, while state net operating losses begin expiring in 2040.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had state tax credit carryforwards of $4.8 million and $4.0 million, respectively, to offset future tax liability. The credit carryforwards are not subject to expiration. As of December 31, 2025 and 2024, the Company had foreign tax credit for Cytek (Shanghai) Biosciences Co., Ltd of $1.5 million and $1.2 million, respectively, which begins to expire in 2027 if not utilized.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Internal Revenue Code Section 382 places a limitation on the amount of taxable income that can be offset by net operating loss carryforwards and tax credit carryforwards after a greater than 50% change in control in ownership. California has similar rules. The Company had performed a Section 382 analysis and determined that its capitalization resulted in such a change in prior year. Utilization of the net operating loss carryforwards and tax credit carryforwards had been subject to the annual limitations under IRC Section 382 and similar state provisions. The annual limitation may result in the expiration of the state net operating loss carryforwards before utilization.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is a tabular reconciliation of the total amounts of unrecognized tax benefits (in thousands):</w:t>
      </w:r>
    </w:p>
    <w:tbl>
      <w:tblPr>
        <w:tblW w:w="8261" w:type="dxa"/>
        <w:jc w:val="left"/>
        <w:tblInd w:w="0" w:type="dxa"/>
        <w:tblLayout w:type="fixed"/>
        <w:tblCellMar>
          <w:top w:w="28" w:type="dxa"/>
          <w:left w:w="28" w:type="dxa"/>
          <w:bottom w:w="28" w:type="dxa"/>
          <w:right w:w="28" w:type="dxa"/>
        </w:tblCellMar>
      </w:tblPr>
      <w:tblGrid>
        <w:gridCol w:w="1723"/>
        <w:gridCol w:w="1512"/>
        <w:gridCol w:w="1519"/>
        <w:gridCol w:w="211"/>
        <w:gridCol w:w="616"/>
        <w:gridCol w:w="109"/>
        <w:gridCol w:w="109"/>
        <w:gridCol w:w="109"/>
        <w:gridCol w:w="109"/>
        <w:gridCol w:w="211"/>
        <w:gridCol w:w="616"/>
        <w:gridCol w:w="109"/>
        <w:gridCol w:w="109"/>
        <w:gridCol w:w="109"/>
        <w:gridCol w:w="109"/>
        <w:gridCol w:w="211"/>
        <w:gridCol w:w="616"/>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related to prior year tax provisions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current year tax provisions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for settlement or statute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accounts for uncertain tax positions under ASC 740. As of December 31, 2025, 2024 and 2023, there was approximately </w:t>
      </w:r>
      <w:r>
        <w:rPr>
          <w:rFonts w:ascii="Times New Roman;serif" w:hAnsi="Times New Roman;serif"/>
          <w:b w:val="false"/>
          <w:color w:val="000000"/>
          <w:sz w:val="20"/>
          <w:shd w:fill="FFFFFF" w:val="clear"/>
        </w:rPr>
        <w:t>$3.5</w:t>
      </w:r>
      <w:r>
        <w:rPr>
          <w:color w:val="000000"/>
        </w:rPr>
        <w:t xml:space="preserve"> </w:t>
      </w:r>
      <w:r>
        <w:rPr>
          <w:rFonts w:ascii="Times New Roman;serif" w:hAnsi="Times New Roman;serif"/>
          <w:b w:val="false"/>
          <w:color w:val="000000"/>
          <w:sz w:val="20"/>
        </w:rPr>
        <w:t xml:space="preserve">million, $3.6 million and $3.6 million of unrecognized tax benefits, respectively. Of the unrecognized tax benefits, </w:t>
      </w:r>
      <w:r>
        <w:rPr>
          <w:rFonts w:ascii="Times New Roman;serif" w:hAnsi="Times New Roman;serif"/>
          <w:b w:val="false"/>
          <w:color w:val="000000"/>
          <w:sz w:val="20"/>
          <w:shd w:fill="FFFFFF" w:val="clear"/>
        </w:rPr>
        <w:t>$3.1 million</w:t>
      </w:r>
      <w:r>
        <w:rPr>
          <w:rFonts w:ascii="Times New Roman;serif" w:hAnsi="Times New Roman;serif"/>
          <w:b w:val="false"/>
          <w:color w:val="000000"/>
          <w:sz w:val="20"/>
        </w:rPr>
        <w:t xml:space="preserve">, $3.3 million and $3.4 million represents the amount that if recognized, would favorably affect the effective income tax rate in 2025, 2024 and 2023,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or foreign income tax purposes.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Company’s management asserted that it was their intent to indefinitely reinvest unremitted foreign earnings for all its foreign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17.    Lease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facilities and equipment from unrelated parties under operating lease agreements that have initial terms ranging from 1 to 12 years. Some leases include one or more options to renew, generally at the Company’s sole discretion, with renewal terms that can extend the lease term up to 10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 is recognized on a straight-line basis over the lease term. The components of lease expense are as follows (in thousands):</w:t>
      </w:r>
    </w:p>
    <w:tbl>
      <w:tblPr>
        <w:tblW w:w="4842" w:type="dxa"/>
        <w:jc w:val="left"/>
        <w:tblInd w:w="0" w:type="dxa"/>
        <w:tblLayout w:type="fixed"/>
        <w:tblCellMar>
          <w:top w:w="28" w:type="dxa"/>
          <w:left w:w="28" w:type="dxa"/>
          <w:bottom w:w="28" w:type="dxa"/>
          <w:right w:w="28" w:type="dxa"/>
        </w:tblCellMar>
      </w:tblPr>
      <w:tblGrid>
        <w:gridCol w:w="651"/>
        <w:gridCol w:w="572"/>
        <w:gridCol w:w="576"/>
        <w:gridCol w:w="338"/>
        <w:gridCol w:w="987"/>
        <w:gridCol w:w="174"/>
        <w:gridCol w:w="332"/>
        <w:gridCol w:w="970"/>
        <w:gridCol w:w="242"/>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 2025</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 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(in thousands):</w:t>
      </w:r>
    </w:p>
    <w:tbl>
      <w:tblPr>
        <w:tblW w:w="8623" w:type="dxa"/>
        <w:jc w:val="left"/>
        <w:tblInd w:w="0" w:type="dxa"/>
        <w:tblLayout w:type="fixed"/>
        <w:tblCellMar>
          <w:top w:w="28" w:type="dxa"/>
          <w:left w:w="28" w:type="dxa"/>
          <w:bottom w:w="28" w:type="dxa"/>
          <w:right w:w="28" w:type="dxa"/>
        </w:tblCellMar>
      </w:tblPr>
      <w:tblGrid>
        <w:gridCol w:w="2023"/>
        <w:gridCol w:w="1774"/>
        <w:gridCol w:w="1783"/>
        <w:gridCol w:w="338"/>
        <w:gridCol w:w="987"/>
        <w:gridCol w:w="174"/>
        <w:gridCol w:w="332"/>
        <w:gridCol w:w="970"/>
        <w:gridCol w:w="242"/>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 2025</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 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 payments on operating leases</w:t>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obligations:</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w:t>
      </w:r>
    </w:p>
    <w:tbl>
      <w:tblPr>
        <w:tblW w:w="5414" w:type="dxa"/>
        <w:jc w:val="left"/>
        <w:tblInd w:w="0" w:type="dxa"/>
        <w:tblLayout w:type="fixed"/>
        <w:tblCellMar>
          <w:top w:w="28" w:type="dxa"/>
          <w:left w:w="28" w:type="dxa"/>
          <w:bottom w:w="28" w:type="dxa"/>
          <w:right w:w="28" w:type="dxa"/>
        </w:tblCellMar>
      </w:tblPr>
      <w:tblGrid>
        <w:gridCol w:w="1152"/>
        <w:gridCol w:w="1011"/>
        <w:gridCol w:w="1017"/>
        <w:gridCol w:w="222"/>
        <w:gridCol w:w="759"/>
        <w:gridCol w:w="114"/>
        <w:gridCol w:w="221"/>
        <w:gridCol w:w="757"/>
        <w:gridCol w:w="161"/>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current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38" w:type="dxa"/>
        <w:jc w:val="left"/>
        <w:tblInd w:w="0" w:type="dxa"/>
        <w:tblLayout w:type="fixed"/>
        <w:tblCellMar>
          <w:top w:w="28" w:type="dxa"/>
          <w:left w:w="28" w:type="dxa"/>
          <w:bottom w:w="28" w:type="dxa"/>
          <w:right w:w="28" w:type="dxa"/>
        </w:tblCellMar>
      </w:tblPr>
      <w:tblGrid>
        <w:gridCol w:w="1756"/>
        <w:gridCol w:w="1541"/>
        <w:gridCol w:w="1547"/>
        <w:gridCol w:w="174"/>
        <w:gridCol w:w="174"/>
        <w:gridCol w:w="176"/>
        <w:gridCol w:w="166"/>
        <w:gridCol w:w="166"/>
        <w:gridCol w:w="238"/>
      </w:tblGrid>
      <w:tr>
        <w:trPr/>
        <w:tc>
          <w:tcPr>
            <w:tcW w:w="175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5.36</w:t>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3.49</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undiscounted cash flows for each of the next five years and thereafter and reconciliation to the lease liabilities recognized on the balance sheet as of December 31, 2025 is as follows (in thousands):</w:t>
      </w:r>
    </w:p>
    <w:tbl>
      <w:tblPr>
        <w:tblW w:w="4250" w:type="dxa"/>
        <w:jc w:val="left"/>
        <w:tblInd w:w="0" w:type="dxa"/>
        <w:tblLayout w:type="fixed"/>
        <w:tblCellMar>
          <w:top w:w="28" w:type="dxa"/>
          <w:left w:w="28" w:type="dxa"/>
          <w:bottom w:w="28" w:type="dxa"/>
          <w:right w:w="28" w:type="dxa"/>
        </w:tblCellMar>
      </w:tblPr>
      <w:tblGrid>
        <w:gridCol w:w="1144"/>
        <w:gridCol w:w="1003"/>
        <w:gridCol w:w="1017"/>
        <w:gridCol w:w="211"/>
        <w:gridCol w:w="721"/>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18.    Commitments and contingencies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Purchase Obligations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arrangements with third parties, primarily related to cloud computing and other information technology services. As of December 31, 2025, future payments under these contractual obligations were as follows (in thousands):</w:t>
      </w:r>
    </w:p>
    <w:tbl>
      <w:tblPr>
        <w:tblW w:w="3305" w:type="dxa"/>
        <w:jc w:val="left"/>
        <w:tblInd w:w="0" w:type="dxa"/>
        <w:tblLayout w:type="fixed"/>
        <w:tblCellMar>
          <w:top w:w="28" w:type="dxa"/>
          <w:left w:w="28" w:type="dxa"/>
          <w:bottom w:w="28" w:type="dxa"/>
          <w:right w:w="28" w:type="dxa"/>
        </w:tblCellMar>
      </w:tblPr>
      <w:tblGrid>
        <w:gridCol w:w="839"/>
        <w:gridCol w:w="735"/>
        <w:gridCol w:w="750"/>
        <w:gridCol w:w="211"/>
        <w:gridCol w:w="61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Legal proceedings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involved in legal proceedings and claims. On August 14, 2024, Beckman Coulter, Inc. (“Beckman Coulter”) sued the Company in federal court in the District of Delaware, alleging that the Company’s Cytek Aurora flow cytometers, Aurora CS cell sorters, and Northern Lights and Northern Lights-CLC products infringe U.S. Patent Nos. 10,330,582 and 11,703,443, each titled “Flow Cytometer.” On October 7, 2024, the Company filed an answer denying any liability and including a counterclaim against Beckman Coulter for false marking. On October 28, 2024, Beckman Coulter filed an answer to the counterclaim, denying liability. On January 9, 2025, Beckman Coulter filed a first amended complaint, further alleging that the Company’s Cytek Aurora flow cytometers,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On February 27, 2025, Beckman Coulter filed an answer to the counterclaim, denying liability.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construction hearings were held on August 21, 2025 and September 17, 2025. At the second claim construction hearing, the court ordered Beckman Coulter to narrow the number of asserted claims, and Beckman Coulter has dropped all asserted claims from U.S. Patent No. 12,174,106. Briefing on dispositive motions is currently scheduled in March and April of 2026, and a trial is scheduled for August 17, 2026. The Company intends to vigorously defend itself and pursue available remedies.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19. Investment in Cytek Japan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(loss) income for the year ended December 31, 2022.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recognized net assets of $1.1 million, consisting primarily of $1.0 million cash. The Company recorded noncontrolling interest of $315,000 on the unaudited interim consolidated financial statements as of March 31, 2021.In January 2023, the Company purchased an additional $235,000 of common stock of Cytek Japan. Cytek Japan became a wholly-owned subsidiary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20.    Product warranty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activity in the product warranty accrual included in accrued expenses on the consolidated balance sheets (in thousands): </w:t>
      </w:r>
    </w:p>
    <w:tbl>
      <w:tblPr>
        <w:tblW w:w="5456" w:type="dxa"/>
        <w:jc w:val="left"/>
        <w:tblInd w:w="0" w:type="dxa"/>
        <w:tblLayout w:type="fixed"/>
        <w:tblCellMar>
          <w:top w:w="28" w:type="dxa"/>
          <w:left w:w="28" w:type="dxa"/>
          <w:bottom w:w="28" w:type="dxa"/>
          <w:right w:w="28" w:type="dxa"/>
        </w:tblCellMar>
      </w:tblPr>
      <w:tblGrid>
        <w:gridCol w:w="1048"/>
        <w:gridCol w:w="921"/>
        <w:gridCol w:w="925"/>
        <w:gridCol w:w="247"/>
        <w:gridCol w:w="721"/>
        <w:gridCol w:w="127"/>
        <w:gridCol w:w="109"/>
        <w:gridCol w:w="109"/>
        <w:gridCol w:w="109"/>
        <w:gridCol w:w="245"/>
        <w:gridCol w:w="716"/>
        <w:gridCol w:w="179"/>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 for current year warranties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 incurred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21.    Net loss attributable to common stockholders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loss attributable to common stockholders per share for the years ended December 31, 2025, 2024, and 2023 (in thousands except share and per share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8"/>
        <w:gridCol w:w="1909"/>
        <w:gridCol w:w="1931"/>
        <w:gridCol w:w="227"/>
        <w:gridCol w:w="795"/>
        <w:gridCol w:w="119"/>
        <w:gridCol w:w="109"/>
        <w:gridCol w:w="109"/>
        <w:gridCol w:w="109"/>
        <w:gridCol w:w="253"/>
        <w:gridCol w:w="757"/>
        <w:gridCol w:w="131"/>
        <w:gridCol w:w="109"/>
        <w:gridCol w:w="109"/>
        <w:gridCol w:w="109"/>
        <w:gridCol w:w="227"/>
        <w:gridCol w:w="794"/>
        <w:gridCol w:w="170"/>
      </w:tblGrid>
      <w:tr>
        <w:trPr/>
        <w:tc>
          <w:tcPr>
            <w:tcW w:w="2238"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7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1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7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allocated to noncontrolling interests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basic and diluted</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attributable to common stockholders,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127,745,939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130,611,330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135,283,044</w:t>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employee stock plans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attributable to common stockholders, diluted</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127,745,939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130,611,330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135,283,044</w:t>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 basic</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 diluted</w:t>
            </w:r>
          </w:p>
        </w:tc>
        <w:tc>
          <w:tcPr>
            <w:tcW w:w="2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Stock-based compensation awards of approximately $</w:t>
      </w:r>
      <w:r>
        <w:rPr>
          <w:rFonts w:ascii="Times New Roman;serif" w:hAnsi="Times New Roman;serif"/>
          <w:b w:val="false"/>
          <w:color w:val="000000"/>
          <w:sz w:val="20"/>
          <w:shd w:fill="FFFFFF" w:val="clear"/>
        </w:rPr>
        <w:t>11.1 million</w:t>
      </w:r>
      <w:r>
        <w:rPr>
          <w:rFonts w:ascii="Times New Roman;serif" w:hAnsi="Times New Roman;serif"/>
          <w:b w:val="false"/>
          <w:color w:val="000000"/>
          <w:sz w:val="20"/>
        </w:rPr>
        <w:t>, $7.2 million, and $9.0 million shares for the years ended December 31, 2025, 2024, and 2023, respectively, were outstanding but were not included in the computation of diluted net income (loss) per share attributable to Cytek Biosciences, Inc. common stockholders, because the effect of including such shares would have been anti-dilutive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22.    </w:t>
      </w:r>
      <w:r>
        <w:rPr>
          <w:rFonts w:ascii="Times New Roman;serif" w:hAnsi="Times New Roman;serif"/>
          <w:b/>
          <w:color w:val="000000"/>
          <w:sz w:val="20"/>
          <w:shd w:fill="FFFFFF" w:val="clear"/>
        </w:rPr>
        <w:t>Segment Information and Geographic Data</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Information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 the CODM reviews the significant segment expenses in the table below on net (loss) income when assessing performance and allocating resources, as well as those used for strategic decisions related to headcount and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expenditures. The measure of segment assets is reported on the balance sheet as total assets. The CODM does not review segment assets at a level other than that presented in the Company’s consolidated balance sheets.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reflect the Company’s significant segment expenses:</w:t>
      </w:r>
    </w:p>
    <w:p>
      <w:pPr>
        <w:pStyle w:val="TextBody"/>
        <w:bidi w:val="0"/>
        <w:spacing w:before="120" w:after="283"/>
        <w:jc w:val="both"/>
        <w:rPr/>
      </w:pPr>
      <w:r>
        <w:rPr/>
      </w:r>
    </w:p>
    <w:tbl>
      <w:tblPr>
        <w:tblW w:w="9626" w:type="dxa"/>
        <w:jc w:val="left"/>
        <w:tblInd w:w="0" w:type="dxa"/>
        <w:tblLayout w:type="fixed"/>
        <w:tblCellMar>
          <w:top w:w="28" w:type="dxa"/>
          <w:left w:w="28" w:type="dxa"/>
          <w:bottom w:w="28" w:type="dxa"/>
          <w:right w:w="28" w:type="dxa"/>
        </w:tblCellMar>
      </w:tblPr>
      <w:tblGrid>
        <w:gridCol w:w="1985"/>
        <w:gridCol w:w="1747"/>
        <w:gridCol w:w="1757"/>
        <w:gridCol w:w="211"/>
        <w:gridCol w:w="826"/>
        <w:gridCol w:w="109"/>
        <w:gridCol w:w="109"/>
        <w:gridCol w:w="109"/>
        <w:gridCol w:w="109"/>
        <w:gridCol w:w="211"/>
        <w:gridCol w:w="826"/>
        <w:gridCol w:w="109"/>
        <w:gridCol w:w="109"/>
        <w:gridCol w:w="109"/>
        <w:gridCol w:w="109"/>
        <w:gridCol w:w="211"/>
        <w:gridCol w:w="826"/>
        <w:gridCol w:w="154"/>
      </w:tblGrid>
      <w:tr>
        <w:trPr/>
        <w:tc>
          <w:tcPr>
            <w:tcW w:w="198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stock-based compensation)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 license &amp; IP expense</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(excluding stock-based compensation)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segment items include other income (expenses) and interest income (expenses).</w:t>
      </w:r>
    </w:p>
    <w:p>
      <w:pPr>
        <w:pStyle w:val="TextBody"/>
        <w:bidi w:val="0"/>
        <w:spacing w:lineRule="auto" w:line="26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 by geographic location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its products worldwide and attributes revenue to the geography where the product is delivered. The geographical distribution of revenue for the years ended December 31, 2025, 2024, and 2023 was as follows (in thousands): </w:t>
      </w:r>
    </w:p>
    <w:tbl>
      <w:tblPr>
        <w:tblW w:w="5727" w:type="dxa"/>
        <w:jc w:val="left"/>
        <w:tblInd w:w="0" w:type="dxa"/>
        <w:tblLayout w:type="fixed"/>
        <w:tblCellMar>
          <w:top w:w="28" w:type="dxa"/>
          <w:left w:w="28" w:type="dxa"/>
          <w:bottom w:w="28" w:type="dxa"/>
          <w:right w:w="28" w:type="dxa"/>
        </w:tblCellMar>
      </w:tblPr>
      <w:tblGrid>
        <w:gridCol w:w="577"/>
        <w:gridCol w:w="505"/>
        <w:gridCol w:w="508"/>
        <w:gridCol w:w="211"/>
        <w:gridCol w:w="826"/>
        <w:gridCol w:w="109"/>
        <w:gridCol w:w="109"/>
        <w:gridCol w:w="109"/>
        <w:gridCol w:w="109"/>
        <w:gridCol w:w="211"/>
        <w:gridCol w:w="826"/>
        <w:gridCol w:w="109"/>
        <w:gridCol w:w="109"/>
        <w:gridCol w:w="109"/>
        <w:gridCol w:w="109"/>
        <w:gridCol w:w="211"/>
        <w:gridCol w:w="826"/>
        <w:gridCol w:w="154"/>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EMEA includes Europe, the Middle East and Africa; APAC includes Asia and the Pacific countries; Other includes Canada and Latin America.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For revenue, a major country is defined as a group of customers in a country with combined revenue of greater than 10% of consolidated revenue or as otherwise deemed significant. Revenue in the United States was approximately </w:t>
      </w:r>
      <w:r>
        <w:rPr>
          <w:rFonts w:ascii="Times New Roman;serif" w:hAnsi="Times New Roman;serif"/>
          <w:b w:val="false"/>
          <w:color w:val="000000"/>
          <w:sz w:val="20"/>
        </w:rPr>
        <w:t>$95.2 million</w:t>
      </w:r>
      <w:r>
        <w:rPr>
          <w:color w:val="000000"/>
          <w:shd w:fill="FFFFFF" w:val="clear"/>
        </w:rPr>
        <w:t xml:space="preserve"> </w:t>
      </w:r>
      <w:r>
        <w:rPr>
          <w:rFonts w:ascii="Times New Roman;serif" w:hAnsi="Times New Roman;serif"/>
          <w:b w:val="false"/>
          <w:color w:val="000000"/>
          <w:sz w:val="20"/>
          <w:shd w:fill="FFFFFF" w:val="clear"/>
        </w:rPr>
        <w:t xml:space="preserve">for the twelve months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Revenue in China was approximately </w:t>
      </w:r>
      <w:r>
        <w:rPr>
          <w:rFonts w:ascii="Times New Roman;serif" w:hAnsi="Times New Roman;serif"/>
          <w:b w:val="false"/>
          <w:color w:val="000000"/>
          <w:sz w:val="20"/>
        </w:rPr>
        <w:t>$20.5</w:t>
      </w:r>
      <w:r>
        <w:rPr>
          <w:color w:val="000000"/>
          <w:shd w:fill="FFFFFF" w:val="clear"/>
        </w:rPr>
        <w:t xml:space="preserve"> </w:t>
      </w:r>
      <w:r>
        <w:rPr>
          <w:rFonts w:ascii="Times New Roman;serif" w:hAnsi="Times New Roman;serif"/>
          <w:b w:val="false"/>
          <w:color w:val="000000"/>
          <w:sz w:val="20"/>
          <w:shd w:fill="FFFFFF" w:val="clear"/>
        </w:rPr>
        <w:t xml:space="preserve">million for the twelve months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No other country represented greater than 10% of the Company’s consolidated net sales or was otherwise deemed significant. For the years ended </w:t>
      </w:r>
      <w:r>
        <w:rPr>
          <w:rFonts w:ascii="Times New Roman;serif" w:hAnsi="Times New Roman;serif"/>
          <w:b w:val="false"/>
          <w:color w:val="000000"/>
          <w:sz w:val="20"/>
        </w:rPr>
        <w:t>December 31, 2025, 2024, and 2023</w:t>
      </w:r>
      <w:r>
        <w:rPr>
          <w:rFonts w:ascii="Times New Roman;serif" w:hAnsi="Times New Roman;serif"/>
          <w:b w:val="false"/>
          <w:color w:val="000000"/>
          <w:sz w:val="20"/>
          <w:shd w:fill="FFFFFF" w:val="clear"/>
        </w:rPr>
        <w:t xml:space="preserve">, the Company had no major customers that represented more than 10% of the Company’s net revenue. No customer represented more than 10% of net accounts receivable as of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Long-lived assets by geographic location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the Company’s long-lived assets by geographic area were as follows (in thousands): </w:t>
      </w:r>
    </w:p>
    <w:tbl>
      <w:tblPr>
        <w:tblW w:w="3760" w:type="dxa"/>
        <w:jc w:val="left"/>
        <w:tblInd w:w="0" w:type="dxa"/>
        <w:tblLayout w:type="fixed"/>
        <w:tblCellMar>
          <w:top w:w="28" w:type="dxa"/>
          <w:left w:w="28" w:type="dxa"/>
          <w:bottom w:w="28" w:type="dxa"/>
          <w:right w:w="28" w:type="dxa"/>
        </w:tblCellMar>
      </w:tblPr>
      <w:tblGrid>
        <w:gridCol w:w="435"/>
        <w:gridCol w:w="381"/>
        <w:gridCol w:w="383"/>
        <w:gridCol w:w="222"/>
        <w:gridCol w:w="759"/>
        <w:gridCol w:w="114"/>
        <w:gridCol w:w="109"/>
        <w:gridCol w:w="109"/>
        <w:gridCol w:w="109"/>
        <w:gridCol w:w="221"/>
        <w:gridCol w:w="757"/>
        <w:gridCol w:w="161"/>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most of the Company’s long-lived assets were located in the United States and in Wuxi,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23.    Subsequent Events</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Credit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In January 2026, the Company withdrew</w:t>
      </w:r>
      <w:r>
        <w:rPr>
          <w:color w:val="000000"/>
        </w:rPr>
        <w:t xml:space="preserve"> </w:t>
      </w:r>
      <w:r>
        <w:rPr>
          <w:rFonts w:ascii="Times New Roman;serif" w:hAnsi="Times New Roman;serif"/>
          <w:b w:val="false"/>
          <w:color w:val="000000"/>
          <w:sz w:val="20"/>
        </w:rPr>
        <w:t xml:space="preserve">10 million Chinese renminbi (approximately US $1.4 million) under its maximum credit agreement with the Bank of China, Wuxi Branch to support its operational needs.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repaid 2 million Chinese renminbi (approximately US $0.3 million) to the Bank of Ningbo, renewed its maximum credit agreement with the Bank of Ningbo for 10 million Chinese renminbi (approximately US $1.4 million), and withdrew 7 million Chinese renminbi (approximately US $1.0 million) to support its operational needs.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February 9, 2026, Cytek Wuxi entered into a </w:t>
      </w:r>
      <w:r>
        <w:rPr>
          <w:rFonts w:ascii="Times New Roman;serif" w:hAnsi="Times New Roman;serif"/>
          <w:b w:val="false"/>
          <w:color w:val="000000"/>
          <w:sz w:val="20"/>
        </w:rPr>
        <w:t xml:space="preserve">one-year </w:t>
      </w:r>
      <w:r>
        <w:rPr>
          <w:rFonts w:ascii="Times New Roman;serif" w:hAnsi="Times New Roman;serif"/>
          <w:b w:val="false"/>
          <w:color w:val="000000"/>
          <w:sz w:val="20"/>
          <w:shd w:fill="FFFFFF" w:val="clear"/>
        </w:rPr>
        <w:t xml:space="preserve">loan agreement with China Construction Bank Corporation, Wuxi Branch for </w:t>
      </w:r>
      <w:r>
        <w:rPr>
          <w:rFonts w:ascii="Times New Roman;serif" w:hAnsi="Times New Roman;serif"/>
          <w:b w:val="false"/>
          <w:color w:val="000000"/>
          <w:sz w:val="20"/>
        </w:rPr>
        <w:t xml:space="preserve">15 million </w:t>
      </w:r>
      <w:r>
        <w:rPr>
          <w:rFonts w:ascii="Times New Roman;serif" w:hAnsi="Times New Roman;serif"/>
          <w:b w:val="false"/>
          <w:color w:val="000000"/>
          <w:sz w:val="20"/>
          <w:shd w:fill="FFFFFF" w:val="clear"/>
        </w:rPr>
        <w:t xml:space="preserve">Chinese renminbi (approximately US </w:t>
      </w:r>
      <w:r>
        <w:rPr>
          <w:rFonts w:ascii="Times New Roman;serif" w:hAnsi="Times New Roman;serif"/>
          <w:b w:val="false"/>
          <w:color w:val="000000"/>
          <w:sz w:val="20"/>
        </w:rPr>
        <w:t>$2.2 million</w:t>
      </w:r>
      <w:r>
        <w:rPr>
          <w:rFonts w:ascii="Times New Roman;serif" w:hAnsi="Times New Roman;serif"/>
          <w:b w:val="false"/>
          <w:color w:val="000000"/>
          <w:sz w:val="20"/>
          <w:shd w:fill="FFFFFF" w:val="clear"/>
        </w:rPr>
        <w:t xml:space="preserve">) at a fixed interest rate of </w:t>
      </w:r>
      <w:r>
        <w:rPr>
          <w:rFonts w:ascii="Times New Roman;serif" w:hAnsi="Times New Roman;serif"/>
          <w:b w:val="false"/>
          <w:color w:val="000000"/>
          <w:sz w:val="20"/>
        </w:rPr>
        <w:t xml:space="preserve">2.5%, with interest payable monthly. </w:t>
      </w:r>
      <w:r>
        <w:rPr>
          <w:rFonts w:ascii="Times New Roman;serif" w:hAnsi="Times New Roman;serif"/>
          <w:b w:val="false"/>
          <w:color w:val="000000"/>
          <w:sz w:val="20"/>
          <w:shd w:fill="FFFFFF" w:val="clear"/>
        </w:rPr>
        <w:t xml:space="preserve">The loan matures on </w:t>
      </w:r>
      <w:r>
        <w:rPr>
          <w:rFonts w:ascii="Times New Roman;serif" w:hAnsi="Times New Roman;serif"/>
          <w:b w:val="false"/>
          <w:color w:val="000000"/>
          <w:sz w:val="20"/>
        </w:rPr>
        <w:t>February 9, 2027 and is used to pay operating expenses.</w:t>
      </w:r>
      <w:r>
        <w:rPr>
          <w:color w:val="000000"/>
          <w:shd w:fill="FFFFFF" w:val="clear"/>
        </w:rPr>
        <w:t xml:space="preserve">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left"/>
        <w:rPr/>
      </w:pPr>
      <w:r>
        <w:rPr/>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TextBody"/>
        <w:bidi w:val="0"/>
        <w:spacing w:before="120" w:after="283"/>
        <w:jc w:val="both"/>
        <w:rPr/>
      </w:pPr>
      <w:r>
        <w:rPr/>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9A. Controls and Procedures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Annual Report on Form 10-K.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w:t>
      </w:r>
      <w:r>
        <w:rPr>
          <w:color w:val="000000"/>
          <w:shd w:fill="FFFFFF" w:val="clear"/>
        </w:rPr>
        <w:t xml:space="preserve"> </w:t>
      </w:r>
      <w:r>
        <w:rPr>
          <w:rFonts w:ascii="Times New Roman;serif" w:hAnsi="Times New Roman;serif"/>
          <w:b w:val="false"/>
          <w:color w:val="000000"/>
          <w:sz w:val="20"/>
          <w:shd w:fill="FFFFFF" w:val="clear"/>
        </w:rPr>
        <w:t xml:space="preserve">our disclosure controls and procedures were effective as of </w:t>
      </w:r>
      <w:r>
        <w:rPr>
          <w:rFonts w:ascii="Times New Roman;serif" w:hAnsi="Times New Roman;serif"/>
          <w:b w:val="false"/>
          <w:color w:val="000000"/>
          <w:sz w:val="20"/>
        </w:rPr>
        <w:t xml:space="preserve">December 31, 2025.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including our Chief Executive Officer and Chief Financial Officer, is responsible for establishing and maintaining adequate internal control over financial reporting as defined in Rules 13a-15(f) and 15d-15(f) under the Exchange Act and based upon the criteria established in Internal Control-Integrated Framework (2013) issued by the Committee of Sponsoring Organizations of the Treadway Commission (the “COSO framework”). Our internal control over financial reporting is a process designed to provide reasonable assurance regarding the reliability of our financial reporting and the preparation of our financial statements for external purposes in accordance with U.S. GAAP.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have conducted an evaluation of the effectiveness of our internal control over financial reporting based on the COSO framework. Based on evaluation under these criteria, management determined that we maintained effective internal control over financial reporting as of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Deloitte &amp; Touche LLP, our independent registered public accounting firm, has audited the effectiveness of our internal control over financial reporting as of December 31, 2025 and has issued an attestation report on our internal controls over financial reporting, which is included herein.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Remediation of Previously Disclosed Material Weaknesses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Item 9A of our Annual Report on Form 10-K for the year ended December 31, 2024, management identified material weaknesses as of that date. The material weaknesses identified as of December 31, 2024 related to deficiencies in the control environment and control activities components of the COSO Framework that constitute material weaknesses, either individually or in the aggregate. In response to the material weaknesses, we implemented the following changes to our internal control over financial reporting: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Augmented our workforce with qualified personnel in both our accounting and information technology functions. We have appointed personnel that are qualified to assume responsibility for the design and operation of internal control over financial reporting and monitor the progress for remediation.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Revised and improved the design of our controls, implemented reviews and monitored the effectiveness of our internal control environment with external consultants with subject matter expertise, including</w:t>
      </w:r>
      <w:r>
        <w:rPr>
          <w:color w:val="000000"/>
        </w:rPr>
        <w:t xml:space="preserve"> </w:t>
      </w:r>
      <w:r>
        <w:rPr>
          <w:rFonts w:ascii="Times New Roman;serif" w:hAnsi="Times New Roman;serif"/>
          <w:b w:val="false"/>
          <w:color w:val="000000"/>
          <w:sz w:val="20"/>
        </w:rPr>
        <w:t>general information technology controls (GITCs).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Revised and implemented new controls, including updating documentation.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Expanded education and training, enforced accountability, and strengthened supervisory reviews by our management.</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Executed and monitored internal controls within our revenue and inventory processes.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Strengthened GITCs related to financial accounting and reporting systems and implemented monitoring controls as appropriate.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completed the testing of the design and operating effectiveness of the enhanced procedures and controls and, based on the results of this testing, as of December 31, 2025, we concluded that the controls are adequately designed and have operated effectively for a sufficient period of time to remediate the previously reported material weaknesses.</w:t>
      </w:r>
    </w:p>
    <w:p>
      <w:pPr>
        <w:pStyle w:val="TextBody"/>
        <w:bidi w:val="0"/>
        <w:spacing w:lineRule="auto" w:line="288" w:before="120" w:after="283"/>
        <w:jc w:val="both"/>
        <w:rPr/>
      </w:pPr>
      <w:r>
        <w:rPr>
          <w:rFonts w:ascii="Times New Roman;serif" w:hAnsi="Times New Roman;serif"/>
          <w:b/>
          <w:i/>
          <w:color w:val="000000"/>
          <w:sz w:val="20"/>
        </w:rPr>
        <w:t>Changes in Internal Control over Financial Reporting</w:t>
      </w:r>
      <w:r>
        <w:rPr>
          <w:color w:val="000000"/>
        </w:rPr>
        <w:t xml:space="preserve">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than the improvements to our internal control over financial reporting to remediate the material weaknesses discussed above, there was no change in our internal control over financial reporting that occurred during the quarter ended December 31, 2025 that materially affected, or were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Cytek Biosciences, Inc.</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Opinion on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 xml:space="preserve">We have audited the internal control over financial reporting of Cytek Biosciences,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20" w:after="283"/>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consolidated financial statements as of and for the year ended December 31, 2025, of the Company and our report dated </w:t>
      </w:r>
      <w:r>
        <w:rPr>
          <w:rFonts w:ascii="Times New Roman;serif" w:hAnsi="Times New Roman;serif"/>
          <w:b w:val="false"/>
          <w:color w:val="000000"/>
          <w:sz w:val="20"/>
          <w:shd w:fill="FFFFFF" w:val="clear"/>
        </w:rPr>
        <w:t>February 26, 2026,</w:t>
      </w:r>
      <w:r>
        <w:rPr>
          <w:color w:val="000000"/>
        </w:rPr>
        <w:t xml:space="preserve"> </w:t>
      </w:r>
      <w:r>
        <w:rPr>
          <w:rFonts w:ascii="Times New Roman;serif" w:hAnsi="Times New Roman;serif"/>
          <w:b w:val="false"/>
          <w:color w:val="000000"/>
          <w:sz w:val="20"/>
        </w:rPr>
        <w:t>expressed an unqualified opinion on those financial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480" w:after="283"/>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9B. Other Information</w:t>
      </w:r>
    </w:p>
    <w:p>
      <w:pPr>
        <w:pStyle w:val="TextBody"/>
        <w:bidi w:val="0"/>
        <w:spacing w:before="0" w:after="0"/>
        <w:ind w:left="0" w:right="0" w:firstLine="540"/>
        <w:jc w:val="both"/>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none of our directors and officers (as defined in Rule 16a-1(f) under the Exchange Act) adopted or terminated any “Rule 10-b5-1 trading arrangement” or “non-Rule 10b-5-1 trading arrangement,” as those terms are defined in Item 408 of Regulation S-K.</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definitive Proxy Statement for the 2026 Annual Meeting of Stockholders, which will be filed with the SEC no later than 120 days after December 31, 2025, under the captions “Information Regarding the Board of Directors and Corporate Governance,” “Election of Directors,” and “Executive Officers.”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Information regarding our Code of Business Conduct and Ethics, or the Code of Conduct, required by this item will be contained in our 2026 Proxy Statement under the caption “Information Regarding the Board of Directors and Corporate Governance - Code of Ethics,</w:t>
      </w:r>
      <w:r>
        <w:rPr>
          <w:color w:val="000000"/>
        </w:rPr>
        <w:t>”</w:t>
      </w:r>
      <w:r>
        <w:rPr>
          <w:color w:val="000000"/>
          <w:shd w:fill="FFFFFF" w:val="clear"/>
        </w:rPr>
        <w:t xml:space="preserve"> </w:t>
      </w:r>
      <w:r>
        <w:rPr>
          <w:rFonts w:ascii="Times New Roman;serif" w:hAnsi="Times New Roman;serif"/>
          <w:b w:val="false"/>
          <w:color w:val="000000"/>
          <w:sz w:val="20"/>
          <w:shd w:fill="FFFFFF" w:val="clear"/>
        </w:rPr>
        <w:t>and is hereby incorporated by reference. If we make any substantive amendments to the Code of Conduct or grant any waiver from a provision of the Code of Conduct to any executive officer or director, we will promptly disclose the nature of the amendment or waiver on its website. The full text of our Code of Conduct is available at the Investor Relations section of our website at https://investors.cytekbio.com. The reference to our website address does not constitute incorporation by reference of the information contained at or available through our website, and you should not consider it to be part of this Annual Report.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adopted an insider trading policy governing the purchase, sale, and other dispositions of our securities by our directors, officers and employees and by the Company itself. We believe this policy is reasonably designed to promote compliance with insider trading laws, rules and regulations and the listing standards of the Nasdaq Stock Market. A copy of our Insider Trading Policy is filed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definitive Proxy Statement for the 2026 Annual Meeting of Stockholders, which will be filed with the SEC no later than 120 days after December 31, 2025, under the captions “Executive Compensation” and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definitive Proxy Statement for the 2026 Annual Meeting of Stockholders, which will be filed with the SEC no later than 120 days after December 31, 2025, under the caption “Security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definitive Proxy Statement for the 2026 Annual Meeting of Stockholders, which will be filed with the SEC no later than 120 days after December 31, 2025, under the captions “Transactions with Related Persons” and “Independence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definitive Proxy Statement for the 2026 Annual Meeting of Stockholders, which will be filed with the SEC no later than 120 days after December 31, 2025, under the caption “Ratification of Selection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15. Exhibits and Financial Statement Schedules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this Annual Report on Form 10-K:</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filed as part of this Annual Report on Form 10-K are included in Part II, Item 8 of this Annual Report on Form 10-K.</w:t>
      </w:r>
    </w:p>
    <w:tbl>
      <w:tblPr>
        <w:tblW w:w="6555" w:type="dxa"/>
        <w:jc w:val="left"/>
        <w:tblInd w:w="0" w:type="dxa"/>
        <w:tblLayout w:type="fixed"/>
        <w:tblCellMar>
          <w:top w:w="28" w:type="dxa"/>
          <w:left w:w="28" w:type="dxa"/>
          <w:bottom w:w="28" w:type="dxa"/>
          <w:right w:w="28" w:type="dxa"/>
        </w:tblCellMar>
      </w:tblPr>
      <w:tblGrid>
        <w:gridCol w:w="2100"/>
        <w:gridCol w:w="1846"/>
        <w:gridCol w:w="2609"/>
      </w:tblGrid>
      <w:tr>
        <w:trPr/>
        <w:tc>
          <w:tcPr>
            <w:tcW w:w="210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91">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34)</w:t>
            </w:r>
          </w:p>
        </w:tc>
      </w:tr>
      <w:tr>
        <w:trPr/>
        <w:tc>
          <w:tcPr>
            <w:tcW w:w="65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94">
              <w:r>
                <w:rPr>
                  <w:rStyle w:val="InternetLink"/>
                  <w:rFonts w:ascii="Times New Roman;serif" w:hAnsi="Times New Roman;serif"/>
                  <w:b w:val="false"/>
                  <w:color w:val="0000FF"/>
                  <w:sz w:val="20"/>
                  <w:u w:val="single"/>
                </w:rPr>
                <w:t>Consolidated Balance Sheet</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97">
              <w:r>
                <w:rPr>
                  <w:rStyle w:val="InternetLink"/>
                  <w:rFonts w:ascii="Times New Roman;serif" w:hAnsi="Times New Roman;serif"/>
                  <w:b w:val="false"/>
                  <w:color w:val="0000FF"/>
                  <w:sz w:val="20"/>
                  <w:u w:val="single"/>
                </w:rPr>
                <w:t>Consolidated Statements of Operations and Comprehensive Loss</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00">
              <w:r>
                <w:rPr>
                  <w:rStyle w:val="InternetLink"/>
                  <w:rFonts w:ascii="Times New Roman;serif" w:hAnsi="Times New Roman;serif"/>
                  <w:b w:val="false"/>
                  <w:color w:val="0000FF"/>
                  <w:sz w:val="20"/>
                  <w:u w:val="single"/>
                </w:rPr>
                <w:t>Consolidated Statements of Stockholders' Equity</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03">
              <w:r>
                <w:rPr>
                  <w:rStyle w:val="InternetLink"/>
                  <w:rFonts w:ascii="Times New Roman;serif" w:hAnsi="Times New Roman;serif"/>
                  <w:b w:val="false"/>
                  <w:color w:val="0000FF"/>
                  <w:sz w:val="20"/>
                  <w:u w:val="single"/>
                </w:rPr>
                <w:t>Consolidated Statements of Cash Flows</w:t>
              </w:r>
            </w:hyperlink>
          </w:p>
        </w:tc>
      </w:tr>
      <w:tr>
        <w:trPr/>
        <w:tc>
          <w:tcPr>
            <w:tcW w:w="65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106">
              <w:r>
                <w:rPr>
                  <w:rStyle w:val="InternetLink"/>
                  <w:rFonts w:ascii="Times New Roman;serif" w:hAnsi="Times New Roman;serif"/>
                  <w:b w:val="false"/>
                  <w:color w:val="0000FF"/>
                  <w:sz w:val="20"/>
                  <w:u w:val="single"/>
                </w:rPr>
                <w:t>Notes to consolidated financial statements</w:t>
              </w:r>
            </w:hyperlink>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in this Annual Report on Form 10-K because they are not applicable, not required under the instructions or the information requested is set forth in the financial statements or related notes thereto in Part II, Item 8 of this Annual Report on Form 10-K.</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(3)List of Exhibits required by Item 601 of Regulation S-K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679"/>
        <w:gridCol w:w="1603"/>
        <w:gridCol w:w="1555"/>
        <w:gridCol w:w="109"/>
        <w:gridCol w:w="109"/>
        <w:gridCol w:w="109"/>
        <w:gridCol w:w="195"/>
        <w:gridCol w:w="195"/>
        <w:gridCol w:w="196"/>
        <w:gridCol w:w="360"/>
        <w:gridCol w:w="299"/>
        <w:gridCol w:w="210"/>
        <w:gridCol w:w="245"/>
        <w:gridCol w:w="245"/>
        <w:gridCol w:w="246"/>
        <w:gridCol w:w="258"/>
        <w:gridCol w:w="258"/>
        <w:gridCol w:w="260"/>
        <w:gridCol w:w="272"/>
        <w:gridCol w:w="272"/>
        <w:gridCol w:w="39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w:t>
              <w:br/>
              <w:t>Date</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Filed</w:t>
              <w:br/>
              <w:t>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Asset Purchase Agreement, dated February 13, 2023, by and between Cytek, Inc. and Luminex Corporation</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r:id="rId4">
              <w:r>
                <w:rPr>
                  <w:rStyle w:val="InternetLink"/>
                  <w:rFonts w:ascii="Times New Roman;serif" w:hAnsi="Times New Roman;serif"/>
                  <w:b w:val="false"/>
                  <w:color w:val="0000FF"/>
                  <w:sz w:val="20"/>
                  <w:u w:val="single"/>
                </w:rPr>
                <w:t>001-40632</w:t>
              </w:r>
            </w:hyperlink>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03/01/2023</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
              <w:r>
                <w:rPr>
                  <w:rStyle w:val="InternetLink"/>
                  <w:color w:val="0000FF"/>
                  <w:u w:val="single"/>
                </w:rPr>
                <w:t> </w:t>
              </w:r>
            </w:hyperlink>
            <w:hyperlink r:id="rId7">
              <w:r>
                <w:rPr>
                  <w:rStyle w:val="InternetLink"/>
                  <w:rFonts w:ascii="Times New Roman;serif" w:hAnsi="Times New Roman;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07/27/2021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color w:val="0000FF"/>
                  <w:u w:val="single"/>
                </w:rPr>
                <w:t> </w:t>
              </w:r>
            </w:hyperlink>
            <w:hyperlink r:id="rId10">
              <w:r>
                <w:rPr>
                  <w:rStyle w:val="InternetLink"/>
                  <w:rFonts w:ascii="Times New Roman;serif" w:hAnsi="Times New Roman;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07/27/2021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Reference is made to Exhibits 3.1 and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Form of common stock certificate of Cytek Biosciences,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2">
              <w:r>
                <w:rPr>
                  <w:rStyle w:val="InternetLink"/>
                  <w:rFonts w:ascii="Times New Roman;serif" w:hAnsi="Times New Roman;serif"/>
                  <w:b w:val="false"/>
                  <w:color w:val="0000FF"/>
                  <w:sz w:val="20"/>
                  <w:u w:val="single"/>
                </w:rPr>
                <w:t>333-257663</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07/19/2021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4">
              <w:r>
                <w:rPr>
                  <w:rStyle w:val="InternetLink"/>
                  <w:rFonts w:ascii="Times New Roman;serif" w:hAnsi="Times New Roman;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03/01/2023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Cytek Biosciences, Inc. 2015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6">
              <w:r>
                <w:rPr>
                  <w:rStyle w:val="InternetLink"/>
                  <w:rFonts w:ascii="Times New Roman;serif" w:hAnsi="Times New Roman;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07/02/2021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Forms of Option Agreement, Notice of Stock Option Grant and Exercise Notice under Cytek Biosciences, Inc.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8">
              <w:r>
                <w:rPr>
                  <w:rStyle w:val="InternetLink"/>
                  <w:rFonts w:ascii="Times New Roman;serif" w:hAnsi="Times New Roman;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07/02/2021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Cytek Biosciences, Inc.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0">
              <w:r>
                <w:rPr>
                  <w:rStyle w:val="InternetLink"/>
                  <w:rFonts w:ascii="Times New Roman;serif" w:hAnsi="Times New Roman;serif"/>
                  <w:b w:val="false"/>
                  <w:color w:val="0000FF"/>
                  <w:sz w:val="20"/>
                  <w:u w:val="single"/>
                </w:rPr>
                <w:t>333-257663</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07/19/2021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Forms of Option Agreement and Notice of Stock Option Grant under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br/>
              <w:t> </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2">
              <w:r>
                <w:rPr>
                  <w:rStyle w:val="InternetLink"/>
                  <w:rFonts w:ascii="Times New Roman;serif" w:hAnsi="Times New Roman;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07/19/2021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Forms of Restricted Stock Unit Grant Notice and Restricted Stock Unit Award Agreement under the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4">
              <w:r>
                <w:rPr>
                  <w:rStyle w:val="InternetLink"/>
                  <w:rFonts w:ascii="Times New Roman;serif" w:hAnsi="Times New Roman;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11/12/2021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Forms of Option Agreement and Notice of Stock Option Grant under 2021 Equity Incentive Plan, effective August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6">
              <w:r>
                <w:rPr>
                  <w:rStyle w:val="InternetLink"/>
                  <w:rFonts w:ascii="Times New Roman;serif" w:hAnsi="Times New Roman;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11/09/2022</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0dfad5bf94bc485da2c35b1f7484954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8"/>
        <w:gridCol w:w="192"/>
        <w:gridCol w:w="195"/>
        <w:gridCol w:w="109"/>
        <w:gridCol w:w="109"/>
        <w:gridCol w:w="109"/>
        <w:gridCol w:w="2269"/>
        <w:gridCol w:w="1933"/>
        <w:gridCol w:w="1939"/>
        <w:gridCol w:w="109"/>
        <w:gridCol w:w="109"/>
        <w:gridCol w:w="109"/>
        <w:gridCol w:w="137"/>
        <w:gridCol w:w="137"/>
        <w:gridCol w:w="139"/>
        <w:gridCol w:w="325"/>
        <w:gridCol w:w="241"/>
        <w:gridCol w:w="243"/>
        <w:gridCol w:w="189"/>
        <w:gridCol w:w="189"/>
        <w:gridCol w:w="193"/>
        <w:gridCol w:w="210"/>
        <w:gridCol w:w="210"/>
        <w:gridCol w:w="212"/>
        <w:gridCol w:w="109"/>
        <w:gridCol w:w="109"/>
        <w:gridCol w:w="162"/>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Forms of Restricted Stock Unit Grant Notice and Restricted Stock Unit Award Agreement under the 2021 Equity Incentive Plan, effective August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8">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Cytek Biosciences, Inc. 2021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0">
              <w:r>
                <w:rPr>
                  <w:rStyle w:val="InternetLink"/>
                  <w:rFonts w:ascii="Times New Roman;serif" w:hAnsi="Times New Roman;serif"/>
                  <w:b w:val="false"/>
                  <w:color w:val="0000FF"/>
                  <w:sz w:val="20"/>
                  <w:u w:val="single"/>
                </w:rPr>
                <w:t>333-257663</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07/19/2021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Form of Indemnification Agreement, by and between Cytek Biosciences, Inc.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2">
              <w:r>
                <w:rPr>
                  <w:rStyle w:val="InternetLink"/>
                  <w:rFonts w:ascii="Times New Roman;serif" w:hAnsi="Times New Roman;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07/19/2021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 xml:space="preserve">Offer letter, by and between Cytek Biosciences, Inc. and Valerie Barnett, dated January 12, 2021.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4">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05/09/2023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Offer letter, by and between Cytek Biosciences, Inc. and Allen Poirson, Ph.D., dated March 23,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6">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05/08/2024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Offer letter, by and between Cytek Biosciences, Inc. and William McCombe, dated March 18,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8">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03/19/2024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80"/>
                  <w:sz w:val="20"/>
                  <w:u w:val="single"/>
                </w:rPr>
                <w:t>O</w:t>
              </w:r>
            </w:hyperlink>
            <w:hyperlink r:id="rId40">
              <w:r>
                <w:rPr>
                  <w:rStyle w:val="InternetLink"/>
                  <w:rFonts w:ascii="Times New Roman;serif" w:hAnsi="Times New Roman;serif"/>
                  <w:b w:val="false"/>
                  <w:color w:val="000080"/>
                  <w:sz w:val="20"/>
                  <w:u w:val="single"/>
                </w:rPr>
                <w:t xml:space="preserve">ffer letter, by and between </w:t>
              </w:r>
            </w:hyperlink>
            <w:hyperlink r:id="rId41">
              <w:r>
                <w:rPr>
                  <w:rStyle w:val="InternetLink"/>
                  <w:rFonts w:ascii="Times New Roman;serif" w:hAnsi="Times New Roman;serif"/>
                  <w:b w:val="false"/>
                  <w:color w:val="000080"/>
                  <w:sz w:val="20"/>
                  <w:u w:val="single"/>
                </w:rPr>
                <w:t xml:space="preserve">Cytek Biosciences, Inc. and </w:t>
              </w:r>
            </w:hyperlink>
            <w:hyperlink r:id="rId42">
              <w:r>
                <w:rPr>
                  <w:rStyle w:val="InternetLink"/>
                  <w:rFonts w:ascii="Times New Roman;serif" w:hAnsi="Times New Roman;serif"/>
                  <w:b w:val="false"/>
                  <w:color w:val="000080"/>
                  <w:sz w:val="20"/>
                  <w:u w:val="single"/>
                </w:rPr>
                <w:t>Philippe Busque</w:t>
              </w:r>
            </w:hyperlink>
            <w:hyperlink r:id="rId43">
              <w:r>
                <w:rPr>
                  <w:rStyle w:val="InternetLink"/>
                  <w:rFonts w:ascii="Times New Roman;serif" w:hAnsi="Times New Roman;serif"/>
                  <w:b w:val="false"/>
                  <w:color w:val="000080"/>
                  <w:sz w:val="20"/>
                  <w:u w:val="single"/>
                </w:rPr>
                <w:t>, Ph.D., dated November 29,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4">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05/08/2025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Cytek Biosciences, Inc. Second Amended and Restated Severance Benefit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6">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05/08/2024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Supply Agreement between the Registrant and Cytek (Wuxi) Biosciences Co., Ltd, a China subsidiary of Cytek Biosciences, Inc., and Coherent NA, Inc. dated August 25,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48">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11/12/2021</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80"/>
                  <w:sz w:val="20"/>
                  <w:u w:val="single"/>
                </w:rPr>
                <w:t>C</w:t>
              </w:r>
            </w:hyperlink>
            <w:hyperlink r:id="rId50">
              <w:r>
                <w:rPr>
                  <w:rStyle w:val="InternetLink"/>
                  <w:rFonts w:ascii="Times New Roman;serif" w:hAnsi="Times New Roman;serif"/>
                  <w:b w:val="false"/>
                  <w:color w:val="000080"/>
                  <w:sz w:val="20"/>
                  <w:u w:val="single"/>
                </w:rPr>
                <w:t xml:space="preserve">ontract Amendment No. 1 to Supply Agreement among the Registrant, Cytek </w:t>
              </w:r>
            </w:hyperlink>
            <w:hyperlink r:id="rId51">
              <w:r>
                <w:rPr>
                  <w:rStyle w:val="InternetLink"/>
                  <w:rFonts w:ascii="Times New Roman;serif" w:hAnsi="Times New Roman;serif"/>
                  <w:b w:val="false"/>
                  <w:color w:val="000080"/>
                  <w:sz w:val="20"/>
                  <w:u w:val="single"/>
                </w:rPr>
                <w:t>(Wu</w:t>
              </w:r>
            </w:hyperlink>
            <w:hyperlink r:id="rId52">
              <w:r>
                <w:rPr>
                  <w:rStyle w:val="InternetLink"/>
                  <w:rFonts w:ascii="Times New Roman;serif" w:hAnsi="Times New Roman;serif"/>
                  <w:b w:val="false"/>
                  <w:color w:val="000080"/>
                  <w:sz w:val="20"/>
                  <w:u w:val="single"/>
                </w:rPr>
                <w:t xml:space="preserve">xi) Biosciences Co., Ltd., a China subsidiary of </w:t>
              </w:r>
            </w:hyperlink>
            <w:hyperlink r:id="rId53">
              <w:r>
                <w:rPr>
                  <w:rStyle w:val="InternetLink"/>
                  <w:rFonts w:ascii="Times New Roman;serif" w:hAnsi="Times New Roman;serif"/>
                  <w:b w:val="false"/>
                  <w:color w:val="000080"/>
                  <w:sz w:val="20"/>
                  <w:u w:val="single"/>
                </w:rPr>
                <w:t>Cytek Biosciences, Inc., Cytek Biosciences Pte. Ltd., a Singapore subsidiary of Cytek Biosciences, Inc., and Coherent NA, Inc. and certain of its affiliates, dated August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4">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11/05/2025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FF"/>
                  <w:sz w:val="20"/>
                  <w:u w:val="single"/>
                </w:rPr>
                <w:t>Supply and License Agreement, by and between Biotium, Inc. and Cytek Biosciences, Inc., dated as of September 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6">
              <w:r>
                <w:rPr>
                  <w:rStyle w:val="InternetLink"/>
                  <w:rFonts w:ascii="Times New Roman;serif" w:hAnsi="Times New Roman;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07/02/2021</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Settlement, License, and Equity Issuance Agreement, by and between Becton, Dickinson and Company and Cytek Biosciences, Inc., dated October 5,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8">
              <w:r>
                <w:rPr>
                  <w:rStyle w:val="InternetLink"/>
                  <w:rFonts w:ascii="Times New Roman;serif" w:hAnsi="Times New Roman;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07/02/2021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FF"/>
                  <w:sz w:val="20"/>
                  <w:u w:val="single"/>
                </w:rPr>
                <w:t>Lease, by and between SNH Medical Office Properties Trust and Cytek Biosciences, Inc., dated November 20,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0">
              <w:r>
                <w:rPr>
                  <w:rStyle w:val="InternetLink"/>
                  <w:rFonts w:ascii="Times New Roman;serif" w:hAnsi="Times New Roman;serif"/>
                  <w:b w:val="false"/>
                  <w:color w:val="0000FF"/>
                  <w:sz w:val="20"/>
                  <w:u w:val="single"/>
                </w:rPr>
                <w:t>333-257663</w:t>
              </w:r>
            </w:hyperlink>
          </w:p>
          <w:p>
            <w:pPr>
              <w:pStyle w:val="TableContents"/>
              <w:bidi w:val="0"/>
              <w:spacing w:lineRule="auto" w:line="288" w:before="0" w:after="0"/>
              <w:jc w:val="center"/>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07/02/2021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FF"/>
                  <w:sz w:val="20"/>
                  <w:u w:val="single"/>
                </w:rPr>
                <w:t>First Amendment to Lease, by and between DHC ZB Properties LLC and Cytek Biosciences, Inc., dated October 28,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2">
              <w:r>
                <w:rPr>
                  <w:rStyle w:val="InternetLink"/>
                  <w:rFonts w:ascii="Times New Roman;serif" w:hAnsi="Times New Roman;serif"/>
                  <w:b w:val="false"/>
                  <w:color w:val="0000FF"/>
                  <w:sz w:val="20"/>
                  <w:u w:val="single"/>
                </w:rPr>
                <w:t>001-40632</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02/28/2025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FF"/>
                  <w:sz w:val="20"/>
                  <w:u w:val="single"/>
                </w:rPr>
                <w:t>Equity Distribution Agreement, by and between the Company and Piper Sandler &amp; Co. dated August 26,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4">
              <w:r>
                <w:rPr>
                  <w:rStyle w:val="InternetLink"/>
                  <w:rFonts w:ascii="Times New Roman;serif" w:hAnsi="Times New Roman;serif"/>
                  <w:b w:val="false"/>
                  <w:color w:val="0000FF"/>
                  <w:sz w:val="20"/>
                  <w:u w:val="single"/>
                </w:rPr>
                <w:t>333-267118</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08/26/2022</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91insidertradingpo.htm">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ctkb20251231-sub.htm">
              <w:r>
                <w:rPr>
                  <w:rStyle w:val="InternetLink"/>
                  <w:rFonts w:ascii="Times New Roman;serif" w:hAnsi="Times New Roman;serif"/>
                  <w:b w:val="false"/>
                  <w:color w:val="0000FF"/>
                  <w:sz w:val="20"/>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0dfad5bf94bc485da2c35b1f7484954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0"/>
        <w:gridCol w:w="193"/>
        <w:gridCol w:w="195"/>
        <w:gridCol w:w="109"/>
        <w:gridCol w:w="109"/>
        <w:gridCol w:w="109"/>
        <w:gridCol w:w="2273"/>
        <w:gridCol w:w="2032"/>
        <w:gridCol w:w="2038"/>
        <w:gridCol w:w="109"/>
        <w:gridCol w:w="109"/>
        <w:gridCol w:w="109"/>
        <w:gridCol w:w="139"/>
        <w:gridCol w:w="139"/>
        <w:gridCol w:w="140"/>
        <w:gridCol w:w="250"/>
        <w:gridCol w:w="250"/>
        <w:gridCol w:w="252"/>
        <w:gridCol w:w="109"/>
        <w:gridCol w:w="109"/>
        <w:gridCol w:w="109"/>
        <w:gridCol w:w="234"/>
        <w:gridCol w:w="234"/>
        <w:gridCol w:w="235"/>
        <w:gridCol w:w="109"/>
        <w:gridCol w:w="109"/>
        <w:gridCol w:w="162"/>
      </w:tblGrid>
      <w:tr>
        <w:trPr/>
        <w:tc>
          <w:tcPr>
            <w:tcW w:w="2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1deloittecytek202.htm">
              <w:r>
                <w:rPr>
                  <w:rStyle w:val="InternetLink"/>
                  <w:rFonts w:ascii="Times New Roman;serif" w:hAnsi="Times New Roman;serif"/>
                  <w:b w:val="false"/>
                  <w:color w:val="0000FF"/>
                  <w:sz w:val="20"/>
                  <w:u w:val="single"/>
                </w:rPr>
                <w:t>Consent of Deloitte &amp; Touche LLP, independent registered public accounting firm.</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fad5bf94bc485da2c35b1f74849545_226">
              <w:r>
                <w:rPr>
                  <w:rStyle w:val="InternetLink"/>
                  <w:rFonts w:ascii="Times New Roman;serif" w:hAnsi="Times New Roman;serif"/>
                  <w:b w:val="false"/>
                  <w:color w:val="0000FF"/>
                  <w:sz w:val="20"/>
                  <w:u w:val="single"/>
                </w:rPr>
                <w:t>Power of Attorney (incorporated by reference to the signatures page of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51231ex311.htm">
              <w:r>
                <w:rPr>
                  <w:rStyle w:val="InternetLink"/>
                  <w:rFonts w:ascii="Times New Roman;serif" w:hAnsi="Times New Roman;serif"/>
                  <w:b w:val="false"/>
                  <w:color w:val="0000FF"/>
                  <w:sz w:val="20"/>
                  <w:u w:val="single"/>
                </w:rPr>
                <w:t>Certification of Principal Executive Officer required by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51231ex312.htm">
              <w:r>
                <w:rPr>
                  <w:rStyle w:val="InternetLink"/>
                  <w:rFonts w:ascii="Times New Roman;serif" w:hAnsi="Times New Roman;serif"/>
                  <w:b w:val="false"/>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51231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tkb-20251231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FF"/>
                  <w:sz w:val="20"/>
                  <w:u w:val="single"/>
                </w:rPr>
                <w:t>Cytek Biosciences, Inc. 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5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66">
              <w:r>
                <w:rPr>
                  <w:rStyle w:val="InternetLink"/>
                  <w:rFonts w:ascii="Times New Roman;serif" w:hAnsi="Times New Roman;serif"/>
                  <w:b w:val="false"/>
                  <w:color w:val="0000FF"/>
                  <w:sz w:val="20"/>
                  <w:u w:val="single"/>
                </w:rPr>
                <w:t>001-40632</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03/13/2024</w:t>
            </w:r>
          </w:p>
        </w:tc>
        <w:tc>
          <w:tcPr>
            <w:tcW w:w="38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+Pursuant to Item 601(b)(10) of Regulation S-K, portions of this exhibit have been omitted, as the Registrant has determined that the omitted information is both (i) not material and (ii) the type that the Registrant treats as private and confidential.</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*As contemplated by SEC Release No. 33-8212, these exhibits are furnished with this Annual Report on Form 10-K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917" w:type="dxa"/>
        <w:jc w:val="left"/>
        <w:tblInd w:w="0" w:type="dxa"/>
        <w:tblLayout w:type="fixed"/>
        <w:tblCellMar>
          <w:top w:w="28" w:type="dxa"/>
          <w:left w:w="28" w:type="dxa"/>
          <w:bottom w:w="28" w:type="dxa"/>
          <w:right w:w="28" w:type="dxa"/>
        </w:tblCellMar>
      </w:tblPr>
      <w:tblGrid>
        <w:gridCol w:w="754"/>
        <w:gridCol w:w="664"/>
        <w:gridCol w:w="667"/>
        <w:gridCol w:w="321"/>
        <w:gridCol w:w="321"/>
        <w:gridCol w:w="321"/>
        <w:gridCol w:w="1126"/>
        <w:gridCol w:w="1126"/>
        <w:gridCol w:w="161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Cytek Biosciences,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Wenbin Jiang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McCombe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William McCombe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120" w:after="120"/>
        <w:jc w:val="left"/>
        <w:rPr/>
      </w:pPr>
      <w:hyperlink w:anchor="i0dfad5bf94bc485da2c35b1f74849545_7">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Wenbin Jiang, William McCombe and Valerie Barnett, and each or any one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attorneys-in-facts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substitutes, may lawfully do or cause to be done by virtue hereof.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123" w:type="dxa"/>
        <w:jc w:val="left"/>
        <w:tblInd w:w="0" w:type="dxa"/>
        <w:tblLayout w:type="fixed"/>
        <w:tblCellMar>
          <w:top w:w="28" w:type="dxa"/>
          <w:left w:w="28" w:type="dxa"/>
          <w:bottom w:w="28" w:type="dxa"/>
          <w:right w:w="28" w:type="dxa"/>
        </w:tblCellMar>
      </w:tblPr>
      <w:tblGrid>
        <w:gridCol w:w="695"/>
        <w:gridCol w:w="608"/>
        <w:gridCol w:w="617"/>
        <w:gridCol w:w="109"/>
        <w:gridCol w:w="109"/>
        <w:gridCol w:w="109"/>
        <w:gridCol w:w="1299"/>
        <w:gridCol w:w="1299"/>
        <w:gridCol w:w="1316"/>
        <w:gridCol w:w="109"/>
        <w:gridCol w:w="109"/>
        <w:gridCol w:w="109"/>
        <w:gridCol w:w="477"/>
        <w:gridCol w:w="477"/>
        <w:gridCol w:w="681"/>
      </w:tblGrid>
      <w:tr>
        <w:trPr/>
        <w:tc>
          <w:tcPr>
            <w:tcW w:w="69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Wenbin Jiang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Wenbin Jiang,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McCombe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William McCombe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Ming 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Ming Yan,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Jack Ball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Jack Ball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Richard 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Richard Chin,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Michael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Michael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Vera Imper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Vera Imper,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Deborah Neff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Deborah Neff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2238375" cy="676275"/>
            <wp:effectExtent l="0" t="0" r="0" b="0"/>
            <wp:docPr id="1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 descr=""/>
                    <pic:cNvPicPr>
                      <a:picLocks noChangeAspect="1" noChangeArrowheads="1"/>
                    </pic:cNvPicPr>
                  </pic:nvPicPr>
                  <pic:blipFill>
                    <a:blip r:embed="rId67"/>
                    <a:stretch>
                      <a:fillRect/>
                    </a:stretch>
                  </pic:blipFill>
                  <pic:spPr bwMode="auto">
                    <a:xfrm>
                      <a:off x="0" y="0"/>
                      <a:ext cx="2238375" cy="676275"/>
                    </a:xfrm>
                    <a:prstGeom prst="rect">
                      <a:avLst/>
                    </a:prstGeom>
                  </pic:spPr>
                </pic:pic>
              </a:graphicData>
            </a:graphic>
          </wp:inline>
        </w:drawing>
      </w:r>
      <w:r>
        <w:rPr>
          <w:color w:val="000000"/>
        </w:rPr>
        <w:t>    </w:t>
      </w: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before="0" w:after="0"/>
        <w:jc w:val="left"/>
        <w:rPr/>
      </w:pPr>
      <w:r>
        <w:rPr/>
      </w:r>
    </w:p>
    <w:p>
      <w:pPr>
        <w:pStyle w:val="TextBody"/>
        <w:bidi w:val="0"/>
        <w:spacing w:lineRule="auto" w:line="288" w:before="120" w:after="283"/>
        <w:ind w:left="0" w:right="0" w:firstLine="540"/>
        <w:jc w:val="center"/>
        <w:rPr>
          <w:rFonts w:ascii="Times New Roman;serif" w:hAnsi="Times New Roman;serif"/>
          <w:b/>
          <w:color w:val="000000"/>
          <w:sz w:val="24"/>
        </w:rPr>
      </w:pPr>
      <w:r>
        <w:rPr>
          <w:rFonts w:ascii="Times New Roman;serif" w:hAnsi="Times New Roman;serif"/>
          <w:b/>
          <w:color w:val="000000"/>
          <w:sz w:val="24"/>
        </w:rPr>
        <w:t>APPROVED BY THE BOARD OF DIRECTORS ON JUNE 30, 2021; AMENDED BY THE NOMINATING AND CORPORATE GOVERNANCE COMMITTEE ON MAY 24, 2022 AND MAY 21, 2025</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w:t>
      </w:r>
    </w:p>
    <w:p>
      <w:pPr>
        <w:pStyle w:val="TextBody"/>
        <w:bidi w:val="0"/>
        <w:spacing w:lineRule="auto" w:line="268" w:before="0" w:after="0"/>
        <w:ind w:left="0" w:right="0" w:firstLine="914"/>
        <w:jc w:val="center"/>
        <w:rPr>
          <w:rFonts w:ascii="Times New Roman;serif" w:hAnsi="Times New Roman;serif"/>
          <w:b/>
          <w:color w:val="000000"/>
          <w:sz w:val="24"/>
        </w:rPr>
      </w:pPr>
      <w:r>
        <w:rPr>
          <w:rFonts w:ascii="Times New Roman;serif" w:hAnsi="Times New Roman;serif"/>
          <w:b/>
          <w:color w:val="000000"/>
          <w:sz w:val="24"/>
        </w:rPr>
        <w:t>PURPOSE</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4"/>
        </w:rPr>
        <w:t>This Insider Trading Policy (the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 determines acceptable transactions in the securities of Cytek Biosciences, Inc. (together with its subsidiaries, the “</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Cytek</w:t>
      </w:r>
      <w:r>
        <w:rPr>
          <w:color w:val="000000"/>
        </w:rPr>
        <w:t>”</w:t>
      </w:r>
      <w:r>
        <w:rPr>
          <w:rFonts w:ascii="Times New Roman;serif" w:hAnsi="Times New Roman;serif"/>
          <w:b w:val="false"/>
          <w:color w:val="000000"/>
          <w:sz w:val="24"/>
        </w:rPr>
        <w:t>) by our employees, directors and certain consultants. During the course of your employment, directorship or consultancy, as applicable, with the Company, you may receive material information that is not yet publicly available (“</w:t>
      </w:r>
      <w:r>
        <w:rPr>
          <w:rFonts w:ascii="Times New Roman;serif" w:hAnsi="Times New Roman;serif"/>
          <w:b/>
          <w:i/>
          <w:color w:val="000000"/>
          <w:sz w:val="24"/>
        </w:rPr>
        <w:t>Material Non-Public Information</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MNPI</w:t>
      </w:r>
      <w:r>
        <w:rPr>
          <w:color w:val="000000"/>
        </w:rPr>
        <w:t>”</w:t>
      </w:r>
      <w:r>
        <w:rPr>
          <w:rFonts w:ascii="Times New Roman;serif" w:hAnsi="Times New Roman;serif"/>
          <w:b w:val="false"/>
          <w:color w:val="000000"/>
          <w:sz w:val="24"/>
        </w:rPr>
        <w:t>), about the Company or about other publicly-traded companies with which the Company has business dealings. Because of your access to this Material Non-Public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serif" w:hAnsi="Times New Roman;serif"/>
          <w:b/>
          <w:i/>
          <w:color w:val="000000"/>
          <w:sz w:val="24"/>
        </w:rPr>
        <w:t>tippee</w:t>
      </w:r>
      <w:r>
        <w:rPr>
          <w:color w:val="000000"/>
        </w:rPr>
        <w:t>”</w:t>
      </w:r>
      <w:r>
        <w:rPr>
          <w:rFonts w:ascii="Times New Roman;serif" w:hAnsi="Times New Roman;serif"/>
          <w:b w:val="false"/>
          <w:color w:val="000000"/>
          <w:sz w:val="24"/>
        </w:rPr>
        <w:t>). Cytek opposes the unauthorized disclosure of any Material Non-Public Information acquired in the course of your service with the Company and the misuse of MNPI in securities trading. Any such actions will be deemed violations of this Policy.</w:t>
      </w:r>
    </w:p>
    <w:p>
      <w:pPr>
        <w:pStyle w:val="TextBody"/>
        <w:bidi w:val="0"/>
        <w:spacing w:before="0" w:after="0"/>
        <w:jc w:val="left"/>
        <w:rPr/>
      </w:pPr>
      <w:r>
        <w:rPr/>
      </w:r>
    </w:p>
    <w:p>
      <w:pPr>
        <w:pStyle w:val="TextBody"/>
        <w:bidi w:val="0"/>
        <w:spacing w:lineRule="auto" w:line="268" w:before="0" w:after="0"/>
        <w:ind w:left="0" w:right="0" w:firstLine="914"/>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Scope</w: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val="false"/>
          <w:color w:val="000000"/>
          <w:sz w:val="24"/>
        </w:rPr>
        <w:t>This Policy applies to all Cytek employees, directors and consultants (as may be determined by the Head of the Company’s Legal Department (“</w:t>
      </w:r>
      <w:r>
        <w:rPr>
          <w:rFonts w:ascii="Times New Roman;serif" w:hAnsi="Times New Roman;serif"/>
          <w:b/>
          <w:i/>
          <w:color w:val="000000"/>
          <w:sz w:val="24"/>
        </w:rPr>
        <w:t>Legal Officer</w:t>
      </w:r>
      <w:r>
        <w:rPr>
          <w:color w:val="000000"/>
        </w:rPr>
        <w:t>”</w:t>
      </w:r>
      <w:r>
        <w:rPr>
          <w:rFonts w:ascii="Times New Roman;serif" w:hAnsi="Times New Roman;serif"/>
          <w:b w:val="false"/>
          <w:color w:val="000000"/>
          <w:sz w:val="24"/>
        </w:rPr>
        <w:t>)), their respective family members and other household members, and all companies controlled by those covered by this Policy (“</w:t>
      </w:r>
      <w:r>
        <w:rPr>
          <w:rFonts w:ascii="Times New Roman;serif" w:hAnsi="Times New Roman;serif"/>
          <w:b/>
          <w:i/>
          <w:color w:val="000000"/>
          <w:sz w:val="24"/>
        </w:rPr>
        <w:t>Covered Persons</w:t>
      </w:r>
      <w:r>
        <w:rPr>
          <w:color w:val="000000"/>
        </w:rPr>
        <w:t>”</w:t>
      </w:r>
      <w:r>
        <w:rPr>
          <w:rFonts w:ascii="Times New Roman;serif" w:hAnsi="Times New Roman;serif"/>
          <w:b w:val="false"/>
          <w:color w:val="000000"/>
          <w:sz w:val="24"/>
        </w:rPr>
        <w:t xml:space="preserve">). Except for the limited exceptions provided below, this Policy applies to all transactions involving the securities of the Company or the securities of other companies as to which you possess Material Non-Public Information obtained in the course of your service with the Company. This Policy therefore applies to purchases, sales and other transfers of common stock, options, warrants, preferred stock, debt securities (such as debentures, bonds and notes) and other securities, and any arrangements that affect economic exposure to changes in the prices of these securities, such as transactions in derivative securities (such as exchange-traded put or call options), hedging transactions, short sales and certain decisions with respect to participation in benefit plans. This Policy also applies to any offers with respect to the transactions discussed above. You should note that the prohibition against insider trading is absolute; there are no exceptions from insider trading laws or this Policy based on the size of the transaction or because a transaction may be necessary or justifiable for independent reasons (such as the need to raise money for an emergency expenditure). The U.S. federal securities laws do not recognize any mitigating circumstances to insider trading.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Securities Transactions</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4"/>
        </w:rPr>
        <w:t>Use of Material Non-Public Information by someone for personal gain, or to pass on the MNPI (“</w:t>
      </w:r>
      <w:r>
        <w:rPr>
          <w:rFonts w:ascii="Times New Roman;serif" w:hAnsi="Times New Roman;serif"/>
          <w:b/>
          <w:i/>
          <w:color w:val="000000"/>
          <w:sz w:val="24"/>
        </w:rPr>
        <w:t>tipping</w:t>
      </w:r>
      <w:r>
        <w:rPr>
          <w:color w:val="000000"/>
        </w:rPr>
        <w:t>”</w:t>
      </w:r>
      <w:r>
        <w:rPr>
          <w:rFonts w:ascii="Times New Roman;serif" w:hAnsi="Times New Roman;serif"/>
          <w:b w:val="false"/>
          <w:color w:val="000000"/>
          <w:sz w:val="24"/>
        </w:rPr>
        <w:t>) to someone who uses it for personal gain (“</w:t>
      </w:r>
      <w:r>
        <w:rPr>
          <w:rFonts w:ascii="Times New Roman;serif" w:hAnsi="Times New Roman;serif"/>
          <w:b/>
          <w:i/>
          <w:color w:val="000000"/>
          <w:sz w:val="24"/>
        </w:rPr>
        <w:t>tippee</w:t>
      </w:r>
      <w:r>
        <w:rPr>
          <w:color w:val="000000"/>
        </w:rPr>
        <w:t>”</w:t>
      </w:r>
      <w:r>
        <w:rPr>
          <w:rFonts w:ascii="Times New Roman;serif" w:hAnsi="Times New Roman;serif"/>
          <w:b w:val="false"/>
          <w:color w:val="000000"/>
          <w:sz w:val="24"/>
        </w:rPr>
        <w:t>), is illegal and is therefore prohibited. You can be held liable both for your own transactions and for transactions effected by a tippee, or even a tippee of a tippee. Furthermore, it is important that the appearance of insider trading in securities be avoided to preserve Cytek’s reputation for adhering to the highest standards of conduct.</w:t>
      </w:r>
    </w:p>
    <w:p>
      <w:pPr>
        <w:pStyle w:val="TextBody"/>
        <w:bidi w:val="0"/>
        <w:spacing w:before="120" w:after="283"/>
        <w:ind w:left="0" w:right="0" w:firstLine="54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Material Non-Public Information</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4"/>
        </w:rPr>
        <w:t>As a practical matter, it is sometimes difficult to determine whether you possess Material Non-Public Information. The key to determining whether information you possess about a public company is Material Non-Public Information is whether dissemination of the information would likely affect the market price of the company’s securities or would likely be considered important, or “</w:t>
      </w:r>
      <w:r>
        <w:rPr>
          <w:rFonts w:ascii="Times New Roman;serif" w:hAnsi="Times New Roman;serif"/>
          <w:b/>
          <w:i/>
          <w:color w:val="000000"/>
          <w:sz w:val="24"/>
        </w:rPr>
        <w:t>material</w:t>
      </w:r>
      <w:r>
        <w:rPr>
          <w:rFonts w:ascii="Times New Roman;serif" w:hAnsi="Times New Roman;serif"/>
          <w:b w:val="false"/>
          <w:color w:val="000000"/>
          <w:sz w:val="24"/>
        </w:rPr>
        <w:t>,” by investors who are considering trading in that company’s securities. Certainly, if the information makes you want to trade, it would probably have the same effect on others. Remember, both positive and negative information can be material. There is no bright-line standard for assessing materiality; rather, materiality is based on an assessment of all of the facts and circumstances, and is often evaluated by relevant enforcement authorities with the benefit of hindsight. If you possess Material Non-Public Information, you may not trade in a company’s stock, advise anyone else to do so or communicate the information to anyone else until you know that the information has been publicly disseminated. You may never recommend to another person that he or she buy, hold or sell our stock. This means that in some circumstances, you may have to forego a proposed transaction in a company’s securities even if you planned to execute the transaction prior to learning of the Material Non-Public Information and even though you believe you may suffer an economic loss or sacrifice an anticipated profit by waiting. “</w:t>
      </w:r>
      <w:r>
        <w:rPr>
          <w:rFonts w:ascii="Times New Roman;serif" w:hAnsi="Times New Roman;serif"/>
          <w:b/>
          <w:i/>
          <w:color w:val="000000"/>
          <w:sz w:val="24"/>
        </w:rPr>
        <w:t>Trading</w:t>
      </w:r>
      <w:r>
        <w:rPr>
          <w:color w:val="000000"/>
        </w:rPr>
        <w:t xml:space="preserve">” </w:t>
      </w:r>
      <w:r>
        <w:rPr>
          <w:rFonts w:ascii="Times New Roman;serif" w:hAnsi="Times New Roman;serif"/>
          <w:b w:val="false"/>
          <w:color w:val="000000"/>
          <w:sz w:val="24"/>
        </w:rPr>
        <w:t>includes engaging in short sales, transactions in put or call options, hedging transactions and other inherently speculative transactions.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You may not participate in “chat rooms” or other electronic discussion groups or contribute to blogs, bulletin boards or social media forums on the Internet concerning the activities of Cytek or other companies with which Cytek does business, even if you do so anonymously, unless doing so is part of your job responsibilities and you have explicit authorization from the Legal Officer or Chief Financial Officer.</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Although by no means an all-inclusive list, information about the following items may be considered to be inside information until it is publicly disseminated:</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financial results, financial condition, earnings pre-announcements, business plans, budgets, guidance, projections or forecasts, particularly if inconsistent with the Company’s guidance;</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material new product introductions, modifications, defects or recalls or significant pricing changes or other product announcements of a significant nature;</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creation of significant financial obligations, or any significant default under or acceleration of any financial obligation;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scientific, technology, legal or regulatory developments or results;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(g)    major personnel changes, such as changes in senior management or lay-offs;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possible tender offers or proxy fights;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restatements of financial results, or significant impairments or writeoffs;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(j)    significant litigation or related settlements;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(k)    impending bankruptcy or financial liquidity problems;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(l)    gain or loss of significant contracts or relationships with customers, distributors, licensors, licensees or suppliers;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(m)    changes in independent auditors, notification that the Company may no longer rely on an audit report or other accounting restatement;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    licensing or other corporate partner relationships;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(o)    significant developments in research and development or relating to intellectual property;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(p)    the existence of a special blackout period.</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 xml:space="preserve">For information to be considered publicly disseminated, it must be widely disclosed through a press release or SEC filing, and a sufficient amount of time must have passed to allow the information to be fully absorbed by the investing public. Generally speaking, information will be considered publicly disseminated after two full trading days have elapsed since the date of public disclosure of the information. The term “trading day” means a day on which U.S. national stock exchanges are open for trading. A “full” trading day has elapsed when, after the public disclosure, trading in the relevant security has opened and then closed. For example, if an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announcement of Material Non-Public Information of which you were aware was made prior to trading on Wednesday, then you may execute a transaction in the Company’s securities on Friday. Depending on the particular circumstances, Cytek may determine that a longer or shorter waiting period should apply to the release of specific Material Non-Public Information.</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Confidentiality of Inside Information</w:t>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All employees and consultants of the Company are required to sign and comply with a confidentiality agreement in connection with commencement of service to the Company. 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 You must use all reasonable efforts to safeguard nonpublic information in the Company’s possession.</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Stock Trading by Covered Persons</w:t>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We require that all Covered Persons limit their transactions in the Company’s stock to defined time periods following public dissemination of quarterly and annual financial results and observe other restrictions designed to minimize the risk of apparent or actual insider trading.</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color w:val="000000"/>
          <w:sz w:val="24"/>
        </w:rPr>
      </w:pPr>
      <w:r>
        <w:rPr>
          <w:rFonts w:ascii="Times New Roman;serif" w:hAnsi="Times New Roman;serif"/>
          <w:b/>
          <w:color w:val="000000"/>
          <w:sz w:val="24"/>
        </w:rPr>
        <w:t>Trading Window</w:t>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Generally, except as set forth in this Policy, all Covered Persons may buy or sell securities of the Company only during an open “trading window” that opens two full trading days after the public dissemination of the Company’s annual or quarterly financial results and closes on the fifteenth (15th) calendar day of the last month of each fiscal quarter. The trading window may be closed early, may not open or a special blackout period may be implemented (i.e., the trading window closes) if, in the judgment of the Company’s (i) Chief Executive Officer and (ii) Legal Officer or Chief Financial Officer, there exists undisclosed information that would make trades by Covered Persons inappropriate. It is important to note that the fact that the trading window has closed early or has not opened should be considered Material Non-Public Information and should not be communicated to any unauthorized person. Trading during a closed trading window is not allowed regardless of extenuating circumstances. Of course, even during an open trading window period, you may not (unless an exception applies) conduct any trades in Cytek’s securities if you are in possession of Material Non-Public Information.</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color w:val="000000"/>
          <w:sz w:val="24"/>
        </w:rPr>
      </w:pPr>
      <w:r>
        <w:rPr>
          <w:rFonts w:ascii="Times New Roman;serif" w:hAnsi="Times New Roman;serif"/>
          <w:b/>
          <w:color w:val="000000"/>
          <w:sz w:val="24"/>
        </w:rPr>
        <w:t>Exceptions to Trading Window Restrictions</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color w:val="000000"/>
          <w:sz w:val="24"/>
        </w:rPr>
        <w:t>1. ESPP/Option Exercises</w:t>
      </w:r>
      <w:r>
        <w:rPr>
          <w:rFonts w:ascii="Times New Roman;serif" w:hAnsi="Times New Roman;serif"/>
          <w:b w:val="false"/>
          <w:color w:val="000000"/>
          <w:sz w:val="24"/>
        </w:rPr>
        <w:t>. Employees who are eligible to do so may purchase stock under the Company’s Employee Stock Purchase Plan (“</w:t>
      </w:r>
      <w:r>
        <w:rPr>
          <w:rFonts w:ascii="Times New Roman;serif" w:hAnsi="Times New Roman;serif"/>
          <w:b/>
          <w:i/>
          <w:color w:val="000000"/>
          <w:sz w:val="24"/>
        </w:rPr>
        <w:t>ESPP</w:t>
      </w:r>
      <w:r>
        <w:rPr>
          <w:color w:val="000000"/>
        </w:rPr>
        <w:t>”</w:t>
      </w:r>
      <w:r>
        <w:rPr>
          <w:rFonts w:ascii="Times New Roman;serif" w:hAnsi="Times New Roman;serif"/>
          <w:b w:val="false"/>
          <w:color w:val="000000"/>
          <w:sz w:val="24"/>
        </w:rPr>
        <w:t xml:space="preserve">) on periodic designated dates in accordance with the ESPP without restriction to any particular period. Covered Persons may exercise options for cash granted under the Company’s stock option plans without restriction to any particular period. However, the subsequent sale of the stock (including sales of stock in a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cashless exercise) acquired upon the exercise of options or pursuant to the ESPP is subject to all provisions of this Policy.</w:t>
      </w:r>
    </w:p>
    <w:p>
      <w:pPr>
        <w:pStyle w:val="TextBody"/>
        <w:bidi w:val="0"/>
        <w:spacing w:before="0" w:after="0"/>
        <w:ind w:left="0" w:right="0" w:firstLine="720"/>
        <w:jc w:val="left"/>
        <w:rPr/>
      </w:pPr>
      <w:r>
        <w:rPr/>
      </w:r>
    </w:p>
    <w:p>
      <w:pPr>
        <w:pStyle w:val="TextBody"/>
        <w:bidi w:val="0"/>
        <w:spacing w:lineRule="auto" w:line="288" w:before="120" w:after="283"/>
        <w:ind w:left="0" w:right="0" w:firstLine="540"/>
        <w:jc w:val="left"/>
        <w:rPr/>
      </w:pPr>
      <w:r>
        <w:rPr>
          <w:rFonts w:ascii="Times New Roman;serif" w:hAnsi="Times New Roman;serif"/>
          <w:b/>
          <w:color w:val="000000"/>
          <w:sz w:val="24"/>
        </w:rPr>
        <w:t>2.    10b5-1 Automatic Trading Programs</w:t>
      </w:r>
      <w:r>
        <w:rPr>
          <w:rFonts w:ascii="Times New Roman;serif" w:hAnsi="Times New Roman;serif"/>
          <w:b w:val="false"/>
          <w:color w:val="000000"/>
          <w:sz w:val="24"/>
        </w:rPr>
        <w:t>. In addition, purchases or sales of the Company’s securities made pursuant to, and in compliance with, a written plan established by a director or executive officer or other member of management that meets the requirements of Rule 10b5-1 under the Securities Exchange Act of 1934, as amended (the “</w:t>
      </w:r>
      <w:r>
        <w:rPr>
          <w:rFonts w:ascii="Times New Roman;serif" w:hAnsi="Times New Roman;serif"/>
          <w:b/>
          <w:i/>
          <w:color w:val="000000"/>
          <w:sz w:val="24"/>
        </w:rPr>
        <w:t>Exchange Act</w:t>
      </w:r>
      <w:r>
        <w:rPr>
          <w:color w:val="000000"/>
        </w:rPr>
        <w:t>”</w:t>
      </w:r>
      <w:r>
        <w:rPr>
          <w:rFonts w:ascii="Times New Roman;serif" w:hAnsi="Times New Roman;serif"/>
          <w:b w:val="false"/>
          <w:color w:val="000000"/>
          <w:sz w:val="24"/>
        </w:rPr>
        <w:t>) (a “</w:t>
      </w:r>
      <w:r>
        <w:rPr>
          <w:rFonts w:ascii="Times New Roman;serif" w:hAnsi="Times New Roman;serif"/>
          <w:b/>
          <w:i/>
          <w:color w:val="000000"/>
          <w:sz w:val="24"/>
        </w:rPr>
        <w:t>Trading Plan</w:t>
      </w:r>
      <w:r>
        <w:rPr>
          <w:color w:val="000000"/>
        </w:rPr>
        <w:t>”</w:t>
      </w:r>
      <w:r>
        <w:rPr>
          <w:rFonts w:ascii="Times New Roman;serif" w:hAnsi="Times New Roman;serif"/>
          <w:b w:val="false"/>
          <w:color w:val="000000"/>
          <w:sz w:val="24"/>
        </w:rPr>
        <w:t>) may be made without restriction to any particular period provided that (i) the Trading Plan was established in good faith, in compliance with the requirements of Rule 10b5-1 and the Company’s internal policy relating to Trading Plans, at the time when such individual was not in possession of Material Non-Public Information about the Company and the Company’s trading window is open, and (ii) the Trading Plan was reviewed and approved by the Legal Officer prior to establishment, solely to confirm compliance with this Policy and the securities laws. Any amendment or termination of an effective Trading Plan must be approved by the Legal Officer.</w:t>
      </w:r>
    </w:p>
    <w:p>
      <w:pPr>
        <w:pStyle w:val="TextBody"/>
        <w:bidi w:val="0"/>
        <w:spacing w:before="0" w:after="0"/>
        <w:ind w:left="0" w:right="0" w:firstLine="720"/>
        <w:jc w:val="left"/>
        <w:rPr/>
      </w:pPr>
      <w:r>
        <w:rPr/>
      </w:r>
    </w:p>
    <w:p>
      <w:pPr>
        <w:pStyle w:val="TextBody"/>
        <w:bidi w:val="0"/>
        <w:spacing w:lineRule="auto" w:line="288" w:before="120" w:after="283"/>
        <w:ind w:left="0" w:right="0" w:firstLine="540"/>
        <w:jc w:val="left"/>
        <w:rPr/>
      </w:pPr>
      <w:r>
        <w:rPr>
          <w:rFonts w:ascii="Times New Roman;serif" w:hAnsi="Times New Roman;serif"/>
          <w:b/>
          <w:color w:val="000000"/>
          <w:sz w:val="24"/>
        </w:rPr>
        <w:t>3.    Receipt and vesting of equity awards</w:t>
      </w:r>
      <w:r>
        <w:rPr>
          <w:rFonts w:ascii="Times New Roman;serif" w:hAnsi="Times New Roman;serif"/>
          <w:b w:val="false"/>
          <w:color w:val="000000"/>
          <w:sz w:val="24"/>
        </w:rPr>
        <w:t>. The trading restrictions under this Policy do not apply to the grant or award to you of equity awards. This Policy also does not apply to the vesting, cancellation or forfeiture of equity awards in accordance with applicable plans and agreements. However, the trading restrictions do apply to any subsequent sales of any such securities.</w:t>
      </w:r>
    </w:p>
    <w:p>
      <w:pPr>
        <w:pStyle w:val="TextBody"/>
        <w:bidi w:val="0"/>
        <w:spacing w:before="0" w:after="0"/>
        <w:ind w:left="0" w:right="0" w:firstLine="720"/>
        <w:jc w:val="left"/>
        <w:rPr/>
      </w:pPr>
      <w:r>
        <w:rPr/>
      </w:r>
    </w:p>
    <w:p>
      <w:pPr>
        <w:pStyle w:val="TextBody"/>
        <w:bidi w:val="0"/>
        <w:spacing w:lineRule="auto" w:line="288" w:before="120" w:after="283"/>
        <w:ind w:left="0" w:right="0" w:firstLine="540"/>
        <w:jc w:val="left"/>
        <w:rPr/>
      </w:pPr>
      <w:r>
        <w:rPr>
          <w:rFonts w:ascii="Times New Roman;serif" w:hAnsi="Times New Roman;serif"/>
          <w:b/>
          <w:color w:val="000000"/>
          <w:sz w:val="24"/>
        </w:rPr>
        <w:t>4.    Change in Form of Ownership</w:t>
      </w:r>
      <w:r>
        <w:rPr>
          <w:rFonts w:ascii="Times New Roman;serif" w:hAnsi="Times New Roman;serif"/>
          <w:b w:val="false"/>
          <w:color w:val="000000"/>
          <w:sz w:val="24"/>
        </w:rPr>
        <w:t xml:space="preserve">. Transactions that involve merely a change in the form in which you own securities are permissible. For example, you may transfer shares to an </w:t>
      </w:r>
      <w:r>
        <w:rPr>
          <w:rFonts w:ascii="Times New Roman;serif" w:hAnsi="Times New Roman;serif"/>
          <w:b w:val="false"/>
          <w:i/>
          <w:color w:val="000000"/>
          <w:sz w:val="24"/>
        </w:rPr>
        <w:t xml:space="preserve">inter vivos </w:t>
      </w:r>
      <w:r>
        <w:rPr>
          <w:rFonts w:ascii="Times New Roman;serif" w:hAnsi="Times New Roman;serif"/>
          <w:b w:val="false"/>
          <w:color w:val="000000"/>
          <w:sz w:val="24"/>
        </w:rPr>
        <w:t>trust of which you are the sole beneficiary during your lifetime.</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color w:val="000000"/>
          <w:sz w:val="24"/>
        </w:rPr>
        <w:t>5. Domestic Relations Order</w:t>
      </w:r>
      <w:r>
        <w:rPr>
          <w:rFonts w:ascii="Times New Roman;serif" w:hAnsi="Times New Roman;serif"/>
          <w:b w:val="false"/>
          <w:color w:val="000000"/>
          <w:sz w:val="24"/>
        </w:rPr>
        <w:t>. This Policy does not apply to the acquisition or disposition of securities pursuant to a domestic relations order, as defined in the Internal Revenue Code of 1986, as amended, or Title I of the Employee Retirement Income Security Act of 1974, as amended, or the rules thereunder.</w:t>
      </w:r>
    </w:p>
    <w:p>
      <w:pPr>
        <w:pStyle w:val="TextBody"/>
        <w:bidi w:val="0"/>
        <w:spacing w:before="120" w:after="283"/>
        <w:ind w:left="0" w:right="0" w:firstLine="540"/>
        <w:jc w:val="both"/>
        <w:rPr/>
      </w:pPr>
      <w:r>
        <w:rPr/>
      </w:r>
    </w:p>
    <w:p>
      <w:pPr>
        <w:pStyle w:val="TextBody"/>
        <w:bidi w:val="0"/>
        <w:spacing w:lineRule="auto" w:line="288" w:before="120" w:after="283"/>
        <w:ind w:left="0" w:right="0" w:firstLine="540"/>
        <w:jc w:val="both"/>
        <w:rPr/>
      </w:pPr>
      <w:r>
        <w:rPr>
          <w:rFonts w:ascii="Times New Roman;serif" w:hAnsi="Times New Roman;serif"/>
          <w:b/>
          <w:color w:val="000000"/>
          <w:sz w:val="24"/>
        </w:rPr>
        <w:t xml:space="preserve">6. Other Exceptions. </w:t>
      </w:r>
      <w:r>
        <w:rPr>
          <w:rFonts w:ascii="Times New Roman;serif" w:hAnsi="Times New Roman;serif"/>
          <w:b w:val="false"/>
          <w:color w:val="000000"/>
          <w:sz w:val="24"/>
        </w:rPr>
        <w:t>Any other exception from this Policy must be approved by the Board of Directors or an independent committee of the Board of Directors in consultation with the Legal Officer.</w:t>
      </w:r>
    </w:p>
    <w:p>
      <w:pPr>
        <w:pStyle w:val="TextBody"/>
        <w:bidi w:val="0"/>
        <w:spacing w:before="120" w:after="283"/>
        <w:ind w:left="0" w:right="0" w:firstLine="540"/>
        <w:jc w:val="both"/>
        <w:rPr/>
      </w:pPr>
      <w:r>
        <w:rPr/>
      </w:r>
    </w:p>
    <w:p>
      <w:pPr>
        <w:pStyle w:val="TextBody"/>
        <w:bidi w:val="0"/>
        <w:spacing w:lineRule="auto" w:line="288" w:before="120" w:after="283"/>
        <w:ind w:left="0" w:right="0" w:firstLine="540"/>
        <w:jc w:val="left"/>
        <w:rPr>
          <w:rFonts w:ascii="Times New Roman;serif" w:hAnsi="Times New Roman;serif"/>
          <w:b/>
          <w:color w:val="000000"/>
          <w:sz w:val="24"/>
        </w:rPr>
      </w:pPr>
      <w:r>
        <w:rPr>
          <w:rFonts w:ascii="Times New Roman;serif" w:hAnsi="Times New Roman;serif"/>
          <w:b/>
          <w:color w:val="000000"/>
          <w:sz w:val="24"/>
        </w:rPr>
        <w:t>Pre-Clearance of Transactions</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4"/>
        </w:rPr>
        <w:t xml:space="preserve">In addition to the requirements of above, the individuals listed on </w:t>
      </w:r>
      <w:r>
        <w:rPr>
          <w:rFonts w:ascii="Times New Roman;serif" w:hAnsi="Times New Roman;serif"/>
          <w:b/>
          <w:color w:val="000000"/>
          <w:sz w:val="24"/>
        </w:rPr>
        <w:t xml:space="preserve">Exhibit A </w:t>
      </w:r>
      <w:r>
        <w:rPr>
          <w:rFonts w:ascii="Times New Roman;serif" w:hAnsi="Times New Roman;serif"/>
          <w:b w:val="false"/>
          <w:color w:val="000000"/>
          <w:sz w:val="24"/>
        </w:rPr>
        <w:t>attached hereto, as may be amended from time to time by the Legal Officer (“</w:t>
      </w:r>
      <w:r>
        <w:rPr>
          <w:rFonts w:ascii="Times New Roman;serif" w:hAnsi="Times New Roman;serif"/>
          <w:b/>
          <w:i/>
          <w:color w:val="000000"/>
          <w:sz w:val="24"/>
        </w:rPr>
        <w:t>Pre-Clearance Persons</w:t>
      </w:r>
      <w:r>
        <w:rPr>
          <w:color w:val="000000"/>
        </w:rPr>
        <w:t>”</w:t>
      </w:r>
      <w:r>
        <w:rPr>
          <w:rFonts w:ascii="Times New Roman;serif" w:hAnsi="Times New Roman;serif"/>
          <w:b w:val="false"/>
          <w:color w:val="000000"/>
          <w:sz w:val="24"/>
        </w:rPr>
        <w:t>), must first obtain pre-clearance of any potential transaction from the Legal Officer or Chief Financial Officer (the “</w:t>
      </w:r>
      <w:r>
        <w:rPr>
          <w:rFonts w:ascii="Times New Roman;serif" w:hAnsi="Times New Roman;serif"/>
          <w:b/>
          <w:i/>
          <w:color w:val="000000"/>
          <w:sz w:val="24"/>
        </w:rPr>
        <w:t>Clearing Officer</w:t>
      </w:r>
      <w:r>
        <w:rPr>
          <w:color w:val="000000"/>
        </w:rPr>
        <w:t>”</w:t>
      </w:r>
      <w:r>
        <w:rPr>
          <w:rFonts w:ascii="Times New Roman;serif" w:hAnsi="Times New Roman;serif"/>
          <w:b w:val="false"/>
          <w:color w:val="000000"/>
          <w:sz w:val="24"/>
        </w:rPr>
        <w:t xml:space="preserve">) by completing the pre-clearance form attached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4"/>
        </w:rPr>
        <w:t xml:space="preserve">as </w:t>
      </w:r>
      <w:r>
        <w:rPr>
          <w:rFonts w:ascii="Times New Roman;serif" w:hAnsi="Times New Roman;serif"/>
          <w:b/>
          <w:color w:val="000000"/>
          <w:sz w:val="24"/>
        </w:rPr>
        <w:t xml:space="preserve">Exhibit B </w:t>
      </w:r>
      <w:r>
        <w:rPr>
          <w:rFonts w:ascii="Times New Roman;serif" w:hAnsi="Times New Roman;serif"/>
          <w:b w:val="false"/>
          <w:color w:val="000000"/>
          <w:sz w:val="24"/>
        </w:rPr>
        <w:t>and submitting the same to the Clearing Officer at least two business days in advance of the proposed transaction; provided, however, Pre-Clearance Persons who are not subject to the reporting obligations under Section 16 of the Exchange Act are not required to obtain pre-clearance approval for transactions that are exempt from trading window restrictions. In the event pre-clearance approval is required, the Clearing Officer will determine whether the transaction may proceed and, if so, will direct the Compliance Coordinator (as identified in the Company’s Section 16 Compliance Program) to assist in complying with the reporting requirements under Section 16(a) of the Exchange Act, if any. The Clearing Officer shall not clear his/her own transactions and may not engage in a transaction involving the Company’s securities unless the transaction has been pre-cleared by the Chief Executive Officer, Chief Financial Officer or Legal Officer, as the case may be. Pre-cleared transactions not completed within five trading days from the approval date shall require new pre-clearance under the provisions of this paragraph. The Company may, at its discretion, shorten such period of time.</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These pre-clearance procedures are intended to decrease insider trading risks associated with transactions by individuals with regular or special access to Material Non-Public Information and ensure compliance with applicable laws on resale restrictions and the reporting obligations under Section 16 of the Exchange Act of officers and directors. Pre-clearance of a trade, however, is not a defense to a claim of insider trading and does not excuse you from otherwise complying with insider trading laws or this Policy. Further, pre-clearance of a transaction does not constitute an affirmation by the Company or the Clearing Officer that you are not in possession of Material Non-Public Information. The Clearing Officer is under no obligation to approve a transaction submitted for pre-clearance, and may determine not to permit the transaction.</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Advance notice of gifts or an intent to exercise an outstanding stock option shall be given to a Clearing Officer. To the extent possible, advance notice of upcoming transactions to be effected pursuant to an established Trading Plan shall also be given to a Clearing Officer. Upon completion of any transaction, the applicable directors, employees or consultants must immediately notify the Compliance Coordinator and any other individuals identified in Section 3 of the Company’s Section 16 Compliance Program so that the Company may assist in any Section 16 reporting obligations.</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color w:val="000000"/>
          <w:sz w:val="24"/>
        </w:rPr>
      </w:pPr>
      <w:r>
        <w:rPr>
          <w:rFonts w:ascii="Times New Roman;serif" w:hAnsi="Times New Roman;serif"/>
          <w:b/>
          <w:color w:val="000000"/>
          <w:sz w:val="24"/>
        </w:rPr>
        <w:t>Prohibition of Speculative or Short-Term Trading</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No Covered Person may engage in short sales, transactions in put or call options, hedging transactions, margin accounts, pledges, or other inherently speculative transactions with respect to the Company’s stock at any time.</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color w:val="000000"/>
          <w:sz w:val="24"/>
        </w:rPr>
      </w:pPr>
      <w:r>
        <w:rPr>
          <w:rFonts w:ascii="Times New Roman;serif" w:hAnsi="Times New Roman;serif"/>
          <w:b/>
          <w:color w:val="000000"/>
          <w:sz w:val="24"/>
        </w:rPr>
        <w:t>Short-Swing Trading/Control Stock/Section 16 Reports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 xml:space="preserve">Officers and directors subject to the reporting obligations under Section 16 of the Exchange Act should take care not to violate the prohibition on short-swing trading (Section 16(b)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Duration Of Policy’s Applicability</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This Policy applies to transactions by Covered Persons in the Company’s securities or the securities of other public companies engaged in business transactions with the Company so long as you continue to provide services to the Company. Please note that the securities laws continue to apply to your securities transactions after your relationship with the Company concludes. Accordingly, if you are in possession of Material Non-Public Information when your relationship with the Company concludes, you should not trade in the Company’s securities or the securities of such other public companies engaged in business transactions with the Company until the information has been publicly disseminated or is no longer material. The ultimate responsibility for complying with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Penalties</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4"/>
        </w:rPr>
        <w:t xml:space="preserve">Anyone who effects transactions in the Company’s securities or the securities of other public companies engaged in business transactions with the Company (or provides information to enable others to do so) on the basis of Material Non-Public Information is subject to both civil liability and criminal penalties, as well as disciplinary action by the Company. If the Company has a reasonable basis to conclude that an employee, director, or consultant has failed to comply with this Policy, such person may be subject to disciplinary action by the Company, up to and including dismissal for cause if the person is an employee, or subject to termination of services if the person is a director or consultant, regardless of whether or not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 A Covered Person who has questions about this policy should contact his or her own attorney, the Legal Officer. Please also see Frequently Asked Questions attached hereto as </w:t>
      </w:r>
      <w:r>
        <w:rPr>
          <w:rFonts w:ascii="Times New Roman;serif" w:hAnsi="Times New Roman;serif"/>
          <w:b/>
          <w:color w:val="000000"/>
          <w:sz w:val="24"/>
        </w:rPr>
        <w:t>Exhibit C</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Additional Information</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color w:val="000000"/>
          <w:sz w:val="24"/>
        </w:rPr>
      </w:pPr>
      <w:r>
        <w:rPr>
          <w:rFonts w:ascii="Times New Roman;serif" w:hAnsi="Times New Roman;serif"/>
          <w:b/>
          <w:color w:val="000000"/>
          <w:sz w:val="24"/>
        </w:rPr>
        <w:t>Delivery of Policy</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will be delivered to all existing directors, employees and certain consultants of the Company (as may be determined by the Legal Officer) promptly following its adoption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to all new directors, employees and certain consultants (as may be determined by the Legal Officer) when they commence service with the Company. Each director, employee and applicable consultant of the Company is required to acknowledge that he or she understands this Policy.</w: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color w:val="000000"/>
          <w:sz w:val="24"/>
        </w:rPr>
      </w:pPr>
      <w:r>
        <w:rPr>
          <w:rFonts w:ascii="Times New Roman;serif" w:hAnsi="Times New Roman;serif"/>
          <w:b/>
          <w:color w:val="000000"/>
          <w:sz w:val="24"/>
        </w:rPr>
        <w:t>Amendments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4"/>
        </w:rPr>
      </w:pPr>
      <w:r>
        <w:rPr>
          <w:rFonts w:ascii="Times New Roman;serif" w:hAnsi="Times New Roman;serif"/>
          <w:b w:val="false"/>
          <w:color w:val="000000"/>
          <w:sz w:val="24"/>
        </w:rPr>
        <w:t>We are committed to continuously reviewing and updating our policies and procedures. The Company therefore reserves the right to amend, alter or terminate this Policy at any time and for any reason, subject to applicable law and approval by the Company’s the Board of Directors or an independent committee of the Board of Directors. For the avoidance of doubt, immaterial updates or changes to the Policy will not require such approval. A current copy of the Company’s policies may be obtained by contacting the Legal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17"/>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left"/>
        <w:rPr/>
      </w:pPr>
      <w:r>
        <w:rPr/>
      </w:r>
    </w:p>
    <w:p>
      <w:pPr>
        <w:pStyle w:val="TextBody"/>
        <w:bidi w:val="0"/>
        <w:ind w:left="0" w:right="0" w:firstLine="914"/>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914"/>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left"/>
        <w:rPr/>
      </w:pPr>
      <w:r>
        <w:rPr/>
      </w:r>
    </w:p>
    <w:p>
      <w:pPr>
        <w:pStyle w:val="TextBody"/>
        <w:bidi w:val="0"/>
        <w:spacing w:lineRule="auto" w:line="268" w:before="0" w:after="0"/>
        <w:ind w:left="0" w:right="0" w:firstLine="914"/>
        <w:jc w:val="center"/>
        <w:rPr>
          <w:rFonts w:ascii="Times New Roman;serif" w:hAnsi="Times New Roman;serif"/>
          <w:b/>
          <w:color w:val="000000"/>
          <w:sz w:val="24"/>
        </w:rPr>
      </w:pPr>
      <w:r>
        <w:rPr>
          <w:rFonts w:ascii="Times New Roman;serif" w:hAnsi="Times New Roman;serif"/>
          <w:b/>
          <w:color w:val="000000"/>
          <w:sz w:val="24"/>
        </w:rPr>
        <w:t>Individuals Subject to Pre-Clearance Requirements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819"/>
        <w:jc w:val="center"/>
        <w:rPr>
          <w:rFonts w:ascii="Times New Roman;serif" w:hAnsi="Times New Roman;serif"/>
          <w:b w:val="false"/>
          <w:color w:val="000000"/>
          <w:sz w:val="24"/>
        </w:rPr>
      </w:pPr>
      <w:r>
        <w:rPr>
          <w:rFonts w:ascii="Times New Roman;serif" w:hAnsi="Times New Roman;serif"/>
          <w:b w:val="false"/>
          <w:color w:val="000000"/>
          <w:sz w:val="24"/>
        </w:rPr>
        <w:t>Maintained by the Legal Officer</w:t>
      </w:r>
    </w:p>
    <w:p>
      <w:pPr>
        <w:pStyle w:val="TextBody"/>
        <w:bidi w:val="0"/>
        <w:spacing w:before="0" w:after="0"/>
        <w:jc w:val="left"/>
        <w:rPr/>
      </w:pPr>
      <w:r>
        <w:rPr/>
      </w:r>
    </w:p>
    <w:p>
      <w:pPr>
        <w:pStyle w:val="TextBody"/>
        <w:bidi w:val="0"/>
        <w:spacing w:lineRule="auto" w:line="268"/>
        <w:ind w:left="0" w:right="0" w:firstLine="914"/>
        <w:jc w:val="center"/>
        <w:rPr>
          <w:rFonts w:ascii="Times New Roman;serif" w:hAnsi="Times New Roman;serif"/>
          <w:b/>
          <w:color w:val="000000"/>
          <w:sz w:val="24"/>
        </w:rPr>
      </w:pPr>
      <w:r>
        <w:rPr>
          <w:rFonts w:ascii="Times New Roman;serif" w:hAnsi="Times New Roman;serif"/>
          <w:b/>
          <w:color w:val="000000"/>
          <w:sz w:val="24"/>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914"/>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left"/>
        <w:rPr/>
      </w:pPr>
      <w:r>
        <w:rPr/>
      </w:r>
    </w:p>
    <w:p>
      <w:pPr>
        <w:pStyle w:val="TextBody"/>
        <w:bidi w:val="0"/>
        <w:spacing w:lineRule="auto" w:line="268" w:before="0" w:after="0"/>
        <w:ind w:left="0" w:right="0" w:firstLine="914"/>
        <w:jc w:val="center"/>
        <w:rPr>
          <w:rFonts w:ascii="Times New Roman;serif" w:hAnsi="Times New Roman;serif"/>
          <w:b/>
          <w:color w:val="000000"/>
          <w:sz w:val="24"/>
        </w:rPr>
      </w:pPr>
      <w:r>
        <w:rPr>
          <w:rFonts w:ascii="Times New Roman;serif" w:hAnsi="Times New Roman;serif"/>
          <w:b/>
          <w:color w:val="000000"/>
          <w:sz w:val="24"/>
        </w:rPr>
        <w:t>Pre-Clearance Form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To: Clearing Officer of </w:t>
      </w:r>
      <w:r>
        <w:rPr>
          <w:rFonts w:ascii="Times New Roman;serif" w:hAnsi="Times New Roman;serif"/>
          <w:b/>
          <w:color w:val="000000"/>
          <w:sz w:val="24"/>
        </w:rPr>
        <w:t xml:space="preserve">Cytek Biosciences, Inc. </w:t>
      </w:r>
      <w:r>
        <w:rPr>
          <w:rFonts w:ascii="Times New Roman;serif" w:hAnsi="Times New Roman;serif"/>
          <w:b w:val="false"/>
          <w:color w:val="000000"/>
          <w:sz w:val="24"/>
        </w:rPr>
        <w:t>(the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4"/>
        </w:rPr>
        <w:t xml:space="preserve">In connection with my proposal to execute a transaction in securities of the Company, the general terms of which are set forth below, on or about </w:t>
      </w:r>
      <w:r>
        <w:rPr>
          <w:rFonts w:ascii="Times New Roman;serif" w:hAnsi="Times New Roman;serif"/>
          <w:b w:val="false"/>
          <w:color w:val="000000"/>
          <w:sz w:val="24"/>
          <w:u w:val="single"/>
        </w:rPr>
        <w:t>_____________</w:t>
      </w:r>
      <w:r>
        <w:rPr>
          <w:rFonts w:ascii="Times New Roman;serif" w:hAnsi="Times New Roman;serif"/>
          <w:b w:val="false"/>
          <w:color w:val="000000"/>
          <w:sz w:val="24"/>
        </w:rPr>
        <w:t>, I hereby request that the Company pre-clear the proposed transaction pursuant to the Company’s Insider Trading Policy (the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 I hereby certify that that I have carefully read and understand the Policy and all other applicable materials provided by the Company and that:</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I am not aware of any material nonpublic information about the Company and will not enter into the transaction if I come into possession of material nonpublic information about the Company between the date hereof and the proposed execution date;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To the best of my knowledge, the proposed transaction complies with the Policy and any other criteria established by the Company with respect to such transaction;</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I agree to advise the Company promptly if, as a result of future developments, any of the foregoing information becomes inaccurate or incomplete in any respect. I understand that the Company may require additional information about the transaction, and agree to provide such information upon request; and</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I have not entered into or altered a corresponding or hedging transaction or position with respect to the Company’s securities subject to the proposed transaction and I hereby agree not to enter into any such transaction pursuant to this request;</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I hereby confirm that I shall not engage in any short-swing trading i.e. buying and selling (or selling and buying) Company securities within a six-month time frame;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I give the Company express permission to publicly disclose information regarding the proposed transaction; and</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Upon executing a transaction, I will immediately notify the Company in order to allow timely filing of a Form 4, as applicable,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general nature of the transaction is as follows:</w:t>
      </w:r>
    </w:p>
    <w:p>
      <w:pPr>
        <w:pStyle w:val="TextBody"/>
        <w:bidi w:val="0"/>
        <w:spacing w:before="0" w:after="0"/>
        <w:jc w:val="left"/>
        <w:rPr/>
      </w:pPr>
      <w:r>
        <w:rPr/>
      </w:r>
    </w:p>
    <w:p>
      <w:pPr>
        <w:pStyle w:val="TextBody"/>
        <w:bidi w:val="0"/>
        <w:spacing w:lineRule="auto" w:line="288" w:before="120" w:after="283"/>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Purchase or sell shares of the Company’s common stock in the open market</w:t>
      </w:r>
    </w:p>
    <w:p>
      <w:pPr>
        <w:pStyle w:val="TextBody"/>
        <w:bidi w:val="0"/>
        <w:spacing w:before="120" w:after="283"/>
        <w:ind w:left="0" w:right="0" w:firstLine="90"/>
        <w:jc w:val="left"/>
        <w:rPr/>
      </w:pPr>
      <w:r>
        <w:rPr/>
      </w:r>
    </w:p>
    <w:p>
      <w:pPr>
        <w:pStyle w:val="TextBody"/>
        <w:bidi w:val="0"/>
        <w:spacing w:lineRule="auto" w:line="288" w:before="120" w:after="283"/>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Employee Stock Purchase Plan (enroll, make investment change or discontinue participation)</w:t>
      </w:r>
    </w:p>
    <w:p>
      <w:pPr>
        <w:pStyle w:val="TextBody"/>
        <w:bidi w:val="0"/>
        <w:spacing w:before="120" w:after="283"/>
        <w:ind w:left="0" w:right="0" w:firstLine="90"/>
        <w:jc w:val="left"/>
        <w:rPr/>
      </w:pPr>
      <w:r>
        <w:rPr/>
      </w:r>
    </w:p>
    <w:p>
      <w:pPr>
        <w:pStyle w:val="TextBody"/>
        <w:bidi w:val="0"/>
        <w:spacing w:lineRule="auto" w:line="288" w:before="120" w:after="283"/>
        <w:ind w:left="0" w:right="0" w:firstLine="90"/>
        <w:jc w:val="left"/>
        <w:rPr>
          <w:rFonts w:ascii="Times New Roman;serif" w:hAnsi="Times New Roman;serif"/>
          <w:b w:val="false"/>
          <w:color w:val="000000"/>
          <w:sz w:val="24"/>
        </w:rPr>
      </w:pPr>
      <w:r>
        <w:rPr>
          <w:rFonts w:ascii="Times New Roman;serif" w:hAnsi="Times New Roman;serif"/>
          <w:b w:val="false"/>
          <w:color w:val="000000"/>
          <w:sz w:val="24"/>
        </w:rPr>
        <w:t>Transfer the Company’s common stock to another person (includes family members)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Other [explain]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 acknowledge and agree that clearance of a transaction is valid only for a period of five trading days. If the transaction is not placed within that period, clearance of the transaction must be re-requested.</w:t>
      </w:r>
    </w:p>
    <w:p>
      <w:pPr>
        <w:pStyle w:val="TextBody"/>
        <w:bidi w:val="0"/>
        <w:spacing w:before="0" w:after="0"/>
        <w:jc w:val="left"/>
        <w:rPr/>
      </w:pPr>
      <w:r>
        <w:rPr/>
      </w:r>
    </w:p>
    <w:p>
      <w:pPr>
        <w:pStyle w:val="TextBody"/>
        <w:bidi w:val="0"/>
        <w:spacing w:before="0" w:after="0"/>
        <w:jc w:val="left"/>
        <w:rPr/>
      </w:pPr>
      <w:r>
        <w:rPr/>
        <w:drawing>
          <wp:inline distT="0" distB="0" distL="0" distR="0">
            <wp:extent cx="5943600" cy="2133600"/>
            <wp:effectExtent l="0" t="0" r="0" b="0"/>
            <wp:docPr id="1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3" descr=""/>
                    <pic:cNvPicPr>
                      <a:picLocks noChangeAspect="1" noChangeArrowheads="1"/>
                    </pic:cNvPicPr>
                  </pic:nvPicPr>
                  <pic:blipFill>
                    <a:blip r:embed="rId68"/>
                    <a:stretch>
                      <a:fillRect/>
                    </a:stretch>
                  </pic:blipFill>
                  <pic:spPr bwMode="auto">
                    <a:xfrm>
                      <a:off x="0" y="0"/>
                      <a:ext cx="5943600" cy="21336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THE TRADE MUST OCCUR ON OR BEFORE</w:t>
      </w:r>
      <w:r>
        <w:rPr>
          <w:color w:val="000000"/>
          <w:u w:val="single"/>
        </w:rPr>
        <w:t xml:space="preserve"> </w:t>
      </w:r>
      <w:r>
        <w:rPr>
          <w:rFonts w:ascii="Times New Roman;serif" w:hAnsi="Times New Roman;serif"/>
          <w:b/>
          <w:color w:val="000000"/>
          <w:sz w:val="24"/>
        </w:rPr>
        <w:t>.</w:t>
      </w:r>
    </w:p>
    <w:p>
      <w:pPr>
        <w:pStyle w:val="TextBody"/>
        <w:bidi w:val="0"/>
        <w:ind w:left="0" w:right="0" w:firstLine="501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9" w:before="0" w:after="0"/>
        <w:ind w:left="0" w:right="0" w:firstLine="5010"/>
        <w:jc w:val="center"/>
        <w:rPr>
          <w:rFonts w:ascii="Times New Roman;serif" w:hAnsi="Times New Roman;serif"/>
          <w:b/>
          <w:color w:val="000000"/>
          <w:sz w:val="24"/>
        </w:rPr>
      </w:pPr>
      <w:r>
        <w:rPr>
          <w:rFonts w:ascii="Times New Roman;serif" w:hAnsi="Times New Roman;serif"/>
          <w:b/>
          <w:color w:val="000000"/>
          <w:sz w:val="24"/>
        </w:rPr>
        <w:t xml:space="preserve">EXHIBIT C </w:t>
      </w:r>
    </w:p>
    <w:p>
      <w:pPr>
        <w:pStyle w:val="TextBody"/>
        <w:bidi w:val="0"/>
        <w:spacing w:lineRule="auto" w:line="489" w:before="0" w:after="0"/>
        <w:ind w:left="0" w:right="0" w:firstLine="5010"/>
        <w:jc w:val="center"/>
        <w:rPr>
          <w:rFonts w:ascii="Times New Roman;serif" w:hAnsi="Times New Roman;serif"/>
          <w:b/>
          <w:color w:val="000000"/>
          <w:sz w:val="24"/>
        </w:rPr>
      </w:pPr>
      <w:r>
        <w:rPr>
          <w:rFonts w:ascii="Times New Roman;serif" w:hAnsi="Times New Roman;serif"/>
          <w:b/>
          <w:color w:val="000000"/>
          <w:sz w:val="24"/>
        </w:rPr>
        <w:t>Frequently Asked Questions</w:t>
      </w:r>
    </w:p>
    <w:p>
      <w:pPr>
        <w:pStyle w:val="TextBody"/>
        <w:bidi w:val="0"/>
        <w:spacing w:lineRule="auto" w:line="247"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    What is insider trading?</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Insider trading is the buying or selling of stocks, bonds, futures, or other securities by someone in possession of Material Non-Public Information. Insider trading also includes trading in derivatives (such as put and call options) the price of which is linked to the underlying price of a company’s stock. It does not matter whether the decision to buy or sell was influenced by the Material Non-Public Information, how many shares you buy or sell, or whether it has an effect on the stock price – if you are in possession of Material Non-Public Information and you trade, you have broken the law.</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    Why is insider trading illegal?</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3.    What is Material Non-Public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Information is material if it would influence a reasonable investor to buy or sell a stock, bond or other security. This could mean many things – financial results, clinical or regulatory results, potential mergers, major contracts, etc. Information is nonpublic if it has not yet been released and disseminated to the public.</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4.    Who can be guilty of insider trading?</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Anyone who buys or sells a security while in possession of Material Non-Public Information. It does not matter if you are not an executive officer or director, or even if you do not work at Cytek– if you know something material about the value of a security that not everyone else does, regardless of who you are, you can be found guilty of insider trading.</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5.    Does Cytek have an insider trading policy?</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    Yes. A copy of the insider trading policy is available on the Legal Intranet page and is publicly filed with the U.S. Securities and Exchange Commission at www.sec.gov.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6.    What if I work in a foreign office?</w:t>
      </w:r>
    </w:p>
    <w:p>
      <w:pPr>
        <w:pStyle w:val="TextBody"/>
        <w:bidi w:val="0"/>
        <w:spacing w:before="0" w:after="0"/>
        <w:ind w:left="0" w:right="0" w:hanging="720"/>
        <w:jc w:val="left"/>
        <w:rPr/>
      </w:pPr>
      <w:r>
        <w:rPr/>
      </w:r>
    </w:p>
    <w:p>
      <w:pPr>
        <w:pStyle w:val="TextBody"/>
        <w:bidi w:val="0"/>
        <w:spacing w:lineRule="auto" w:line="26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    There is no difference. The policy and law apply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company’s securities conducted by internationally- based individuals and firms. In addition, as a Cytek employee or consultant, our policies apply to you no matter where in the world you work.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7.    What if I don’t buy or sell anything, but I tell someone else the Material Non-Public Information and they buy or sell?</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As a result, you may not discuss Material Non-Public Information about Cytek or companies with which Cytek does business with anyone outside Cytek, including spouses, partners, family members, friends, or business associates. This includes anonymous discussion on the Internet about Cytek or companies with which Cytek does business.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8.    What if I don’t tell them the information itself, I just tell them whether they should buy or sell?</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That is still tipping, and you can still be found guilty of insider trading. According to our policies, you may never recommend to another person that they buy, hold or sell our common stock or any derivative security related to our common stock.</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9.    What are the penalties if I trade on Material Non-Public Information, or tip off someone else?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Anyone found liable in a civil case for trading on Material Non-Public Information may need to pay the U.S. government an amount equal to any profit made or any loss avoided and may also face a penalty of up to three times this amount. Persons found liable for tipping Material Non-Public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10.    What is “loss avoided”?</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If you sell a common stock or a related derivative security before the negative news is publicly announced, and as a result of the announcement the stock price declines, you have avoided the loss caused by the negative news.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11.    Am I restricted from trading securities of any companies other than Cytek (for example a customer or competitor of Cytek)?</w:t>
      </w:r>
    </w:p>
    <w:p>
      <w:pPr>
        <w:pStyle w:val="TextBody"/>
        <w:bidi w:val="0"/>
        <w:spacing w:before="0" w:after="0"/>
        <w:ind w:left="0" w:right="0" w:hanging="720"/>
        <w:jc w:val="left"/>
        <w:rPr/>
      </w:pPr>
      <w:r>
        <w:rPr/>
      </w:r>
    </w:p>
    <w:p>
      <w:pPr>
        <w:pStyle w:val="TextBody"/>
        <w:bidi w:val="0"/>
        <w:spacing w:lineRule="auto" w:line="26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securities. You should be particularly conscious of this restriction if, through your position at Cytek, you sometimes obtain sensitive, material information about other companies and their business dealings with Cytek.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12.    So if I do not trade Cytek securities when I am in possession of Material Non-Public Information and I don’t “tip” other people, I am in the clear, right?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Not necessarily. Even if you do not violate U.S. law, you may still violate our policies. Our policies are stricter than the law requires, so that we and our employees and consultants can avoid even the appearance of wrongdoing. Therefore, please review the entire policy carefully.</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13.    If I am aware of new product or service developments that have not been announced to the public, do I possess Material Non-Public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Maybe. In most circumstances, Cytek does not consider new product and service developments to be material information that would require the closing of the trading window with respect to those individuals that are aware of these developments. However, there are circumstances where a new product or service in development or issues with respect to current or past products or services could be so significant that it constitutes Material Non-Public Information. You should contact the Legal Officer if you have any questions.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14.    So when can I buy or sell my Cytek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rFonts w:ascii="Times New Roman;serif" w:hAnsi="Times New Roman;serif"/>
          <w:b w:val="false"/>
          <w:color w:val="000000"/>
          <w:sz w:val="24"/>
        </w:rPr>
        <w:t xml:space="preserve">A:    According to our policies, if you are in possession of Material Non-Public Information, you may not buy or sell our common stock until the third trading day after that information is released or announced to the public. At that point, the information is considered public. </w:t>
      </w:r>
      <w:r>
        <w:rPr>
          <w:rFonts w:ascii="Times New Roman;serif" w:hAnsi="Times New Roman;serif"/>
          <w:b/>
          <w:i/>
          <w:color w:val="000000"/>
          <w:sz w:val="24"/>
        </w:rPr>
        <w:t>Even if you are not in possession of Material Non-Public Information</w:t>
      </w:r>
      <w:r>
        <w:rPr>
          <w:rFonts w:ascii="Times New Roman;serif" w:hAnsi="Times New Roman;serif"/>
          <w:b/>
          <w:color w:val="000000"/>
          <w:sz w:val="24"/>
        </w:rPr>
        <w:t xml:space="preserve">, you may trade in our common stock only during an open trading window. </w:t>
      </w:r>
      <w:r>
        <w:rPr>
          <w:rFonts w:ascii="Times New Roman;serif" w:hAnsi="Times New Roman;serif"/>
          <w:b w:val="false"/>
          <w:color w:val="000000"/>
          <w:sz w:val="24"/>
        </w:rPr>
        <w:t>(If in doubt, you should confirm with the Legal Officer or Chief Financial Officer whether the Company is in an open trading window.)</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15.    If I have an open order to buy or sell Cytek securities on the date the trading window closes, my broker will cancel the open order and won’t execute the trade, right?</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No. Although certain orders allow you to designate upfront that the order should be canceled upon the closing of the Company’s trading window, it is your responsibility to confirm cancellation of these orders with your broker. If you have an open order and it executes after the trading window closes, it is a violation of our insider trading policy and may also be a violation of the insider trading laws.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16.    Am I allowed to trade derivative securities of Cytek? Or, short Cytek common stock?</w:t>
      </w:r>
    </w:p>
    <w:p>
      <w:pPr>
        <w:pStyle w:val="TextBody"/>
        <w:bidi w:val="0"/>
        <w:spacing w:before="0" w:after="0"/>
        <w:ind w:left="0" w:right="0" w:hanging="720"/>
        <w:jc w:val="left"/>
        <w:rPr/>
      </w:pPr>
      <w:r>
        <w:rPr/>
      </w:r>
    </w:p>
    <w:p>
      <w:pPr>
        <w:pStyle w:val="TextBody"/>
        <w:bidi w:val="0"/>
        <w:spacing w:lineRule="auto" w:line="26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No. Under our policies, you may not trade in derivative securities related to our common stock, which includes, but is not limited to publicly-traded call and put options. In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addition, under our policies, you may not engage in short selling of our common stock at any time.</w:t>
      </w:r>
    </w:p>
    <w:p>
      <w:pPr>
        <w:pStyle w:val="TextBody"/>
        <w:bidi w:val="0"/>
        <w:spacing w:before="0" w:after="0"/>
        <w:ind w:left="0" w:right="0" w:hanging="720"/>
        <w:jc w:val="left"/>
        <w:rPr/>
      </w:pPr>
      <w:r>
        <w:rPr/>
      </w:r>
    </w:p>
    <w:p>
      <w:pPr>
        <w:pStyle w:val="TextBody"/>
        <w:bidi w:val="0"/>
        <w:spacing w:lineRule="auto" w:line="268" w:before="0" w:after="0"/>
        <w:jc w:val="both"/>
        <w:rPr/>
      </w:pPr>
      <w:r>
        <w:rPr>
          <w:color w:val="000000"/>
        </w:rPr>
        <w:t>“</w:t>
      </w:r>
      <w:r>
        <w:rPr>
          <w:rFonts w:ascii="Times New Roman;serif" w:hAnsi="Times New Roman;serif"/>
          <w:b/>
          <w:i/>
          <w:color w:val="000000"/>
          <w:sz w:val="24"/>
        </w:rPr>
        <w:t>Derivative securities</w:t>
      </w:r>
      <w:r>
        <w:rPr>
          <w:color w:val="000000"/>
        </w:rPr>
        <w:t xml:space="preserve">” </w:t>
      </w:r>
      <w:r>
        <w:rPr>
          <w:rFonts w:ascii="Times New Roman;serif" w:hAnsi="Times New Roman;serif"/>
          <w:b w:val="false"/>
          <w:color w:val="000000"/>
          <w:sz w:val="24"/>
        </w:rPr>
        <w:t>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p>
    <w:p>
      <w:pPr>
        <w:pStyle w:val="TextBody"/>
        <w:bidi w:val="0"/>
        <w:spacing w:before="0" w:after="0"/>
        <w:jc w:val="left"/>
        <w:rPr/>
      </w:pPr>
      <w:r>
        <w:rPr/>
      </w:r>
    </w:p>
    <w:p>
      <w:pPr>
        <w:pStyle w:val="TextBody"/>
        <w:bidi w:val="0"/>
        <w:spacing w:lineRule="auto" w:line="268" w:before="0" w:after="0"/>
        <w:jc w:val="both"/>
        <w:rPr/>
      </w:pPr>
      <w:r>
        <w:rPr>
          <w:color w:val="000000"/>
        </w:rPr>
        <w:t>“</w:t>
      </w:r>
      <w:r>
        <w:rPr>
          <w:rFonts w:ascii="Times New Roman;serif" w:hAnsi="Times New Roman;serif"/>
          <w:b/>
          <w:i/>
          <w:color w:val="000000"/>
          <w:sz w:val="24"/>
        </w:rPr>
        <w:t>Short selling</w:t>
      </w:r>
      <w:r>
        <w:rPr>
          <w:color w:val="000000"/>
        </w:rPr>
        <w:t xml:space="preserve">” </w:t>
      </w:r>
      <w:r>
        <w:rPr>
          <w:rFonts w:ascii="Times New Roman;serif" w:hAnsi="Times New Roman;serif"/>
          <w:b w:val="false"/>
          <w:color w:val="000000"/>
          <w:sz w:val="24"/>
        </w:rPr>
        <w:t>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17.    Why does Cytek prohibit trading in derivative securities and short selling?</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18.    Can I purchase Cytek securities on margin or hold them in a margin account?</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Under our policies, you may not purchase our common stock on margin or hold it in a margin account at any time.</w:t>
      </w:r>
    </w:p>
    <w:p>
      <w:pPr>
        <w:pStyle w:val="TextBody"/>
        <w:bidi w:val="0"/>
        <w:spacing w:before="0" w:after="0"/>
        <w:ind w:left="0" w:right="0" w:hanging="720"/>
        <w:jc w:val="left"/>
        <w:rPr/>
      </w:pPr>
      <w:r>
        <w:rPr/>
      </w:r>
    </w:p>
    <w:p>
      <w:pPr>
        <w:pStyle w:val="TextBody"/>
        <w:bidi w:val="0"/>
        <w:spacing w:lineRule="auto" w:line="268" w:before="0" w:after="0"/>
        <w:jc w:val="both"/>
        <w:rPr/>
      </w:pPr>
      <w:r>
        <w:rPr>
          <w:color w:val="000000"/>
        </w:rPr>
        <w:t>“</w:t>
      </w:r>
      <w:r>
        <w:rPr>
          <w:rFonts w:ascii="Times New Roman;serif" w:hAnsi="Times New Roman;serif"/>
          <w:b/>
          <w:i/>
          <w:color w:val="000000"/>
          <w:sz w:val="24"/>
        </w:rPr>
        <w:t>Purchasing on margin</w:t>
      </w:r>
      <w:r>
        <w:rPr>
          <w:color w:val="000000"/>
        </w:rPr>
        <w:t xml:space="preserve">” </w:t>
      </w:r>
      <w:r>
        <w:rPr>
          <w:rFonts w:ascii="Times New Roman;serif" w:hAnsi="Times New Roman;serif"/>
          <w:b w:val="false"/>
          <w:color w:val="000000"/>
          <w:sz w:val="24"/>
        </w:rPr>
        <w:t>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19.    Why does Cytek prohibit me from purchasing Cytek securities on margin or holding them in a margin account?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Margin loans are subject to a margin call whether or not you possess inside information at the time of the call. If a margin call were to be made at a time when you are in possession of Material Non-Public Information and you could not or did not supply other collateral, you and Cytek could be subject to litigation based on your insider trading activities: the sale of the stock (through the margin call) when you possessed Material Non-Public Information. The sale would be attributed to you even though the lender made the ultimate determination to sell. The SEC takes the view that you made the determination to not supply the additional collateral and you are therefore responsible for the sale.</w:t>
      </w:r>
    </w:p>
    <w:p>
      <w:pPr>
        <w:pStyle w:val="TextBody"/>
        <w:bidi w:val="0"/>
        <w:spacing w:before="0" w:after="0"/>
        <w:ind w:left="0" w:right="0" w:hanging="720"/>
        <w:jc w:val="left"/>
        <w:rPr/>
      </w:pPr>
      <w:r>
        <w:rPr/>
      </w:r>
    </w:p>
    <w:p>
      <w:pPr>
        <w:pStyle w:val="TextBody"/>
        <w:bidi w:val="0"/>
        <w:spacing w:lineRule="auto" w:line="268"/>
        <w:ind w:left="0" w:right="0" w:hanging="720"/>
        <w:jc w:val="left"/>
        <w:rPr>
          <w:rFonts w:ascii="Times New Roman;serif" w:hAnsi="Times New Roman;serif"/>
          <w:b/>
          <w:color w:val="000000"/>
          <w:sz w:val="24"/>
        </w:rPr>
      </w:pPr>
      <w:r>
        <w:rPr>
          <w:rFonts w:ascii="Times New Roman;serif" w:hAnsi="Times New Roman;serif"/>
          <w:b/>
          <w:color w:val="000000"/>
          <w:sz w:val="24"/>
        </w:rPr>
        <w:t>20.    Can I exercise stock options during a closed trading window or when I possess Material Non-Public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Yes. You may exercise the option for cash and receive shares, but you may not sell the shares (even to pay the exercise price or any taxes due) or otherwise settle the option during a closed trading window or any time that you possess Material Non-Public Information. Also note that if you choose to exercise and hold the shares, you will be responsible at that time for any taxes due.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21.    Am I subject to the trading window if I am no longer an employee of Cytek?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No. If your employment with Cytek ends, Cytek’s policy will no longer apply to you. However, even if you are not subject to our policy after you leave Cytek, applicable securities will continue to apply and you should not trade in Cytek securities if you possess material non-public information. That restriction stays with you as long as the information you possess is material and not released by Cytek. The ultimate responsibility for complying with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22.    Can I gift stock while I possess material nonpublic information or during a closed trading window?</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Because of the potential for the appearance of impropriety, you may not make gifts, whether to charities, to a trust or otherwise, of our common stock when you possess Material Non-Public Information or during a closed trading window.</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23.    What if I purchased publicly-traded options or other derivative securities before I became a Cytek employee (or contractor or consultant)?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The same rules apply as for employee stock options. You may exercise the publicly-traded options for cash at any time, but you may not sell such securities during a closed trading window or at any time that you are in possession of Material Non-Public Information. When you become a Cytek employee, you must report to our Legal Officer or Chief Financial Officer that you hold such publicly traded options or other derivative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24.    May I own shares of a mutual fund that invests in Cytek?</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Yes.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25    Are mutual fund shares holding Cytek subject to the trading windows?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No. You may trade in mutual funds holding our common stock at any time.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26.    May I use a “routine trading program” or “10b5-1 plan”?</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Yes, subject to the requirements discussed in our Insider Trading Policy. A routine trading program, also known as a 10b5-1 plan, allows you to set up a highly structured program with your stockbroker through which you specify ahead of time the date, price, and amount of securities to be traded. If you wish to create a 10b5-1 plan, you must contact our Legal Officer for approval.</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27.    What happens if I violate our insider trading policy?</w:t>
      </w:r>
    </w:p>
    <w:p>
      <w:pPr>
        <w:pStyle w:val="TextBody"/>
        <w:bidi w:val="0"/>
        <w:spacing w:before="0" w:after="0"/>
        <w:ind w:left="0" w:right="0" w:hanging="720"/>
        <w:jc w:val="left"/>
        <w:rPr/>
      </w:pPr>
      <w:r>
        <w:rPr/>
      </w:r>
    </w:p>
    <w:p>
      <w:pPr>
        <w:pStyle w:val="TextBody"/>
        <w:bidi w:val="0"/>
        <w:spacing w:lineRule="auto" w:line="26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Violation of our policies may result in severe personnel action, including a memo to your personnel file and up to and including termination of your employment or other relationship with Cytek. In addition, you may be subject to criminal and civil enforcement actions by the government.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28.    Who should I contact if I have questions about our insider trading policy?</w:t>
      </w:r>
    </w:p>
    <w:p>
      <w:pPr>
        <w:pStyle w:val="TextBody"/>
        <w:bidi w:val="0"/>
        <w:spacing w:before="0" w:after="0"/>
        <w:ind w:left="0" w:right="0" w:hanging="720"/>
        <w:jc w:val="left"/>
        <w:rPr/>
      </w:pPr>
      <w:r>
        <w:rPr/>
      </w:r>
    </w:p>
    <w:p>
      <w:pPr>
        <w:pStyle w:val="TextBody"/>
        <w:bidi w:val="0"/>
        <w:spacing w:lineRule="auto" w:line="26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You should contact our Legal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Subsidiaries of Cytek Biosciences, Inc.</w:t>
      </w:r>
    </w:p>
    <w:p>
      <w:pPr>
        <w:pStyle w:val="TextBody"/>
        <w:bidi w:val="0"/>
        <w:spacing w:lineRule="auto" w:line="240" w:before="0" w:after="0"/>
        <w:jc w:val="left"/>
        <w:rPr>
          <w:color w:val="000000"/>
        </w:rPr>
      </w:pPr>
      <w:r>
        <w:rPr>
          <w:color w:val="000000"/>
        </w:rPr>
        <w:t> </w:t>
      </w:r>
    </w:p>
    <w:tbl>
      <w:tblPr>
        <w:tblW w:w="5111" w:type="dxa"/>
        <w:jc w:val="left"/>
        <w:tblInd w:w="0" w:type="dxa"/>
        <w:tblLayout w:type="fixed"/>
        <w:tblCellMar>
          <w:top w:w="28" w:type="dxa"/>
          <w:left w:w="28" w:type="dxa"/>
          <w:bottom w:w="28" w:type="dxa"/>
          <w:right w:w="28" w:type="dxa"/>
        </w:tblCellMar>
      </w:tblPr>
      <w:tblGrid>
        <w:gridCol w:w="1201"/>
        <w:gridCol w:w="1053"/>
        <w:gridCol w:w="1061"/>
        <w:gridCol w:w="109"/>
        <w:gridCol w:w="109"/>
        <w:gridCol w:w="109"/>
        <w:gridCol w:w="429"/>
        <w:gridCol w:w="429"/>
        <w:gridCol w:w="611"/>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0"/>
              <w:ind w:left="0" w:right="0" w:hanging="263"/>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6"/>
              </w:rPr>
            </w:pPr>
            <w:r>
              <w:rPr>
                <w:rFonts w:ascii="Times New Roman;serif" w:hAnsi="Times New Roman;serif"/>
                <w:b/>
                <w:color w:val="000000"/>
                <w:sz w:val="16"/>
              </w:rPr>
              <w:t>Jurisdiction</w:t>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Biosciences B.V.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Biosciences Canada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Ontario, Canada</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Biosciences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Biosciences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Kingdon</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Biosciences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Cytek Biosciences S.A.S.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Japan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(Shanghai) Biosciences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Cytek (Wuxi) Biosciences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00" w:before="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INDEPENDENT REGISTERED PUBLIC ACCOUNTING FIRM</w:t>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We consent to the incorporation by reference in Registration Statement Nos. 333-258153, 333-263661, 333-270200, 333-277936, and 333-285446 on Form S-8 of our reports dated </w:t>
      </w:r>
      <w:r>
        <w:rPr>
          <w:rFonts w:ascii="Times New Roman;serif" w:hAnsi="Times New Roman;serif"/>
          <w:b w:val="false"/>
          <w:color w:val="000000"/>
          <w:sz w:val="20"/>
        </w:rPr>
        <w:t>February 26, 2026</w:t>
      </w:r>
      <w:r>
        <w:rPr>
          <w:rFonts w:ascii="Times New Roman;serif" w:hAnsi="Times New Roman;serif"/>
          <w:b w:val="false"/>
          <w:color w:val="000000"/>
          <w:sz w:val="20"/>
          <w:shd w:fill="FFFFFF" w:val="clear"/>
        </w:rPr>
        <w:t xml:space="preserve">, relating to the financial statements of Cytek Biosciences, Inc. and the effectiveness of Cytek Biosciences, Inc.'s internal control over financial reporting appearing in this Annual Report on Form 10-K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30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t>/s/ Deloitte &amp; Touche LLP</w:t>
      </w:r>
    </w:p>
    <w:p>
      <w:pPr>
        <w:pStyle w:val="TextBody"/>
        <w:bidi w:val="0"/>
        <w:spacing w:lineRule="auto" w:line="300" w:before="0" w:after="160"/>
        <w:jc w:val="left"/>
        <w:rPr/>
      </w:pPr>
      <w:r>
        <w:rPr>
          <w:rFonts w:ascii="Times New Roman;serif" w:hAnsi="Times New Roman;serif"/>
          <w:b w:val="false"/>
          <w:color w:val="000000"/>
          <w:sz w:val="20"/>
          <w:shd w:fill="FFFFFF" w:val="clear"/>
        </w:rPr>
        <w:t>San Jose, California</w:t>
        <w:br/>
      </w:r>
      <w:r>
        <w:rPr>
          <w:rFonts w:ascii="Times New Roman;serif" w:hAnsi="Times New Roman;serif"/>
          <w:b w:val="false"/>
          <w:color w:val="000000"/>
          <w:sz w:val="20"/>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Wenbin Jiang, Ph.D., certify that: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Cytek Biosciences,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021"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664"/>
        <w:gridCol w:w="664"/>
        <w:gridCol w:w="667"/>
        <w:gridCol w:w="109"/>
        <w:gridCol w:w="109"/>
        <w:gridCol w:w="109"/>
        <w:gridCol w:w="940"/>
        <w:gridCol w:w="940"/>
        <w:gridCol w:w="133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Wenbin Jiang,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51460"/>
                <wp:effectExtent l="0" t="0" r="0" b="0"/>
                <wp:wrapNone/>
                <wp:docPr id="159" name="Frame15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William McCombe, certify that: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Cytek Biosciences, Inc.;</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30"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789"/>
        <w:gridCol w:w="789"/>
        <w:gridCol w:w="791"/>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Cytek Biosciences, Inc. (the “Company”) for the fiscal year ended December 31, 2025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Exchange Act;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025"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53"/>
        <w:gridCol w:w="1053"/>
        <w:gridCol w:w="1058"/>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Wenbin Jiang,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Wenbin Jiang,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Cytek Biosciences, Inc. (the “Company”) for the fiscal year ended December 31, 2025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Exchange Act;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230"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789"/>
        <w:gridCol w:w="789"/>
        <w:gridCol w:w="791"/>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McCombe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1915/000095017023005610/ctkb-ex10_16.htm" TargetMode="External"/><Relationship Id="rId4" Type="http://schemas.openxmlformats.org/officeDocument/2006/relationships/hyperlink" Target="https://www.sec.gov/Archives/edgar/data/1831915/000095017023005610/ctkb-ex10_16.htm" TargetMode="External"/><Relationship Id="rId5" Type="http://schemas.openxmlformats.org/officeDocument/2006/relationships/hyperlink" Target="https://www.sec.gov/Archives/edgar/data/1831915/000119312521225716/d183956dex31.htm" TargetMode="External"/><Relationship Id="rId6" Type="http://schemas.openxmlformats.org/officeDocument/2006/relationships/hyperlink" Target="https://www.sec.gov/Archives/edgar/data/1831915/000119312521225716/d183956dex31.htm" TargetMode="External"/><Relationship Id="rId7" Type="http://schemas.openxmlformats.org/officeDocument/2006/relationships/hyperlink" Target="https://www.sec.gov/Archives/edgar/data/1831915/000119312521225716/d183956dex31.htm" TargetMode="External"/><Relationship Id="rId8" Type="http://schemas.openxmlformats.org/officeDocument/2006/relationships/hyperlink" Target="https://www.sec.gov/Archives/edgar/data/1831915/000119312521225716/d183956dex32.htm" TargetMode="External"/><Relationship Id="rId9" Type="http://schemas.openxmlformats.org/officeDocument/2006/relationships/hyperlink" Target="https://www.sec.gov/Archives/edgar/data/1831915/000119312521225716/d183956dex32.htm" TargetMode="External"/><Relationship Id="rId10" Type="http://schemas.openxmlformats.org/officeDocument/2006/relationships/hyperlink" Target="https://www.sec.gov/Archives/edgar/data/1831915/000119312521225716/d183956dex32.htm" TargetMode="External"/><Relationship Id="rId11" Type="http://schemas.openxmlformats.org/officeDocument/2006/relationships/hyperlink" Target="https://www.sec.gov/Archives/edgar/data/1831915/000119312521217965/d80783dex41.htm" TargetMode="External"/><Relationship Id="rId12" Type="http://schemas.openxmlformats.org/officeDocument/2006/relationships/hyperlink" Target="https://www.sec.gov/Archives/edgar/data/1831915/000119312521217965/d80783dex41.htm" TargetMode="External"/><Relationship Id="rId13" Type="http://schemas.openxmlformats.org/officeDocument/2006/relationships/hyperlink" Target="https://www.sec.gov/Archives/edgar/data/1831915/000095017023005610/ctkb-ex4_3.htm" TargetMode="External"/><Relationship Id="rId14" Type="http://schemas.openxmlformats.org/officeDocument/2006/relationships/hyperlink" Target="https://www.sec.gov/Archives/edgar/data/1831915/000095017023005610/ctkb-ex4_3.htm" TargetMode="External"/><Relationship Id="rId15" Type="http://schemas.openxmlformats.org/officeDocument/2006/relationships/hyperlink" Target="https://www.sec.gov/Archives/edgar/data/1831915/000119312521207678/d80783dex102.htm" TargetMode="External"/><Relationship Id="rId16" Type="http://schemas.openxmlformats.org/officeDocument/2006/relationships/hyperlink" Target="https://www.sec.gov/Archives/edgar/data/1831915/000119312521207678/d80783dex102.htm" TargetMode="External"/><Relationship Id="rId17" Type="http://schemas.openxmlformats.org/officeDocument/2006/relationships/hyperlink" Target="https://www.sec.gov/Archives/edgar/data/1831915/000119312521207678/d80783dex103.htm" TargetMode="External"/><Relationship Id="rId18" Type="http://schemas.openxmlformats.org/officeDocument/2006/relationships/hyperlink" Target="https://www.sec.gov/Archives/edgar/data/1831915/000119312521207678/d80783dex103.htm" TargetMode="External"/><Relationship Id="rId19" Type="http://schemas.openxmlformats.org/officeDocument/2006/relationships/hyperlink" Target="https://www.sec.gov/Archives/edgar/data/1831915/000119312521217965/d80783dex104.htm" TargetMode="External"/><Relationship Id="rId20" Type="http://schemas.openxmlformats.org/officeDocument/2006/relationships/hyperlink" Target="https://www.sec.gov/Archives/edgar/data/1831915/000119312521217965/d80783dex104.htm" TargetMode="External"/><Relationship Id="rId21" Type="http://schemas.openxmlformats.org/officeDocument/2006/relationships/hyperlink" Target="https://www.sec.gov/Archives/edgar/data/1831915/000119312521217965/d80783dex105.htm" TargetMode="External"/><Relationship Id="rId22" Type="http://schemas.openxmlformats.org/officeDocument/2006/relationships/hyperlink" Target="https://www.sec.gov/Archives/edgar/data/1831915/000119312521217965/d80783dex105.htm" TargetMode="External"/><Relationship Id="rId23" Type="http://schemas.openxmlformats.org/officeDocument/2006/relationships/hyperlink" Target="https://www.sec.gov/Archives/edgar/data/1831915/000095017021004256/ctkb-ex10_2.htm" TargetMode="External"/><Relationship Id="rId24" Type="http://schemas.openxmlformats.org/officeDocument/2006/relationships/hyperlink" Target="https://www.sec.gov/Archives/edgar/data/1831915/000095017021004256/ctkb-ex10_2.htm" TargetMode="External"/><Relationship Id="rId25" Type="http://schemas.openxmlformats.org/officeDocument/2006/relationships/hyperlink" Target="https://www.sec.gov/Archives/edgar/data/1831915/000095017022023935/ctkb-ex10_1.htm" TargetMode="External"/><Relationship Id="rId26" Type="http://schemas.openxmlformats.org/officeDocument/2006/relationships/hyperlink" Target="https://www.sec.gov/Archives/edgar/data/1831915/000095017022023935/ctkb-ex10_1.htm" TargetMode="External"/><Relationship Id="rId27" Type="http://schemas.openxmlformats.org/officeDocument/2006/relationships/hyperlink" Target="https://www.sec.gov/Archives/edgar/data/1831915/000095017022023935/ctkb-ex10_2.htm" TargetMode="External"/><Relationship Id="rId28" Type="http://schemas.openxmlformats.org/officeDocument/2006/relationships/hyperlink" Target="https://www.sec.gov/Archives/edgar/data/1831915/000095017022023935/ctkb-ex10_2.htm" TargetMode="External"/><Relationship Id="rId29" Type="http://schemas.openxmlformats.org/officeDocument/2006/relationships/hyperlink" Target="https://www.sec.gov/Archives/edgar/data/1831915/000119312521217965/d80783dex106.htm" TargetMode="External"/><Relationship Id="rId30" Type="http://schemas.openxmlformats.org/officeDocument/2006/relationships/hyperlink" Target="https://www.sec.gov/Archives/edgar/data/1831915/000119312521217965/d80783dex106.htm" TargetMode="External"/><Relationship Id="rId31" Type="http://schemas.openxmlformats.org/officeDocument/2006/relationships/hyperlink" Target="https://www.sec.gov/Archives/edgar/data/1831915/000119312521217965/d80783dex107.htm" TargetMode="External"/><Relationship Id="rId32" Type="http://schemas.openxmlformats.org/officeDocument/2006/relationships/hyperlink" Target="https://www.sec.gov/Archives/edgar/data/1831915/000119312521217965/d80783dex107.htm" TargetMode="External"/><Relationship Id="rId33" Type="http://schemas.openxmlformats.org/officeDocument/2006/relationships/hyperlink" Target="https://www.sec.gov/Archives/edgar/data/1831915/000095017023019777/ctkb-ex10_1.htm" TargetMode="External"/><Relationship Id="rId34" Type="http://schemas.openxmlformats.org/officeDocument/2006/relationships/hyperlink" Target="https://www.sec.gov/Archives/edgar/data/1831915/000095017023019777/ctkb-ex10_1.htm" TargetMode="External"/><Relationship Id="rId35" Type="http://schemas.openxmlformats.org/officeDocument/2006/relationships/hyperlink" Target="https://www.sec.gov/Archives/edgar/data/1831915/000162828024021723/exhibit102allenpoirsonoffe.htm" TargetMode="External"/><Relationship Id="rId36" Type="http://schemas.openxmlformats.org/officeDocument/2006/relationships/hyperlink" Target="https://www.sec.gov/Archives/edgar/data/1831915/000162828024021723/exhibit102allenpoirsonoffe.htm" TargetMode="External"/><Relationship Id="rId37" Type="http://schemas.openxmlformats.org/officeDocument/2006/relationships/hyperlink" Target="https://www.sec.gov/Archives/edgar/data/1831915/000119312524071467/d773908dex101.htm" TargetMode="External"/><Relationship Id="rId38" Type="http://schemas.openxmlformats.org/officeDocument/2006/relationships/hyperlink" Target="https://www.sec.gov/Archives/edgar/data/1831915/000119312524071467/d773908dex101.htm" TargetMode="External"/><Relationship Id="rId39" Type="http://schemas.openxmlformats.org/officeDocument/2006/relationships/hyperlink" Target="https://www.sec.gov/Archives/edgar/data/1831915/000162828025023927/exhibit101-offerletterphil.htm" TargetMode="External"/><Relationship Id="rId40" Type="http://schemas.openxmlformats.org/officeDocument/2006/relationships/hyperlink" Target="https://www.sec.gov/Archives/edgar/data/1831915/000162828025023927/exhibit101-offerletterphil.htm" TargetMode="External"/><Relationship Id="rId41" Type="http://schemas.openxmlformats.org/officeDocument/2006/relationships/hyperlink" Target="https://www.sec.gov/Archives/edgar/data/1831915/000162828025023927/exhibit101-offerletterphil.htm" TargetMode="External"/><Relationship Id="rId42" Type="http://schemas.openxmlformats.org/officeDocument/2006/relationships/hyperlink" Target="https://www.sec.gov/Archives/edgar/data/1831915/000162828025023927/exhibit101-offerletterphil.htm" TargetMode="External"/><Relationship Id="rId43" Type="http://schemas.openxmlformats.org/officeDocument/2006/relationships/hyperlink" Target="https://www.sec.gov/Archives/edgar/data/1831915/000162828025023927/exhibit101-offerletterphil.htm" TargetMode="External"/><Relationship Id="rId44" Type="http://schemas.openxmlformats.org/officeDocument/2006/relationships/hyperlink" Target="https://www.sec.gov/Archives/edgar/data/1831915/000162828025023927/exhibit101-offerletterphil.htm" TargetMode="External"/><Relationship Id="rId45" Type="http://schemas.openxmlformats.org/officeDocument/2006/relationships/hyperlink" Target="https://www.sec.gov/Archives/edgar/data/1831915/000162828024021723/exhibit101secondamendedand.htm" TargetMode="External"/><Relationship Id="rId46" Type="http://schemas.openxmlformats.org/officeDocument/2006/relationships/hyperlink" Target="https://www.sec.gov/Archives/edgar/data/1831915/000162828024021723/exhibit101secondamendedand.htm" TargetMode="External"/><Relationship Id="rId47" Type="http://schemas.openxmlformats.org/officeDocument/2006/relationships/hyperlink" Target="https://www.sec.gov/Archives/edgar/data/1831915/000095017021004256/ctkb-ex10_1.htm" TargetMode="External"/><Relationship Id="rId48" Type="http://schemas.openxmlformats.org/officeDocument/2006/relationships/hyperlink" Target="https://www.sec.gov/Archives/edgar/data/1831915/000095017021004256/ctkb-ex10_1.htm" TargetMode="External"/><Relationship Id="rId49" Type="http://schemas.openxmlformats.org/officeDocument/2006/relationships/hyperlink" Target="https://www.sec.gov/Archives/edgar/data/1831915/000162828025049697/exhibit101-contractamendme.htm" TargetMode="External"/><Relationship Id="rId50" Type="http://schemas.openxmlformats.org/officeDocument/2006/relationships/hyperlink" Target="https://www.sec.gov/Archives/edgar/data/1831915/000162828025049697/exhibit101-contractamendme.htm" TargetMode="External"/><Relationship Id="rId51" Type="http://schemas.openxmlformats.org/officeDocument/2006/relationships/hyperlink" Target="https://www.sec.gov/Archives/edgar/data/1831915/000162828025049697/exhibit101-contractamendme.htm" TargetMode="External"/><Relationship Id="rId52" Type="http://schemas.openxmlformats.org/officeDocument/2006/relationships/hyperlink" Target="https://www.sec.gov/Archives/edgar/data/1831915/000162828025049697/exhibit101-contractamendme.htm" TargetMode="External"/><Relationship Id="rId53" Type="http://schemas.openxmlformats.org/officeDocument/2006/relationships/hyperlink" Target="https://www.sec.gov/Archives/edgar/data/1831915/000162828025049697/exhibit101-contractamendme.htm" TargetMode="External"/><Relationship Id="rId54" Type="http://schemas.openxmlformats.org/officeDocument/2006/relationships/hyperlink" Target="https://www.sec.gov/Archives/edgar/data/1831915/000162828025049697/exhibit101-contractamendme.htm" TargetMode="External"/><Relationship Id="rId55" Type="http://schemas.openxmlformats.org/officeDocument/2006/relationships/hyperlink" Target="https://www.sec.gov/Archives/edgar/data/1831915/000119312521207678/d80783dex1011.htm" TargetMode="External"/><Relationship Id="rId56" Type="http://schemas.openxmlformats.org/officeDocument/2006/relationships/hyperlink" Target="https://www.sec.gov/Archives/edgar/data/1831915/000119312521207678/d80783dex1011.htm" TargetMode="External"/><Relationship Id="rId57" Type="http://schemas.openxmlformats.org/officeDocument/2006/relationships/hyperlink" Target="https://www.sec.gov/Archives/edgar/data/1831915/000119312521207678/d80783dex1012.htm" TargetMode="External"/><Relationship Id="rId58" Type="http://schemas.openxmlformats.org/officeDocument/2006/relationships/hyperlink" Target="https://www.sec.gov/Archives/edgar/data/1831915/000119312521207678/d80783dex1012.htm" TargetMode="External"/><Relationship Id="rId59" Type="http://schemas.openxmlformats.org/officeDocument/2006/relationships/hyperlink" Target="https://www.sec.gov/Archives/edgar/data/1831915/000119312521207678/d80783dex1014.htm" TargetMode="External"/><Relationship Id="rId60" Type="http://schemas.openxmlformats.org/officeDocument/2006/relationships/hyperlink" Target="https://www.sec.gov/Archives/edgar/data/1831915/000119312521207678/d80783dex1014.htm" TargetMode="External"/><Relationship Id="rId61" Type="http://schemas.openxmlformats.org/officeDocument/2006/relationships/hyperlink" Target="https://www.sec.gov/Archives/edgar/data/1831915/000162828025008780/firstamendmenttolease.htm" TargetMode="External"/><Relationship Id="rId62" Type="http://schemas.openxmlformats.org/officeDocument/2006/relationships/hyperlink" Target="https://www.sec.gov/Archives/edgar/data/1831915/000162828025008780/firstamendmenttolease.htm" TargetMode="External"/><Relationship Id="rId63" Type="http://schemas.openxmlformats.org/officeDocument/2006/relationships/hyperlink" Target="https://www.sec.gov/Archives/edgar/data/1831915/000119312522231398/d661781dex12.htm" TargetMode="External"/><Relationship Id="rId64" Type="http://schemas.openxmlformats.org/officeDocument/2006/relationships/hyperlink" Target="https://www.sec.gov/Archives/edgar/data/1831915/000119312522231398/d661781dex12.htm" TargetMode="External"/><Relationship Id="rId65" Type="http://schemas.openxmlformats.org/officeDocument/2006/relationships/hyperlink" Target="https://www.sec.gov/Archives/edgar/data/1831915/000162828024010933/exhibit97clawbackpolicya.htm" TargetMode="External"/><Relationship Id="rId66" Type="http://schemas.openxmlformats.org/officeDocument/2006/relationships/hyperlink" Target="https://www.sec.gov/Archives/edgar/data/1831915/000162828024010933/exhibit97clawbackpolicya.htm" TargetMode="External"/><Relationship Id="rId67" Type="http://schemas.openxmlformats.org/officeDocument/2006/relationships/image" Target="media/image2.png"/><Relationship Id="rId68" Type="http://schemas.openxmlformats.org/officeDocument/2006/relationships/image" Target="media/image3.pn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92794</Words>
  <Characters>523337</Characters>
  <CharactersWithSpaces>613743</CharactersWithSpaces>
  <Paragraphs>4977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