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486410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511810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9" w:lineRule="exact"/>
        <w:rPr>
          <w:sz w:val="24"/>
          <w:szCs w:val="24"/>
          <w:color w:val="auto"/>
        </w:rPr>
      </w:pPr>
    </w:p>
    <w:p>
      <w:pPr>
        <w:ind w:left="460" w:hanging="436"/>
        <w:spacing w:after="0"/>
        <w:tabs>
          <w:tab w:leader="none" w:pos="4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7" w:lineRule="exact"/>
        <w:rPr>
          <w:sz w:val="24"/>
          <w:szCs w:val="24"/>
          <w:color w:val="auto"/>
        </w:rPr>
      </w:pPr>
    </w:p>
    <w:p>
      <w:pPr>
        <w:ind w:left="460" w:right="940" w:hanging="436"/>
        <w:spacing w:after="0" w:line="276" w:lineRule="auto"/>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001-40632</w:t>
      </w:r>
    </w:p>
    <w:p>
      <w:pPr>
        <w:spacing w:after="0" w:line="2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CYTEK BIOSCIENCES,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3" w:lineRule="exact"/>
        <w:rPr>
          <w:sz w:val="24"/>
          <w:szCs w:val="24"/>
          <w:color w:val="auto"/>
        </w:rPr>
      </w:pPr>
    </w:p>
    <w:tbl>
      <w:tblPr>
        <w:tblLayout w:type="fixed"/>
        <w:tblInd w:w="1200" w:type="dxa"/>
        <w:tblCellMar>
          <w:top w:w="0" w:type="dxa"/>
          <w:left w:w="0" w:type="dxa"/>
          <w:bottom w:w="0" w:type="dxa"/>
          <w:right w:w="0" w:type="dxa"/>
        </w:tblCellMar>
      </w:tblPr>
      <w:tr>
        <w:trPr>
          <w:trHeight w:val="234"/>
        </w:trPr>
        <w:tc>
          <w:tcPr>
            <w:tcW w:w="5000" w:type="dxa"/>
            <w:vAlign w:val="bottom"/>
          </w:tcPr>
          <w:p>
            <w:pPr>
              <w:jc w:val="center"/>
              <w:ind w:right="1708"/>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47-2547526</w:t>
            </w:r>
          </w:p>
        </w:tc>
      </w:tr>
      <w:tr>
        <w:trPr>
          <w:trHeight w:val="193"/>
        </w:trPr>
        <w:tc>
          <w:tcPr>
            <w:tcW w:w="5000" w:type="dxa"/>
            <w:vAlign w:val="bottom"/>
          </w:tcPr>
          <w:p>
            <w:pPr>
              <w:jc w:val="center"/>
              <w:ind w:right="1688"/>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2700" w:type="dxa"/>
            <w:vAlign w:val="bottom"/>
          </w:tcPr>
          <w:p>
            <w:pPr>
              <w:jc w:val="center"/>
              <w:ind w:left="1688"/>
              <w:spacing w:after="0"/>
              <w:rPr>
                <w:sz w:val="20"/>
                <w:szCs w:val="20"/>
                <w:color w:val="auto"/>
              </w:rPr>
            </w:pPr>
            <w:r>
              <w:rPr>
                <w:rFonts w:ascii="Times New Roman" w:cs="Times New Roman" w:eastAsia="Times New Roman" w:hAnsi="Times New Roman"/>
                <w:sz w:val="12"/>
                <w:szCs w:val="12"/>
                <w:color w:val="auto"/>
              </w:rPr>
              <w:t>(I.R.S. Employer</w:t>
            </w:r>
          </w:p>
        </w:tc>
      </w:tr>
      <w:tr>
        <w:trPr>
          <w:trHeight w:val="160"/>
        </w:trPr>
        <w:tc>
          <w:tcPr>
            <w:tcW w:w="5000" w:type="dxa"/>
            <w:vAlign w:val="bottom"/>
          </w:tcPr>
          <w:p>
            <w:pPr>
              <w:jc w:val="center"/>
              <w:ind w:right="1708"/>
              <w:spacing w:after="0"/>
              <w:rPr>
                <w:sz w:val="20"/>
                <w:szCs w:val="20"/>
                <w:color w:val="auto"/>
              </w:rPr>
            </w:pPr>
            <w:r>
              <w:rPr>
                <w:rFonts w:ascii="Times New Roman" w:cs="Times New Roman" w:eastAsia="Times New Roman" w:hAnsi="Times New Roman"/>
                <w:sz w:val="12"/>
                <w:szCs w:val="12"/>
                <w:color w:val="auto"/>
              </w:rPr>
              <w:t>incorporation or organization)</w:t>
            </w:r>
          </w:p>
        </w:tc>
        <w:tc>
          <w:tcPr>
            <w:tcW w:w="2700" w:type="dxa"/>
            <w:vAlign w:val="bottom"/>
          </w:tcPr>
          <w:p>
            <w:pPr>
              <w:jc w:val="center"/>
              <w:ind w:left="1688"/>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57"/>
        </w:trPr>
        <w:tc>
          <w:tcPr>
            <w:tcW w:w="5000" w:type="dxa"/>
            <w:vAlign w:val="bottom"/>
          </w:tcPr>
          <w:p>
            <w:pPr>
              <w:jc w:val="center"/>
              <w:ind w:right="1708"/>
              <w:spacing w:after="0"/>
              <w:rPr>
                <w:sz w:val="20"/>
                <w:szCs w:val="20"/>
                <w:color w:val="auto"/>
              </w:rPr>
            </w:pPr>
            <w:r>
              <w:rPr>
                <w:rFonts w:ascii="Times New Roman" w:cs="Times New Roman" w:eastAsia="Times New Roman" w:hAnsi="Times New Roman"/>
                <w:sz w:val="18"/>
                <w:szCs w:val="18"/>
                <w:b w:val="1"/>
                <w:bCs w:val="1"/>
                <w:color w:val="auto"/>
                <w:w w:val="98"/>
              </w:rPr>
              <w:t>47215 Lakeview Blvd. Fremont, California</w:t>
            </w:r>
          </w:p>
        </w:tc>
        <w:tc>
          <w:tcPr>
            <w:tcW w:w="2700" w:type="dxa"/>
            <w:vAlign w:val="bottom"/>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94538</w:t>
            </w:r>
          </w:p>
        </w:tc>
      </w:tr>
      <w:tr>
        <w:trPr>
          <w:trHeight w:val="181"/>
        </w:trPr>
        <w:tc>
          <w:tcPr>
            <w:tcW w:w="5000" w:type="dxa"/>
            <w:vAlign w:val="bottom"/>
          </w:tcPr>
          <w:p>
            <w:pPr>
              <w:jc w:val="center"/>
              <w:ind w:right="1688"/>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700" w:type="dxa"/>
            <w:vAlign w:val="bottom"/>
          </w:tcPr>
          <w:p>
            <w:pPr>
              <w:jc w:val="center"/>
              <w:ind w:left="1688"/>
              <w:spacing w:after="0"/>
              <w:rPr>
                <w:sz w:val="20"/>
                <w:szCs w:val="20"/>
                <w:color w:val="auto"/>
              </w:rPr>
            </w:pPr>
            <w:r>
              <w:rPr>
                <w:rFonts w:ascii="Times New Roman" w:cs="Times New Roman" w:eastAsia="Times New Roman" w:hAnsi="Times New Roman"/>
                <w:sz w:val="12"/>
                <w:szCs w:val="12"/>
                <w:color w:val="auto"/>
              </w:rPr>
              <w:t>(Zip Code)</w:t>
            </w:r>
          </w:p>
        </w:tc>
      </w:tr>
    </w:tbl>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(877) 922-9835</w:t>
      </w:r>
    </w:p>
    <w:p>
      <w:pPr>
        <w:spacing w:after="0" w:line="38"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420" w:type="dxa"/>
            <w:vAlign w:val="bottom"/>
            <w:gridSpan w:val="2"/>
          </w:tcPr>
          <w:p>
            <w:pPr>
              <w:ind w:left="1660"/>
              <w:spacing w:after="0"/>
              <w:rPr>
                <w:sz w:val="20"/>
                <w:szCs w:val="20"/>
                <w:color w:val="auto"/>
              </w:rPr>
            </w:pPr>
            <w:r>
              <w:rPr>
                <w:rFonts w:ascii="Times New Roman" w:cs="Times New Roman" w:eastAsia="Times New Roman" w:hAnsi="Times New Roman"/>
                <w:sz w:val="14"/>
                <w:szCs w:val="14"/>
                <w:color w:val="auto"/>
              </w:rPr>
              <w:t>Title of each class</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4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4"/>
        </w:trPr>
        <w:tc>
          <w:tcPr>
            <w:tcW w:w="4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196"/>
        </w:trPr>
        <w:tc>
          <w:tcPr>
            <w:tcW w:w="44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Common Stock, par value $0.001 per share</w:t>
            </w:r>
          </w:p>
        </w:tc>
        <w:tc>
          <w:tcPr>
            <w:tcW w:w="24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8"/>
              </w:rPr>
              <w:t>CTKB</w:t>
            </w:r>
          </w:p>
        </w:tc>
        <w:tc>
          <w:tcPr>
            <w:tcW w:w="4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tc>
      </w:tr>
    </w:tbl>
    <w:p>
      <w:pPr>
        <w:spacing w:after="0" w:line="93" w:lineRule="exact"/>
        <w:rPr>
          <w:sz w:val="24"/>
          <w:szCs w:val="24"/>
          <w:color w:val="auto"/>
        </w:rPr>
      </w:pPr>
    </w:p>
    <w:p>
      <w:pPr>
        <w:jc w:val="both"/>
        <w:ind w:right="20"/>
        <w:spacing w:after="0" w:line="18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jc w:val="both"/>
        <w:ind w:right="40"/>
        <w:spacing w:after="0" w:line="26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194"/>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540" w:type="dxa"/>
            <w:vAlign w:val="bottom"/>
            <w:vMerge w:val="restart"/>
          </w:tcPr>
          <w:p>
            <w:pPr>
              <w:jc w:val="right"/>
              <w:ind w:right="1465"/>
              <w:spacing w:after="0"/>
              <w:rPr>
                <w:sz w:val="20"/>
                <w:szCs w:val="20"/>
                <w:color w:val="auto"/>
              </w:rPr>
            </w:pPr>
            <w:r>
              <w:rPr>
                <w:rFonts w:ascii="Wingdings" w:cs="Wingdings" w:eastAsia="Wingdings" w:hAnsi="Wingdings"/>
                <w:sz w:val="15"/>
                <w:szCs w:val="15"/>
                <w:b w:val="1"/>
                <w:bCs w:val="1"/>
                <w:color w:val="auto"/>
              </w:rPr>
              <w:t>x</w:t>
            </w:r>
          </w:p>
        </w:tc>
        <w:tc>
          <w:tcPr>
            <w:tcW w:w="4720" w:type="dxa"/>
            <w:vAlign w:val="bottom"/>
          </w:tcPr>
          <w:p>
            <w:pPr>
              <w:ind w:left="1540"/>
              <w:spacing w:after="0"/>
              <w:rPr>
                <w:sz w:val="20"/>
                <w:szCs w:val="20"/>
                <w:color w:val="auto"/>
              </w:rPr>
            </w:pPr>
            <w:r>
              <w:rPr>
                <w:rFonts w:ascii="Times New Roman" w:cs="Times New Roman" w:eastAsia="Times New Roman" w:hAnsi="Times New Roman"/>
                <w:sz w:val="15"/>
                <w:szCs w:val="15"/>
                <w:color w:val="auto"/>
              </w:rPr>
              <w:t>Accelerated filer</w:t>
            </w:r>
          </w:p>
        </w:tc>
        <w:tc>
          <w:tcPr>
            <w:tcW w:w="1680" w:type="dxa"/>
            <w:vAlign w:val="bottom"/>
            <w:vMerge w:val="restart"/>
          </w:tcPr>
          <w:p>
            <w:pPr>
              <w:ind w:left="1560"/>
              <w:spacing w:after="0"/>
              <w:rPr>
                <w:sz w:val="20"/>
                <w:szCs w:val="20"/>
                <w:color w:val="auto"/>
              </w:rPr>
            </w:pPr>
            <w:r>
              <w:rPr>
                <w:rFonts w:ascii="Wingdings" w:cs="Wingdings" w:eastAsia="Wingdings" w:hAnsi="Wingdings"/>
                <w:sz w:val="15"/>
                <w:szCs w:val="15"/>
                <w:b w:val="1"/>
                <w:bCs w:val="1"/>
                <w:color w:val="auto"/>
                <w:w w:val="74"/>
              </w:rPr>
              <w:t>o</w:t>
            </w:r>
          </w:p>
        </w:tc>
        <w:tc>
          <w:tcPr>
            <w:tcW w:w="0" w:type="dxa"/>
            <w:vAlign w:val="bottom"/>
          </w:tcPr>
          <w:p>
            <w:pPr>
              <w:spacing w:after="0"/>
              <w:rPr>
                <w:sz w:val="1"/>
                <w:szCs w:val="1"/>
                <w:color w:val="auto"/>
              </w:rPr>
            </w:pPr>
          </w:p>
        </w:tc>
      </w:tr>
      <w:tr>
        <w:trPr>
          <w:trHeight w:val="92"/>
        </w:trPr>
        <w:tc>
          <w:tcPr>
            <w:tcW w:w="226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472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9"/>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540" w:type="dxa"/>
            <w:vAlign w:val="bottom"/>
            <w:vMerge w:val="restart"/>
          </w:tcPr>
          <w:p>
            <w:pPr>
              <w:jc w:val="right"/>
              <w:ind w:right="1465"/>
              <w:spacing w:after="0"/>
              <w:rPr>
                <w:sz w:val="20"/>
                <w:szCs w:val="20"/>
                <w:color w:val="auto"/>
              </w:rPr>
            </w:pPr>
            <w:r>
              <w:rPr>
                <w:rFonts w:ascii="Wingdings" w:cs="Wingdings" w:eastAsia="Wingdings" w:hAnsi="Wingdings"/>
                <w:sz w:val="15"/>
                <w:szCs w:val="15"/>
                <w:b w:val="1"/>
                <w:bCs w:val="1"/>
                <w:color w:val="auto"/>
              </w:rPr>
              <w:t>o</w:t>
            </w:r>
          </w:p>
        </w:tc>
        <w:tc>
          <w:tcPr>
            <w:tcW w:w="4720" w:type="dxa"/>
            <w:vAlign w:val="bottom"/>
          </w:tcPr>
          <w:p>
            <w:pPr>
              <w:ind w:left="15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680" w:type="dxa"/>
            <w:vAlign w:val="bottom"/>
            <w:vMerge w:val="restart"/>
          </w:tcPr>
          <w:p>
            <w:pPr>
              <w:ind w:left="1560"/>
              <w:spacing w:after="0"/>
              <w:rPr>
                <w:sz w:val="20"/>
                <w:szCs w:val="20"/>
                <w:color w:val="auto"/>
              </w:rPr>
            </w:pPr>
            <w:r>
              <w:rPr>
                <w:rFonts w:ascii="Wingdings" w:cs="Wingdings" w:eastAsia="Wingdings" w:hAnsi="Wingdings"/>
                <w:sz w:val="15"/>
                <w:szCs w:val="15"/>
                <w:b w:val="1"/>
                <w:bCs w:val="1"/>
                <w:color w:val="auto"/>
                <w:w w:val="74"/>
              </w:rPr>
              <w:t>o</w:t>
            </w:r>
          </w:p>
        </w:tc>
        <w:tc>
          <w:tcPr>
            <w:tcW w:w="0" w:type="dxa"/>
            <w:vAlign w:val="bottom"/>
          </w:tcPr>
          <w:p>
            <w:pPr>
              <w:spacing w:after="0"/>
              <w:rPr>
                <w:sz w:val="1"/>
                <w:szCs w:val="1"/>
                <w:color w:val="auto"/>
              </w:rPr>
            </w:pPr>
          </w:p>
        </w:tc>
      </w:tr>
      <w:tr>
        <w:trPr>
          <w:trHeight w:val="92"/>
        </w:trPr>
        <w:tc>
          <w:tcPr>
            <w:tcW w:w="226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472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5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Emerging growth company</w:t>
      </w:r>
    </w:p>
    <w:p>
      <w:pPr>
        <w:ind w:left="3140"/>
        <w:spacing w:after="0" w:line="238" w:lineRule="auto"/>
        <w:rPr>
          <w:sz w:val="20"/>
          <w:szCs w:val="20"/>
          <w:color w:val="auto"/>
        </w:rPr>
      </w:pPr>
      <w:r>
        <w:rPr>
          <w:rFonts w:ascii="Wingdings" w:cs="Wingdings" w:eastAsia="Wingdings" w:hAnsi="Wingdings"/>
          <w:sz w:val="15"/>
          <w:szCs w:val="15"/>
          <w:b w:val="1"/>
          <w:bCs w:val="1"/>
          <w:color w:val="auto"/>
        </w:rPr>
        <w:t>o</w:t>
      </w:r>
    </w:p>
    <w:p>
      <w:pPr>
        <w:spacing w:after="0" w:line="120" w:lineRule="exact"/>
        <w:rPr>
          <w:sz w:val="24"/>
          <w:szCs w:val="24"/>
          <w:color w:val="auto"/>
        </w:rPr>
      </w:pPr>
    </w:p>
    <w:p>
      <w:pPr>
        <w:ind w:right="140"/>
        <w:spacing w:after="0" w:line="265"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3900"/>
        <w:spacing w:after="0" w:line="17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Registrant’s Common Stock outstanding as of July 31, 2025 was 127,223,778.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142875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9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7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540" w:type="dxa"/>
            <w:vAlign w:val="bottom"/>
            <w:gridSpan w:val="3"/>
            <w:vMerge w:val="continue"/>
          </w:tcPr>
          <w:p>
            <w:pPr>
              <w:spacing w:after="0"/>
              <w:rPr>
                <w:sz w:val="19"/>
                <w:szCs w:val="19"/>
                <w:color w:val="auto"/>
              </w:rPr>
            </w:pPr>
          </w:p>
        </w:tc>
        <w:tc>
          <w:tcPr>
            <w:tcW w:w="8720" w:type="dxa"/>
            <w:vAlign w:val="bottom"/>
            <w:gridSpan w:val="16"/>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7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Financial Statements (Unaudited)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3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360" w:type="dxa"/>
            <w:vAlign w:val="bottom"/>
            <w:gridSpan w:val="6"/>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4120" w:type="dxa"/>
            <w:vAlign w:val="bottom"/>
            <w:gridSpan w:val="2"/>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260" w:type="dxa"/>
            <w:vAlign w:val="bottom"/>
            <w:gridSpan w:val="5"/>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4420" w:type="dxa"/>
            <w:vAlign w:val="bottom"/>
            <w:gridSpan w:val="3"/>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1540" w:type="dxa"/>
            <w:vAlign w:val="bottom"/>
            <w:gridSpan w:val="3"/>
            <w:vMerge w:val="continue"/>
          </w:tcPr>
          <w:p>
            <w:pPr>
              <w:spacing w:after="0"/>
              <w:rPr>
                <w:sz w:val="24"/>
                <w:szCs w:val="24"/>
                <w:color w:val="auto"/>
              </w:rPr>
            </w:pPr>
          </w:p>
        </w:tc>
        <w:tc>
          <w:tcPr>
            <w:tcW w:w="87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400" w:type="dxa"/>
            <w:vAlign w:val="bottom"/>
            <w:gridSpan w:val="12"/>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820" w:type="dxa"/>
            <w:vAlign w:val="bottom"/>
            <w:gridSpan w:val="14"/>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1980" w:type="dxa"/>
            <w:vAlign w:val="bottom"/>
            <w:tcBorders>
              <w:top w:val="single" w:sz="8" w:color="0000FF"/>
            </w:tcBorders>
            <w:gridSpan w:val="5"/>
          </w:tcPr>
          <w:p>
            <w:pPr>
              <w:spacing w:after="0"/>
              <w:rPr>
                <w:sz w:val="20"/>
                <w:szCs w:val="20"/>
                <w:color w:val="auto"/>
              </w:rPr>
            </w:pPr>
          </w:p>
        </w:tc>
        <w:tc>
          <w:tcPr>
            <w:tcW w:w="4440" w:type="dxa"/>
            <w:vAlign w:val="bottom"/>
            <w:gridSpan w:val="4"/>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980" w:type="dxa"/>
            <w:vAlign w:val="bottom"/>
            <w:gridSpan w:val="11"/>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20" w:type="dxa"/>
            <w:vAlign w:val="bottom"/>
            <w:gridSpan w:val="13"/>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7"/>
        </w:trPr>
        <w:tc>
          <w:tcPr>
            <w:tcW w:w="10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4280" w:type="dxa"/>
            <w:vAlign w:val="bottom"/>
            <w:gridSpan w:val="12"/>
          </w:tcPr>
          <w:p>
            <w:pPr>
              <w:ind w:left="40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ectPr>
          <w:pgSz w:w="11900" w:h="16838" w:orient="portrait"/>
          <w:cols w:equalWidth="0" w:num="1">
            <w:col w:w="10920"/>
          </w:cols>
          <w:pgMar w:left="320" w:top="121" w:right="659" w:bottom="1440" w:gutter="0" w:footer="0" w:header="0"/>
        </w:sectPr>
      </w:pP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5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00" w:type="dxa"/>
            <w:vAlign w:val="bottom"/>
          </w:tcPr>
          <w:p>
            <w:pPr>
              <w:spacing w:after="0"/>
              <w:rPr>
                <w:sz w:val="17"/>
                <w:szCs w:val="17"/>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8"/>
                <w:szCs w:val="18"/>
                <w:b w:val="1"/>
                <w:bCs w:val="1"/>
                <w:i w:val="1"/>
                <w:iCs w:val="1"/>
                <w:color w:val="auto"/>
                <w:w w:val="98"/>
              </w:rPr>
              <w:t>(unaudited)</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5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5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5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186,552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5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5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5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income tax assets, noncurrent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5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493,320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5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52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5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5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Legal settlement liability, current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5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5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5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Legal settlement liability, noncurrent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115,763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5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52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Common stock, $0.001 par value; 1,000,000,000 authorized shares as of June 30, 2025 and</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3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w w:val="97"/>
              </w:rPr>
              <w:t>December 31, 2024, respectively;</w:t>
            </w:r>
          </w:p>
        </w:tc>
        <w:tc>
          <w:tcPr>
            <w:tcW w:w="94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shd w:val="clear" w:color="auto" w:fill="CCEEFF"/>
              </w:rPr>
              <w:t>127,185,113</w:t>
            </w:r>
          </w:p>
        </w:tc>
        <w:tc>
          <w:tcPr>
            <w:tcW w:w="4200" w:type="dxa"/>
            <w:vAlign w:val="bottom"/>
            <w:gridSpan w:val="2"/>
          </w:tcPr>
          <w:p>
            <w:pPr>
              <w:ind w:left="40"/>
              <w:spacing w:after="0" w:line="199" w:lineRule="exact"/>
              <w:rPr>
                <w:sz w:val="20"/>
                <w:szCs w:val="20"/>
                <w:color w:val="auto"/>
              </w:rPr>
            </w:pPr>
            <w:r>
              <w:rPr>
                <w:rFonts w:ascii="Times New Roman" w:cs="Times New Roman" w:eastAsia="Times New Roman" w:hAnsi="Times New Roman"/>
                <w:sz w:val="18"/>
                <w:szCs w:val="18"/>
                <w:color w:val="auto"/>
              </w:rPr>
              <w:t>and 129,205,901 issued and outstanding shares as of</w:t>
            </w:r>
          </w:p>
        </w:tc>
        <w:tc>
          <w:tcPr>
            <w:tcW w:w="200" w:type="dxa"/>
            <w:vAlign w:val="bottom"/>
          </w:tcPr>
          <w:p>
            <w:pPr>
              <w:spacing w:after="0"/>
              <w:rPr>
                <w:sz w:val="17"/>
                <w:szCs w:val="17"/>
                <w:color w:val="auto"/>
              </w:rPr>
            </w:pPr>
          </w:p>
        </w:tc>
        <w:tc>
          <w:tcPr>
            <w:tcW w:w="12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w w:val="99"/>
              </w:rPr>
              <w:t>June 30, 2025 and December 31,</w:t>
            </w: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2024, respectively.</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-5588000</wp:posOffset>
            </wp:positionV>
            <wp:extent cx="6722110" cy="160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2110" cy="160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-5267960</wp:posOffset>
            </wp:positionV>
            <wp:extent cx="6722110" cy="16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2110" cy="160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-4947920</wp:posOffset>
            </wp:positionV>
            <wp:extent cx="6722110" cy="160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2110" cy="160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-4627880</wp:posOffset>
            </wp:positionV>
            <wp:extent cx="6722110" cy="16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2110" cy="160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-3987800</wp:posOffset>
            </wp:positionV>
            <wp:extent cx="6722110" cy="160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22110" cy="160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-3667125</wp:posOffset>
            </wp:positionV>
            <wp:extent cx="6722110" cy="16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22110" cy="160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-3347085</wp:posOffset>
            </wp:positionV>
            <wp:extent cx="6722110" cy="160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22110" cy="160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-2681605</wp:posOffset>
            </wp:positionV>
            <wp:extent cx="6722110" cy="16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22110" cy="160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-2361565</wp:posOffset>
            </wp:positionV>
            <wp:extent cx="6722110" cy="160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22110" cy="160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-2041525</wp:posOffset>
            </wp:positionV>
            <wp:extent cx="6722110" cy="16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22110" cy="160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-1721485</wp:posOffset>
            </wp:positionV>
            <wp:extent cx="6722110" cy="160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22110" cy="160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-1401445</wp:posOffset>
            </wp:positionV>
            <wp:extent cx="6722110" cy="160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22110" cy="160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-1081405</wp:posOffset>
            </wp:positionV>
            <wp:extent cx="6722110" cy="160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22110" cy="160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-415925</wp:posOffset>
            </wp:positionV>
            <wp:extent cx="6722110" cy="421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22110" cy="42100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-735965</wp:posOffset>
            </wp:positionV>
            <wp:extent cx="6722110" cy="160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22110" cy="160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-3002280</wp:posOffset>
            </wp:positionV>
            <wp:extent cx="6722110" cy="160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22110" cy="160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-4307840</wp:posOffset>
            </wp:positionV>
            <wp:extent cx="6722110" cy="160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2211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28575</wp:posOffset>
            </wp:positionV>
            <wp:extent cx="9436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(audited)</w:t>
      </w:r>
    </w:p>
    <w:p>
      <w:pPr>
        <w:spacing w:after="0" w:line="200" w:lineRule="exact"/>
        <w:rPr>
          <w:sz w:val="20"/>
          <w:szCs w:val="20"/>
          <w:color w:val="auto"/>
        </w:rPr>
      </w:pPr>
    </w:p>
    <w:p>
      <w:pPr>
        <w:spacing w:after="0" w:line="36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98,716</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29</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179,145</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60,588</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43,893</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14,075</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396,446</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33,374</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17,962</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10,168</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16,663</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20,128</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15240</wp:posOffset>
            </wp:positionV>
            <wp:extent cx="9436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2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499,500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23495</wp:posOffset>
            </wp:positionV>
            <wp:extent cx="943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5,529</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1,705</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21,443</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13,494</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25,492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15240</wp:posOffset>
            </wp:positionV>
            <wp:extent cx="9436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2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67,663</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9,036</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16,098</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7,552</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1,050</w:t>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15240</wp:posOffset>
            </wp:positionV>
            <wp:extent cx="943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2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103,763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23495</wp:posOffset>
            </wp:positionV>
            <wp:extent cx="943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129</w:t>
      </w:r>
    </w:p>
    <w:p>
      <w:pPr>
        <w:spacing w:after="0" w:line="256" w:lineRule="exact"/>
        <w:rPr>
          <w:sz w:val="20"/>
          <w:szCs w:val="20"/>
          <w:color w:val="auto"/>
        </w:rPr>
      </w:pPr>
    </w:p>
    <w:p>
      <w:pPr>
        <w:sectPr>
          <w:pgSz w:w="11900" w:h="16838" w:orient="portrait"/>
          <w:cols w:equalWidth="0" w:num="2">
            <w:col w:w="9540" w:space="220"/>
            <w:col w:w="1160"/>
          </w:cols>
          <w:pgMar w:left="320" w:top="121" w:right="659" w:bottom="1440" w:gutter="0" w:footer="0" w:header="0"/>
          <w:type w:val="continuous"/>
        </w:sectPr>
      </w:pPr>
    </w:p>
    <w:tbl>
      <w:tblPr>
        <w:tblLayout w:type="fixed"/>
        <w:tblInd w:w="340" w:type="dxa"/>
        <w:tblCellMar>
          <w:top w:w="0" w:type="dxa"/>
          <w:left w:w="0" w:type="dxa"/>
          <w:bottom w:w="0" w:type="dxa"/>
          <w:right w:w="0" w:type="dxa"/>
        </w:tblCellMar>
      </w:tblPr>
      <w:tr>
        <w:trPr>
          <w:trHeight w:val="24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430,791</w:t>
            </w:r>
          </w:p>
        </w:tc>
      </w:tr>
      <w:tr>
        <w:trPr>
          <w:trHeight w:val="252"/>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(35,199)</w:t>
            </w:r>
          </w:p>
        </w:tc>
      </w:tr>
      <w:tr>
        <w:trPr>
          <w:trHeight w:val="252"/>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9"/>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377,557</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395,737</w:t>
            </w:r>
          </w:p>
        </w:tc>
      </w:tr>
      <w:tr>
        <w:trPr>
          <w:trHeight w:val="245"/>
        </w:trPr>
        <w:tc>
          <w:tcPr>
            <w:tcW w:w="7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493,320</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499,500</w:t>
            </w:r>
          </w:p>
        </w:tc>
      </w:tr>
      <w:tr>
        <w:trPr>
          <w:trHeight w:val="26"/>
        </w:trPr>
        <w:tc>
          <w:tcPr>
            <w:tcW w:w="75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ectPr>
          <w:pgSz w:w="11900" w:h="16838" w:orient="portrait"/>
          <w:cols w:equalWidth="0" w:num="1">
            <w:col w:w="10920"/>
          </w:cols>
          <w:pgMar w:left="320" w:top="121" w:right="65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420" w:type="dxa"/>
            <w:vAlign w:val="bottom"/>
          </w:tcPr>
          <w:p>
            <w:pPr>
              <w:spacing w:after="0"/>
              <w:rPr>
                <w:sz w:val="18"/>
                <w:szCs w:val="18"/>
                <w:color w:val="auto"/>
              </w:rPr>
            </w:pPr>
          </w:p>
        </w:tc>
        <w:tc>
          <w:tcPr>
            <w:tcW w:w="136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4"/>
        </w:trPr>
        <w:tc>
          <w:tcPr>
            <w:tcW w:w="3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31,415</w:t>
            </w:r>
          </w:p>
        </w:tc>
        <w:tc>
          <w:tcPr>
            <w:tcW w:w="140" w:type="dxa"/>
            <w:vAlign w:val="bottom"/>
          </w:tcPr>
          <w:p>
            <w:pPr>
              <w:spacing w:after="0"/>
              <w:rPr>
                <w:sz w:val="21"/>
                <w:szCs w:val="21"/>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34,576</w:t>
            </w:r>
          </w:p>
        </w:tc>
        <w:tc>
          <w:tcPr>
            <w:tcW w:w="56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59,525</w:t>
            </w:r>
          </w:p>
        </w:tc>
        <w:tc>
          <w:tcPr>
            <w:tcW w:w="5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68,698</w:t>
            </w:r>
          </w:p>
        </w:tc>
        <w:tc>
          <w:tcPr>
            <w:tcW w:w="0" w:type="dxa"/>
            <w:vAlign w:val="bottom"/>
          </w:tcPr>
          <w:p>
            <w:pPr>
              <w:spacing w:after="0"/>
              <w:rPr>
                <w:sz w:val="1"/>
                <w:szCs w:val="1"/>
                <w:color w:val="auto"/>
              </w:rPr>
            </w:pPr>
          </w:p>
        </w:tc>
      </w:tr>
      <w:tr>
        <w:trPr>
          <w:trHeight w:val="252"/>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w:t>
            </w:r>
          </w:p>
        </w:tc>
        <w:tc>
          <w:tcPr>
            <w:tcW w:w="1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140" w:type="dxa"/>
            <w:vAlign w:val="bottom"/>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27,534</w:t>
            </w:r>
          </w:p>
        </w:tc>
        <w:tc>
          <w:tcPr>
            <w:tcW w:w="1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w:t>
            </w:r>
          </w:p>
        </w:tc>
        <w:tc>
          <w:tcPr>
            <w:tcW w:w="0" w:type="dxa"/>
            <w:vAlign w:val="bottom"/>
          </w:tcPr>
          <w:p>
            <w:pPr>
              <w:spacing w:after="0"/>
              <w:rPr>
                <w:sz w:val="1"/>
                <w:szCs w:val="1"/>
                <w:color w:val="auto"/>
              </w:rPr>
            </w:pPr>
          </w:p>
        </w:tc>
      </w:tr>
      <w:tr>
        <w:trPr>
          <w:trHeight w:val="239"/>
        </w:trPr>
        <w:tc>
          <w:tcPr>
            <w:tcW w:w="3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net</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45,602</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87,059</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0" w:type="dxa"/>
            <w:vAlign w:val="bottom"/>
          </w:tcPr>
          <w:p>
            <w:pPr>
              <w:spacing w:after="0"/>
              <w:rPr>
                <w:sz w:val="1"/>
                <w:szCs w:val="1"/>
                <w:color w:val="auto"/>
              </w:rPr>
            </w:pPr>
          </w:p>
        </w:tc>
      </w:tr>
      <w:tr>
        <w:trPr>
          <w:trHeight w:val="238"/>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30,450</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32,554</w:t>
            </w:r>
          </w:p>
        </w:tc>
        <w:tc>
          <w:tcPr>
            <w:tcW w:w="0" w:type="dxa"/>
            <w:vAlign w:val="bottom"/>
          </w:tcPr>
          <w:p>
            <w:pPr>
              <w:spacing w:after="0"/>
              <w:rPr>
                <w:sz w:val="1"/>
                <w:szCs w:val="1"/>
                <w:color w:val="auto"/>
              </w:rPr>
            </w:pPr>
          </w:p>
        </w:tc>
      </w:tr>
      <w:tr>
        <w:trPr>
          <w:trHeight w:val="252"/>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1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40" w:type="dxa"/>
            <w:vAlign w:val="bottom"/>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1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0" w:type="dxa"/>
            <w:vAlign w:val="bottom"/>
          </w:tcPr>
          <w:p>
            <w:pPr>
              <w:spacing w:after="0"/>
              <w:rPr>
                <w:sz w:val="1"/>
                <w:szCs w:val="1"/>
                <w:color w:val="auto"/>
              </w:rPr>
            </w:pPr>
          </w:p>
        </w:tc>
      </w:tr>
      <w:tr>
        <w:trPr>
          <w:trHeight w:val="239"/>
        </w:trPr>
        <w:tc>
          <w:tcPr>
            <w:tcW w:w="3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cost of sales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21,735</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21,181</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43,035</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43,028</w:t>
            </w:r>
          </w:p>
        </w:tc>
        <w:tc>
          <w:tcPr>
            <w:tcW w:w="0" w:type="dxa"/>
            <w:vAlign w:val="bottom"/>
          </w:tcPr>
          <w:p>
            <w:pPr>
              <w:spacing w:after="0"/>
              <w:rPr>
                <w:sz w:val="1"/>
                <w:szCs w:val="1"/>
                <w:color w:val="auto"/>
              </w:rPr>
            </w:pPr>
          </w:p>
        </w:tc>
      </w:tr>
      <w:tr>
        <w:trPr>
          <w:trHeight w:val="251"/>
        </w:trPr>
        <w:tc>
          <w:tcPr>
            <w:tcW w:w="3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23,867</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25,436</w:t>
            </w:r>
          </w:p>
        </w:tc>
        <w:tc>
          <w:tcPr>
            <w:tcW w:w="140" w:type="dxa"/>
            <w:vAlign w:val="bottom"/>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48,449</w:t>
            </w:r>
          </w:p>
        </w:tc>
        <w:tc>
          <w:tcPr>
            <w:tcW w:w="0" w:type="dxa"/>
            <w:vAlign w:val="bottom"/>
          </w:tcPr>
          <w:p>
            <w:pPr>
              <w:spacing w:after="0"/>
              <w:rPr>
                <w:sz w:val="1"/>
                <w:szCs w:val="1"/>
                <w:color w:val="auto"/>
              </w:rPr>
            </w:pPr>
          </w:p>
        </w:tc>
      </w:tr>
      <w:tr>
        <w:trPr>
          <w:trHeight w:val="24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40" w:type="dxa"/>
            <w:vAlign w:val="bottom"/>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0" w:type="dxa"/>
            <w:vAlign w:val="bottom"/>
          </w:tcPr>
          <w:p>
            <w:pPr>
              <w:spacing w:after="0"/>
              <w:rPr>
                <w:sz w:val="1"/>
                <w:szCs w:val="1"/>
                <w:color w:val="auto"/>
              </w:rPr>
            </w:pPr>
          </w:p>
        </w:tc>
      </w:tr>
      <w:tr>
        <w:trPr>
          <w:trHeight w:val="252"/>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24,643</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0" w:type="dxa"/>
            <w:vAlign w:val="bottom"/>
          </w:tcPr>
          <w:p>
            <w:pPr>
              <w:spacing w:after="0"/>
              <w:rPr>
                <w:sz w:val="1"/>
                <w:szCs w:val="1"/>
                <w:color w:val="auto"/>
              </w:rPr>
            </w:pPr>
          </w:p>
        </w:tc>
      </w:tr>
      <w:tr>
        <w:trPr>
          <w:trHeight w:val="252"/>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1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140" w:type="dxa"/>
            <w:vAlign w:val="bottom"/>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26,429</w:t>
            </w:r>
          </w:p>
        </w:tc>
        <w:tc>
          <w:tcPr>
            <w:tcW w:w="1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23,102</w:t>
            </w:r>
          </w:p>
        </w:tc>
        <w:tc>
          <w:tcPr>
            <w:tcW w:w="0" w:type="dxa"/>
            <w:vAlign w:val="bottom"/>
          </w:tcPr>
          <w:p>
            <w:pPr>
              <w:spacing w:after="0"/>
              <w:rPr>
                <w:sz w:val="1"/>
                <w:szCs w:val="1"/>
                <w:color w:val="auto"/>
              </w:rPr>
            </w:pPr>
          </w:p>
        </w:tc>
      </w:tr>
      <w:tr>
        <w:trPr>
          <w:trHeight w:val="239"/>
        </w:trPr>
        <w:tc>
          <w:tcPr>
            <w:tcW w:w="3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34,491</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67,709</w:t>
            </w:r>
          </w:p>
        </w:tc>
        <w:tc>
          <w:tcPr>
            <w:tcW w:w="0" w:type="dxa"/>
            <w:vAlign w:val="bottom"/>
          </w:tcPr>
          <w:p>
            <w:pPr>
              <w:spacing w:after="0"/>
              <w:rPr>
                <w:sz w:val="1"/>
                <w:szCs w:val="1"/>
                <w:color w:val="auto"/>
              </w:rPr>
            </w:pPr>
          </w:p>
        </w:tc>
      </w:tr>
      <w:tr>
        <w:trPr>
          <w:trHeight w:val="251"/>
        </w:trPr>
        <w:tc>
          <w:tcPr>
            <w:tcW w:w="3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40" w:type="dxa"/>
            <w:vAlign w:val="bottom"/>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0" w:type="dxa"/>
            <w:vAlign w:val="bottom"/>
          </w:tcPr>
          <w:p>
            <w:pPr>
              <w:spacing w:after="0"/>
              <w:rPr>
                <w:sz w:val="1"/>
                <w:szCs w:val="1"/>
                <w:color w:val="auto"/>
              </w:rPr>
            </w:pPr>
          </w:p>
        </w:tc>
      </w:tr>
      <w:tr>
        <w:trPr>
          <w:trHeight w:val="24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52"/>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52"/>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1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39"/>
        </w:trPr>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0" w:type="dxa"/>
            <w:vAlign w:val="bottom"/>
          </w:tcPr>
          <w:p>
            <w:pPr>
              <w:spacing w:after="0"/>
              <w:rPr>
                <w:sz w:val="1"/>
                <w:szCs w:val="1"/>
                <w:color w:val="auto"/>
              </w:rPr>
            </w:pPr>
          </w:p>
        </w:tc>
      </w:tr>
      <w:tr>
        <w:trPr>
          <w:trHeight w:val="251"/>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40" w:type="dxa"/>
            <w:vAlign w:val="bottom"/>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0" w:type="dxa"/>
            <w:vAlign w:val="bottom"/>
          </w:tcPr>
          <w:p>
            <w:pPr>
              <w:spacing w:after="0"/>
              <w:rPr>
                <w:sz w:val="1"/>
                <w:szCs w:val="1"/>
                <w:color w:val="auto"/>
              </w:rPr>
            </w:pPr>
          </w:p>
        </w:tc>
      </w:tr>
      <w:tr>
        <w:trPr>
          <w:trHeight w:val="252"/>
        </w:trPr>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40" w:type="dxa"/>
            <w:vAlign w:val="bottom"/>
          </w:tcPr>
          <w:p>
            <w:pPr>
              <w:spacing w:after="0"/>
              <w:rPr>
                <w:sz w:val="21"/>
                <w:szCs w:val="21"/>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31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40" w:type="dxa"/>
            <w:vAlign w:val="bottom"/>
          </w:tcPr>
          <w:p>
            <w:pPr>
              <w:spacing w:after="0"/>
              <w:rPr>
                <w:sz w:val="24"/>
                <w:szCs w:val="24"/>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560" w:type="dxa"/>
            <w:vAlign w:val="bottom"/>
            <w:tcBorders>
              <w:bottom w:val="single" w:sz="8" w:color="CCEEFF"/>
            </w:tcBorders>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0" w:type="dxa"/>
            <w:vAlign w:val="bottom"/>
          </w:tcPr>
          <w:p>
            <w:pPr>
              <w:spacing w:after="0"/>
              <w:rPr>
                <w:sz w:val="1"/>
                <w:szCs w:val="1"/>
                <w:color w:val="auto"/>
              </w:rPr>
            </w:pPr>
          </w:p>
        </w:tc>
      </w:tr>
      <w:tr>
        <w:trPr>
          <w:trHeight w:val="219"/>
        </w:trPr>
        <w:tc>
          <w:tcPr>
            <w:tcW w:w="3660" w:type="dxa"/>
            <w:vAlign w:val="bottom"/>
            <w:tcBorders>
              <w:top w:val="single" w:sz="8" w:color="CCEEFF"/>
            </w:tcBorders>
            <w:gridSpan w:val="2"/>
          </w:tcPr>
          <w:p>
            <w:pPr>
              <w:ind w:left="20"/>
              <w:spacing w:after="0" w:line="192" w:lineRule="exact"/>
              <w:rPr>
                <w:sz w:val="20"/>
                <w:szCs w:val="20"/>
                <w:color w:val="auto"/>
              </w:rPr>
            </w:pPr>
            <w:r>
              <w:rPr>
                <w:rFonts w:ascii="Times New Roman" w:cs="Times New Roman" w:eastAsia="Times New Roman" w:hAnsi="Times New Roman"/>
                <w:sz w:val="18"/>
                <w:szCs w:val="18"/>
                <w:color w:val="auto"/>
              </w:rPr>
              <w:t>Net loss, basic and diluted</w:t>
            </w:r>
          </w:p>
        </w:tc>
        <w:tc>
          <w:tcPr>
            <w:tcW w:w="4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40" w:type="dxa"/>
            <w:vAlign w:val="bottom"/>
            <w:tcBorders>
              <w:top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140" w:type="dxa"/>
            <w:vAlign w:val="bottom"/>
            <w:tcBorders>
              <w:top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23"/>
                <w:szCs w:val="23"/>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23"/>
                <w:szCs w:val="23"/>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gridSpan w:val="2"/>
            <w:vMerge w:val="continue"/>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60" w:type="dxa"/>
            <w:vAlign w:val="bottom"/>
            <w:tcBorders>
              <w:bottom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60" w:type="dxa"/>
            <w:vAlign w:val="bottom"/>
            <w:tcBorders>
              <w:bottom w:val="single" w:sz="8" w:color="auto"/>
            </w:tcBorders>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66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Weighted-average shares used in calculating net</w:t>
            </w:r>
          </w:p>
        </w:tc>
        <w:tc>
          <w:tcPr>
            <w:tcW w:w="4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126,934,294</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131,440,486</w:t>
            </w:r>
          </w:p>
        </w:tc>
        <w:tc>
          <w:tcPr>
            <w:tcW w:w="140" w:type="dxa"/>
            <w:vAlign w:val="bottom"/>
          </w:tcPr>
          <w:p>
            <w:pPr>
              <w:spacing w:after="0"/>
              <w:rPr>
                <w:sz w:val="15"/>
                <w:szCs w:val="15"/>
                <w:color w:val="auto"/>
              </w:rPr>
            </w:pPr>
          </w:p>
        </w:tc>
        <w:tc>
          <w:tcPr>
            <w:tcW w:w="420" w:type="dxa"/>
            <w:vAlign w:val="bottom"/>
            <w:vMerge w:val="restart"/>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127,632,999</w:t>
            </w:r>
          </w:p>
        </w:tc>
        <w:tc>
          <w:tcPr>
            <w:tcW w:w="14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131,180,734</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 basic</w:t>
            </w: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2"/>
            <w:vMerge w:val="restart"/>
          </w:tcPr>
          <w:p>
            <w:pPr>
              <w:ind w:left="20"/>
              <w:spacing w:after="0" w:line="194" w:lineRule="exact"/>
              <w:rPr>
                <w:sz w:val="20"/>
                <w:szCs w:val="20"/>
                <w:color w:val="auto"/>
              </w:rPr>
            </w:pPr>
            <w:r>
              <w:rPr>
                <w:rFonts w:ascii="Times New Roman" w:cs="Times New Roman" w:eastAsia="Times New Roman" w:hAnsi="Times New Roman"/>
                <w:sz w:val="18"/>
                <w:szCs w:val="18"/>
                <w:color w:val="auto"/>
              </w:rPr>
              <w:t>Weighted-average shares used in calculating net</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126,934,294</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131,440,486</w:t>
            </w:r>
          </w:p>
        </w:tc>
        <w:tc>
          <w:tcPr>
            <w:tcW w:w="560" w:type="dxa"/>
            <w:vAlign w:val="bottom"/>
            <w:gridSpan w:val="2"/>
            <w:vMerge w:val="restart"/>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127,632,999</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131,180,734</w:t>
            </w:r>
          </w:p>
        </w:tc>
        <w:tc>
          <w:tcPr>
            <w:tcW w:w="0" w:type="dxa"/>
            <w:vAlign w:val="bottom"/>
          </w:tcPr>
          <w:p>
            <w:pPr>
              <w:spacing w:after="0"/>
              <w:rPr>
                <w:sz w:val="1"/>
                <w:szCs w:val="1"/>
                <w:color w:val="auto"/>
              </w:rPr>
            </w:pPr>
          </w:p>
        </w:tc>
      </w:tr>
      <w:tr>
        <w:trPr>
          <w:trHeight w:val="217"/>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per share, diluted</w:t>
            </w:r>
          </w:p>
        </w:tc>
        <w:tc>
          <w:tcPr>
            <w:tcW w:w="4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40" w:type="dxa"/>
            <w:vAlign w:val="bottom"/>
          </w:tcPr>
          <w:p>
            <w:pPr>
              <w:spacing w:after="0"/>
              <w:rPr>
                <w:sz w:val="21"/>
                <w:szCs w:val="21"/>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56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5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0" w:type="dxa"/>
            <w:vAlign w:val="bottom"/>
          </w:tcPr>
          <w:p>
            <w:pPr>
              <w:spacing w:after="0"/>
              <w:rPr>
                <w:sz w:val="1"/>
                <w:szCs w:val="1"/>
                <w:color w:val="auto"/>
              </w:rPr>
            </w:pPr>
          </w:p>
        </w:tc>
      </w:tr>
      <w:tr>
        <w:trPr>
          <w:trHeight w:val="21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40" w:type="dxa"/>
            <w:vAlign w:val="bottom"/>
          </w:tcPr>
          <w:p>
            <w:pPr>
              <w:spacing w:after="0"/>
              <w:rPr>
                <w:sz w:val="21"/>
                <w:szCs w:val="21"/>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4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0"/>
        </w:trPr>
        <w:tc>
          <w:tcPr>
            <w:tcW w:w="36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comprehensive loss</w:t>
            </w:r>
          </w:p>
        </w:tc>
        <w:tc>
          <w:tcPr>
            <w:tcW w:w="4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140" w:type="dxa"/>
            <w:vAlign w:val="bottom"/>
          </w:tcPr>
          <w:p>
            <w:pPr>
              <w:spacing w:after="0"/>
              <w:rPr>
                <w:sz w:val="23"/>
                <w:szCs w:val="23"/>
                <w:color w:val="auto"/>
              </w:rPr>
            </w:pPr>
          </w:p>
        </w:tc>
        <w:tc>
          <w:tcPr>
            <w:tcW w:w="4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140" w:type="dxa"/>
            <w:vAlign w:val="bottom"/>
          </w:tcPr>
          <w:p>
            <w:pPr>
              <w:spacing w:after="0"/>
              <w:rPr>
                <w:sz w:val="23"/>
                <w:szCs w:val="23"/>
                <w:color w:val="auto"/>
              </w:rPr>
            </w:pP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Cytek Biosciences,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20" w:type="dxa"/>
            <w:vAlign w:val="bottom"/>
            <w:tcBorders>
              <w:right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78"/>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00" w:type="dxa"/>
            <w:vAlign w:val="bottom"/>
          </w:tcPr>
          <w:p>
            <w:pPr>
              <w:spacing w:after="0"/>
              <w:rPr>
                <w:sz w:val="17"/>
                <w:szCs w:val="17"/>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7"/>
                <w:szCs w:val="17"/>
                <w:color w:val="auto"/>
              </w:rPr>
            </w:pPr>
          </w:p>
        </w:tc>
        <w:tc>
          <w:tcPr>
            <w:tcW w:w="1220" w:type="dxa"/>
            <w:vAlign w:val="bottom"/>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80" w:type="dxa"/>
            <w:vAlign w:val="bottom"/>
          </w:tcPr>
          <w:p>
            <w:pPr>
              <w:spacing w:after="0"/>
              <w:rPr>
                <w:sz w:val="17"/>
                <w:szCs w:val="17"/>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9"/>
        </w:trPr>
        <w:tc>
          <w:tcPr>
            <w:tcW w:w="3320" w:type="dxa"/>
            <w:vAlign w:val="bottom"/>
            <w:tcBorders>
              <w:righ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8"/>
              <w:spacing w:after="0"/>
              <w:rPr>
                <w:sz w:val="20"/>
                <w:szCs w:val="20"/>
                <w:color w:val="auto"/>
              </w:rPr>
            </w:pPr>
            <w:r>
              <w:rPr>
                <w:rFonts w:ascii="Times New Roman" w:cs="Times New Roman" w:eastAsia="Times New Roman" w:hAnsi="Times New Roman"/>
                <w:sz w:val="12"/>
                <w:szCs w:val="12"/>
                <w:b w:val="1"/>
                <w:bCs w:val="1"/>
                <w:color w:val="auto"/>
                <w:w w:val="97"/>
              </w:rPr>
              <w:t>paid-in</w:t>
            </w:r>
          </w:p>
        </w:tc>
        <w:tc>
          <w:tcPr>
            <w:tcW w:w="200" w:type="dxa"/>
            <w:vAlign w:val="bottom"/>
          </w:tcPr>
          <w:p>
            <w:pPr>
              <w:spacing w:after="0"/>
              <w:rPr>
                <w:sz w:val="12"/>
                <w:szCs w:val="12"/>
                <w:color w:val="auto"/>
              </w:rPr>
            </w:pPr>
          </w:p>
        </w:tc>
        <w:tc>
          <w:tcPr>
            <w:tcW w:w="1140" w:type="dxa"/>
            <w:vAlign w:val="bottom"/>
          </w:tcPr>
          <w:p>
            <w:pPr>
              <w:jc w:val="center"/>
              <w:ind w:right="138"/>
              <w:spacing w:after="0" w:line="136" w:lineRule="exact"/>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Pr>
          <w:p>
            <w:pPr>
              <w:spacing w:after="0"/>
              <w:rPr>
                <w:sz w:val="12"/>
                <w:szCs w:val="12"/>
                <w:color w:val="auto"/>
              </w:rPr>
            </w:pPr>
          </w:p>
        </w:tc>
        <w:tc>
          <w:tcPr>
            <w:tcW w:w="1220" w:type="dxa"/>
            <w:vAlign w:val="bottom"/>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80" w:type="dxa"/>
            <w:vAlign w:val="bottom"/>
          </w:tcPr>
          <w:p>
            <w:pPr>
              <w:spacing w:after="0"/>
              <w:rPr>
                <w:sz w:val="12"/>
                <w:szCs w:val="12"/>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2"/>
        </w:trPr>
        <w:tc>
          <w:tcPr>
            <w:tcW w:w="3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tc>
        <w:tc>
          <w:tcPr>
            <w:tcW w:w="1360" w:type="dxa"/>
            <w:vAlign w:val="bottom"/>
            <w:vMerge w:val="restart"/>
          </w:tcPr>
          <w:p>
            <w:pPr>
              <w:jc w:val="right"/>
              <w:ind w:right="39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380" w:type="dxa"/>
            <w:vAlign w:val="bottom"/>
          </w:tcPr>
          <w:p>
            <w:pPr>
              <w:spacing w:after="0"/>
              <w:rPr>
                <w:sz w:val="14"/>
                <w:szCs w:val="14"/>
                <w:color w:val="auto"/>
              </w:rPr>
            </w:pPr>
          </w:p>
        </w:tc>
        <w:tc>
          <w:tcPr>
            <w:tcW w:w="820" w:type="dxa"/>
            <w:vAlign w:val="bottom"/>
            <w:vMerge w:val="restart"/>
          </w:tcPr>
          <w:p>
            <w:pPr>
              <w:jc w:val="right"/>
              <w:ind w:right="318"/>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40" w:type="dxa"/>
            <w:vAlign w:val="bottom"/>
          </w:tcPr>
          <w:p>
            <w:pPr>
              <w:spacing w:after="0"/>
              <w:rPr>
                <w:sz w:val="14"/>
                <w:szCs w:val="14"/>
                <w:color w:val="auto"/>
              </w:rPr>
            </w:pPr>
          </w:p>
        </w:tc>
        <w:tc>
          <w:tcPr>
            <w:tcW w:w="1120" w:type="dxa"/>
            <w:vAlign w:val="bottom"/>
          </w:tcPr>
          <w:p>
            <w:pPr>
              <w:jc w:val="center"/>
              <w:ind w:right="178"/>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80" w:type="dxa"/>
            <w:vAlign w:val="bottom"/>
          </w:tcPr>
          <w:p>
            <w:pPr>
              <w:spacing w:after="0"/>
              <w:rPr>
                <w:sz w:val="14"/>
                <w:szCs w:val="14"/>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66"/>
        </w:trPr>
        <w:tc>
          <w:tcPr>
            <w:tcW w:w="3320" w:type="dxa"/>
            <w:vAlign w:val="bottom"/>
            <w:tcBorders>
              <w:right w:val="single" w:sz="8" w:color="auto"/>
            </w:tcBorders>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3320" w:type="dxa"/>
            <w:vAlign w:val="bottom"/>
            <w:tcBorders>
              <w:bottom w:val="single" w:sz="8" w:color="CCEEFF"/>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3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Balances at December 31, 2024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129,205,901</w:t>
            </w:r>
          </w:p>
        </w:tc>
        <w:tc>
          <w:tcPr>
            <w:tcW w:w="38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129.00</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430,791.00</w:t>
            </w: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(35,199.00)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16.00</w:t>
            </w: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395,737.00</w:t>
            </w:r>
          </w:p>
        </w:tc>
        <w:tc>
          <w:tcPr>
            <w:tcW w:w="0" w:type="dxa"/>
            <w:vAlign w:val="bottom"/>
          </w:tcPr>
          <w:p>
            <w:pPr>
              <w:spacing w:after="0"/>
              <w:rPr>
                <w:sz w:val="1"/>
                <w:szCs w:val="1"/>
                <w:color w:val="auto"/>
              </w:rPr>
            </w:pPr>
          </w:p>
        </w:tc>
      </w:tr>
      <w:tr>
        <w:trPr>
          <w:trHeight w:val="169"/>
        </w:trPr>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Shares issued in connection with employee stock plans</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500,830</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30"/>
        </w:trPr>
        <w:tc>
          <w:tcPr>
            <w:tcW w:w="3320" w:type="dxa"/>
            <w:vAlign w:val="bottom"/>
            <w:tcBorders>
              <w:right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3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 of Common Stock withheld related to net share settlement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(29,006)</w:t>
            </w: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0" w:type="dxa"/>
            <w:vAlign w:val="bottom"/>
          </w:tcPr>
          <w:p>
            <w:pPr>
              <w:spacing w:after="0"/>
              <w:rPr>
                <w:sz w:val="1"/>
                <w:szCs w:val="1"/>
                <w:color w:val="auto"/>
              </w:rPr>
            </w:pPr>
          </w:p>
        </w:tc>
      </w:tr>
      <w:tr>
        <w:trPr>
          <w:trHeight w:val="190"/>
        </w:trPr>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Repurchase of shares</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(2,078,583)</w:t>
            </w: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(10,625)</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(10,627)</w:t>
            </w:r>
          </w:p>
        </w:tc>
        <w:tc>
          <w:tcPr>
            <w:tcW w:w="0" w:type="dxa"/>
            <w:vAlign w:val="bottom"/>
          </w:tcPr>
          <w:p>
            <w:pPr>
              <w:spacing w:after="0"/>
              <w:rPr>
                <w:sz w:val="1"/>
                <w:szCs w:val="1"/>
                <w:color w:val="auto"/>
              </w:rPr>
            </w:pPr>
          </w:p>
        </w:tc>
      </w:tr>
      <w:tr>
        <w:trPr>
          <w:trHeight w:val="188"/>
        </w:trPr>
        <w:tc>
          <w:tcPr>
            <w:tcW w:w="33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6,630</w:t>
            </w: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6,630</w:t>
            </w:r>
          </w:p>
        </w:tc>
        <w:tc>
          <w:tcPr>
            <w:tcW w:w="0" w:type="dxa"/>
            <w:vAlign w:val="bottom"/>
          </w:tcPr>
          <w:p>
            <w:pPr>
              <w:spacing w:after="0"/>
              <w:rPr>
                <w:sz w:val="1"/>
                <w:szCs w:val="1"/>
                <w:color w:val="auto"/>
              </w:rPr>
            </w:pPr>
          </w:p>
        </w:tc>
      </w:tr>
      <w:tr>
        <w:trPr>
          <w:trHeight w:val="169"/>
        </w:trPr>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Unrealized loss on marketable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0" w:type="dxa"/>
            <w:vAlign w:val="bottom"/>
          </w:tcPr>
          <w:p>
            <w:pPr>
              <w:spacing w:after="0"/>
              <w:rPr>
                <w:sz w:val="1"/>
                <w:szCs w:val="1"/>
                <w:color w:val="auto"/>
              </w:rPr>
            </w:pPr>
          </w:p>
        </w:tc>
      </w:tr>
      <w:tr>
        <w:trPr>
          <w:trHeight w:val="30"/>
        </w:trPr>
        <w:tc>
          <w:tcPr>
            <w:tcW w:w="3320" w:type="dxa"/>
            <w:vAlign w:val="bottom"/>
            <w:tcBorders>
              <w:right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3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 net of tax</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w:t>
            </w:r>
          </w:p>
        </w:tc>
        <w:tc>
          <w:tcPr>
            <w:tcW w:w="0" w:type="dxa"/>
            <w:vAlign w:val="bottom"/>
          </w:tcPr>
          <w:p>
            <w:pPr>
              <w:spacing w:after="0"/>
              <w:rPr>
                <w:sz w:val="1"/>
                <w:szCs w:val="1"/>
                <w:color w:val="auto"/>
              </w:rPr>
            </w:pPr>
          </w:p>
        </w:tc>
      </w:tr>
      <w:tr>
        <w:trPr>
          <w:trHeight w:val="169"/>
        </w:trPr>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(11,402)</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(11,402)</w:t>
            </w:r>
          </w:p>
        </w:tc>
        <w:tc>
          <w:tcPr>
            <w:tcW w:w="0" w:type="dxa"/>
            <w:vAlign w:val="bottom"/>
          </w:tcPr>
          <w:p>
            <w:pPr>
              <w:spacing w:after="0"/>
              <w:rPr>
                <w:sz w:val="1"/>
                <w:szCs w:val="1"/>
                <w:color w:val="auto"/>
              </w:rPr>
            </w:pPr>
          </w:p>
        </w:tc>
      </w:tr>
      <w:tr>
        <w:trPr>
          <w:trHeight w:val="30"/>
        </w:trPr>
        <w:tc>
          <w:tcPr>
            <w:tcW w:w="33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Balances at March 31, 2025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127,599,142</w:t>
            </w:r>
          </w:p>
        </w:tc>
        <w:tc>
          <w:tcPr>
            <w:tcW w:w="38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426,705</w:t>
            </w: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(46,601)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w:t>
            </w: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379,623</w:t>
            </w:r>
          </w:p>
        </w:tc>
        <w:tc>
          <w:tcPr>
            <w:tcW w:w="0" w:type="dxa"/>
            <w:vAlign w:val="bottom"/>
          </w:tcPr>
          <w:p>
            <w:pPr>
              <w:spacing w:after="0"/>
              <w:rPr>
                <w:sz w:val="1"/>
                <w:szCs w:val="1"/>
                <w:color w:val="auto"/>
              </w:rPr>
            </w:pPr>
          </w:p>
        </w:tc>
      </w:tr>
      <w:tr>
        <w:trPr>
          <w:trHeight w:val="59"/>
        </w:trPr>
        <w:tc>
          <w:tcPr>
            <w:tcW w:w="3320" w:type="dxa"/>
            <w:vAlign w:val="bottom"/>
            <w:tcBorders>
              <w:top w:val="single" w:sz="8" w:color="auto"/>
              <w:bottom w:val="single" w:sz="8" w:color="auto"/>
            </w:tcBorders>
          </w:tcPr>
          <w:p>
            <w:pPr>
              <w:spacing w:after="0"/>
              <w:rPr>
                <w:sz w:val="5"/>
                <w:szCs w:val="5"/>
                <w:color w:val="auto"/>
              </w:rPr>
            </w:pPr>
          </w:p>
        </w:tc>
        <w:tc>
          <w:tcPr>
            <w:tcW w:w="1360" w:type="dxa"/>
            <w:vAlign w:val="bottom"/>
            <w:tcBorders>
              <w:top w:val="single" w:sz="8" w:color="auto"/>
              <w:bottom w:val="single" w:sz="8" w:color="auto"/>
            </w:tcBorders>
          </w:tcPr>
          <w:p>
            <w:pPr>
              <w:spacing w:after="0"/>
              <w:rPr>
                <w:sz w:val="5"/>
                <w:szCs w:val="5"/>
                <w:color w:val="auto"/>
              </w:rPr>
            </w:pPr>
          </w:p>
        </w:tc>
        <w:tc>
          <w:tcPr>
            <w:tcW w:w="380" w:type="dxa"/>
            <w:vAlign w:val="bottom"/>
            <w:tcBorders>
              <w:top w:val="single" w:sz="8" w:color="auto"/>
              <w:bottom w:val="single" w:sz="8" w:color="auto"/>
            </w:tcBorders>
          </w:tcPr>
          <w:p>
            <w:pPr>
              <w:spacing w:after="0"/>
              <w:rPr>
                <w:sz w:val="5"/>
                <w:szCs w:val="5"/>
                <w:color w:val="auto"/>
              </w:rPr>
            </w:pPr>
          </w:p>
        </w:tc>
        <w:tc>
          <w:tcPr>
            <w:tcW w:w="82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112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11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22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1120" w:type="dxa"/>
            <w:vAlign w:val="bottom"/>
            <w:tcBorders>
              <w:top w:val="single" w:sz="8" w:color="auto"/>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33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 issued in connection with employee stock plans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545,702</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0" w:type="dxa"/>
            <w:vAlign w:val="bottom"/>
          </w:tcPr>
          <w:p>
            <w:pPr>
              <w:spacing w:after="0"/>
              <w:rPr>
                <w:sz w:val="1"/>
                <w:szCs w:val="1"/>
                <w:color w:val="auto"/>
              </w:rPr>
            </w:pPr>
          </w:p>
        </w:tc>
      </w:tr>
      <w:tr>
        <w:trPr>
          <w:trHeight w:val="166"/>
        </w:trPr>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Proceeds from Employee Stock Purchase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292,212</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w:t>
            </w:r>
          </w:p>
        </w:tc>
        <w:tc>
          <w:tcPr>
            <w:tcW w:w="0" w:type="dxa"/>
            <w:vAlign w:val="bottom"/>
          </w:tcPr>
          <w:p>
            <w:pPr>
              <w:spacing w:after="0"/>
              <w:rPr>
                <w:sz w:val="1"/>
                <w:szCs w:val="1"/>
                <w:color w:val="auto"/>
              </w:rPr>
            </w:pPr>
          </w:p>
        </w:tc>
      </w:tr>
      <w:tr>
        <w:trPr>
          <w:trHeight w:val="179"/>
        </w:trPr>
        <w:tc>
          <w:tcPr>
            <w:tcW w:w="33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 of Common Stock withheld related to net share settlement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(37,938)</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0" w:type="dxa"/>
            <w:vAlign w:val="bottom"/>
          </w:tcPr>
          <w:p>
            <w:pPr>
              <w:spacing w:after="0"/>
              <w:rPr>
                <w:sz w:val="1"/>
                <w:szCs w:val="1"/>
                <w:color w:val="auto"/>
              </w:rPr>
            </w:pPr>
          </w:p>
        </w:tc>
      </w:tr>
      <w:tr>
        <w:trPr>
          <w:trHeight w:val="166"/>
        </w:trPr>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Repurchase of shares</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(1,214,005)</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(4,509)</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(4,510)</w:t>
            </w:r>
          </w:p>
        </w:tc>
        <w:tc>
          <w:tcPr>
            <w:tcW w:w="0" w:type="dxa"/>
            <w:vAlign w:val="bottom"/>
          </w:tcPr>
          <w:p>
            <w:pPr>
              <w:spacing w:after="0"/>
              <w:rPr>
                <w:sz w:val="1"/>
                <w:szCs w:val="1"/>
                <w:color w:val="auto"/>
              </w:rPr>
            </w:pPr>
          </w:p>
        </w:tc>
      </w:tr>
      <w:tr>
        <w:trPr>
          <w:trHeight w:val="179"/>
        </w:trPr>
        <w:tc>
          <w:tcPr>
            <w:tcW w:w="33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6,791</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6,791</w:t>
            </w:r>
          </w:p>
        </w:tc>
        <w:tc>
          <w:tcPr>
            <w:tcW w:w="0" w:type="dxa"/>
            <w:vAlign w:val="bottom"/>
          </w:tcPr>
          <w:p>
            <w:pPr>
              <w:spacing w:after="0"/>
              <w:rPr>
                <w:sz w:val="1"/>
                <w:szCs w:val="1"/>
                <w:color w:val="auto"/>
              </w:rPr>
            </w:pPr>
          </w:p>
        </w:tc>
      </w:tr>
      <w:tr>
        <w:trPr>
          <w:trHeight w:val="166"/>
        </w:trPr>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Unrealized loss on marketable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179"/>
        </w:trPr>
        <w:tc>
          <w:tcPr>
            <w:tcW w:w="33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 net of tax</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w:t>
            </w:r>
          </w:p>
        </w:tc>
        <w:tc>
          <w:tcPr>
            <w:tcW w:w="0" w:type="dxa"/>
            <w:vAlign w:val="bottom"/>
          </w:tcPr>
          <w:p>
            <w:pPr>
              <w:spacing w:after="0"/>
              <w:rPr>
                <w:sz w:val="1"/>
                <w:szCs w:val="1"/>
                <w:color w:val="auto"/>
              </w:rPr>
            </w:pPr>
          </w:p>
        </w:tc>
      </w:tr>
      <w:tr>
        <w:trPr>
          <w:trHeight w:val="166"/>
        </w:trPr>
        <w:tc>
          <w:tcPr>
            <w:tcW w:w="3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(5,583)</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(5,583)</w:t>
            </w:r>
          </w:p>
        </w:tc>
        <w:tc>
          <w:tcPr>
            <w:tcW w:w="0" w:type="dxa"/>
            <w:vAlign w:val="bottom"/>
          </w:tcPr>
          <w:p>
            <w:pPr>
              <w:spacing w:after="0"/>
              <w:rPr>
                <w:sz w:val="1"/>
                <w:szCs w:val="1"/>
                <w:color w:val="auto"/>
              </w:rPr>
            </w:pPr>
          </w:p>
        </w:tc>
      </w:tr>
      <w:tr>
        <w:trPr>
          <w:trHeight w:val="217"/>
        </w:trPr>
        <w:tc>
          <w:tcPr>
            <w:tcW w:w="33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Balances at June 30,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127,185,113</w:t>
            </w:r>
          </w:p>
        </w:tc>
        <w:tc>
          <w:tcPr>
            <w:tcW w:w="38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429,652</w:t>
            </w: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(52,184)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377,557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320" w:type="dxa"/>
            <w:vAlign w:val="bottom"/>
          </w:tcPr>
          <w:p>
            <w:pPr>
              <w:spacing w:after="0"/>
              <w:rPr>
                <w:sz w:val="17"/>
                <w:szCs w:val="17"/>
                <w:color w:val="auto"/>
              </w:rPr>
            </w:pPr>
          </w:p>
        </w:tc>
        <w:tc>
          <w:tcPr>
            <w:tcW w:w="1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vMerge w:val="restart"/>
          </w:tcPr>
          <w:p>
            <w:pPr>
              <w:jc w:val="center"/>
              <w:ind w:right="178"/>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00" w:type="dxa"/>
            <w:vAlign w:val="bottom"/>
          </w:tcPr>
          <w:p>
            <w:pPr>
              <w:spacing w:after="0"/>
              <w:rPr>
                <w:sz w:val="17"/>
                <w:szCs w:val="17"/>
                <w:color w:val="auto"/>
              </w:rPr>
            </w:pPr>
          </w:p>
        </w:tc>
        <w:tc>
          <w:tcPr>
            <w:tcW w:w="11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7"/>
                <w:szCs w:val="17"/>
                <w:color w:val="auto"/>
              </w:rPr>
            </w:pPr>
          </w:p>
        </w:tc>
        <w:tc>
          <w:tcPr>
            <w:tcW w:w="122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80" w:type="dxa"/>
            <w:vAlign w:val="bottom"/>
          </w:tcPr>
          <w:p>
            <w:pPr>
              <w:spacing w:after="0"/>
              <w:rPr>
                <w:sz w:val="17"/>
                <w:szCs w:val="17"/>
                <w:color w:val="auto"/>
              </w:rPr>
            </w:pPr>
          </w:p>
        </w:tc>
        <w:tc>
          <w:tcPr>
            <w:tcW w:w="1120" w:type="dxa"/>
            <w:vAlign w:val="bottom"/>
            <w:vMerge w:val="restart"/>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206"/>
        </w:trPr>
        <w:tc>
          <w:tcPr>
            <w:tcW w:w="3320" w:type="dxa"/>
            <w:vAlign w:val="bottom"/>
            <w:tcBorders>
              <w:right w:val="single" w:sz="8" w:color="auto"/>
            </w:tcBorders>
          </w:tcPr>
          <w:p>
            <w:pPr>
              <w:spacing w:after="0"/>
              <w:rPr>
                <w:sz w:val="17"/>
                <w:szCs w:val="17"/>
                <w:color w:val="auto"/>
              </w:rPr>
            </w:pPr>
          </w:p>
        </w:tc>
        <w:tc>
          <w:tcPr>
            <w:tcW w:w="1740" w:type="dxa"/>
            <w:vAlign w:val="bottom"/>
            <w:tcBorders>
              <w:bottom w:val="single" w:sz="8" w:color="auto"/>
            </w:tcBorders>
            <w:gridSpan w:val="2"/>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320" w:type="dxa"/>
            <w:vAlign w:val="bottom"/>
            <w:tcBorders>
              <w:right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center"/>
              <w:ind w:right="178"/>
              <w:spacing w:after="0" w:line="126" w:lineRule="exact"/>
              <w:rPr>
                <w:sz w:val="20"/>
                <w:szCs w:val="20"/>
                <w:color w:val="auto"/>
              </w:rPr>
            </w:pPr>
            <w:r>
              <w:rPr>
                <w:rFonts w:ascii="Times New Roman" w:cs="Times New Roman" w:eastAsia="Times New Roman" w:hAnsi="Times New Roman"/>
                <w:sz w:val="12"/>
                <w:szCs w:val="12"/>
                <w:b w:val="1"/>
                <w:bCs w:val="1"/>
                <w:color w:val="auto"/>
                <w:w w:val="97"/>
              </w:rPr>
              <w:t>paid-in</w:t>
            </w:r>
          </w:p>
        </w:tc>
        <w:tc>
          <w:tcPr>
            <w:tcW w:w="200" w:type="dxa"/>
            <w:vAlign w:val="bottom"/>
          </w:tcPr>
          <w:p>
            <w:pPr>
              <w:spacing w:after="0"/>
              <w:rPr>
                <w:sz w:val="10"/>
                <w:szCs w:val="10"/>
                <w:color w:val="auto"/>
              </w:rPr>
            </w:pPr>
          </w:p>
        </w:tc>
        <w:tc>
          <w:tcPr>
            <w:tcW w:w="1140" w:type="dxa"/>
            <w:vAlign w:val="bottom"/>
          </w:tcPr>
          <w:p>
            <w:pPr>
              <w:jc w:val="center"/>
              <w:ind w:right="138"/>
              <w:spacing w:after="0" w:line="126" w:lineRule="exact"/>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Pr>
          <w:p>
            <w:pPr>
              <w:spacing w:after="0"/>
              <w:rPr>
                <w:sz w:val="10"/>
                <w:szCs w:val="10"/>
                <w:color w:val="auto"/>
              </w:rPr>
            </w:pPr>
          </w:p>
        </w:tc>
        <w:tc>
          <w:tcPr>
            <w:tcW w:w="1220" w:type="dxa"/>
            <w:vAlign w:val="bottom"/>
          </w:tcPr>
          <w:p>
            <w:pPr>
              <w:jc w:val="center"/>
              <w:ind w:right="58"/>
              <w:spacing w:after="0" w:line="126"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80" w:type="dxa"/>
            <w:vAlign w:val="bottom"/>
          </w:tcPr>
          <w:p>
            <w:pPr>
              <w:spacing w:after="0"/>
              <w:rPr>
                <w:sz w:val="10"/>
                <w:szCs w:val="10"/>
                <w:color w:val="auto"/>
              </w:rPr>
            </w:pPr>
          </w:p>
        </w:tc>
        <w:tc>
          <w:tcPr>
            <w:tcW w:w="1120" w:type="dxa"/>
            <w:vAlign w:val="bottom"/>
          </w:tcPr>
          <w:p>
            <w:pPr>
              <w:jc w:val="center"/>
              <w:ind w:right="118"/>
              <w:spacing w:after="0" w:line="126"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2"/>
        </w:trPr>
        <w:tc>
          <w:tcPr>
            <w:tcW w:w="3320" w:type="dxa"/>
            <w:vAlign w:val="bottom"/>
            <w:tcBorders>
              <w:right w:val="single" w:sz="8" w:color="auto"/>
            </w:tcBorders>
            <w:vMerge w:val="restart"/>
          </w:tcPr>
          <w:p>
            <w:pPr>
              <w:ind w:left="780"/>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tc>
        <w:tc>
          <w:tcPr>
            <w:tcW w:w="1360" w:type="dxa"/>
            <w:vAlign w:val="bottom"/>
            <w:vMerge w:val="restart"/>
          </w:tcPr>
          <w:p>
            <w:pPr>
              <w:jc w:val="right"/>
              <w:ind w:right="39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380" w:type="dxa"/>
            <w:vAlign w:val="bottom"/>
          </w:tcPr>
          <w:p>
            <w:pPr>
              <w:spacing w:after="0"/>
              <w:rPr>
                <w:sz w:val="14"/>
                <w:szCs w:val="14"/>
                <w:color w:val="auto"/>
              </w:rPr>
            </w:pPr>
          </w:p>
        </w:tc>
        <w:tc>
          <w:tcPr>
            <w:tcW w:w="820" w:type="dxa"/>
            <w:vAlign w:val="bottom"/>
            <w:vMerge w:val="restart"/>
          </w:tcPr>
          <w:p>
            <w:pPr>
              <w:jc w:val="right"/>
              <w:ind w:right="318"/>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40" w:type="dxa"/>
            <w:vAlign w:val="bottom"/>
          </w:tcPr>
          <w:p>
            <w:pPr>
              <w:spacing w:after="0"/>
              <w:rPr>
                <w:sz w:val="14"/>
                <w:szCs w:val="14"/>
                <w:color w:val="auto"/>
              </w:rPr>
            </w:pPr>
          </w:p>
        </w:tc>
        <w:tc>
          <w:tcPr>
            <w:tcW w:w="1120" w:type="dxa"/>
            <w:vAlign w:val="bottom"/>
          </w:tcPr>
          <w:p>
            <w:pPr>
              <w:jc w:val="center"/>
              <w:ind w:right="178"/>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80" w:type="dxa"/>
            <w:vAlign w:val="bottom"/>
          </w:tcPr>
          <w:p>
            <w:pPr>
              <w:spacing w:after="0"/>
              <w:rPr>
                <w:sz w:val="14"/>
                <w:szCs w:val="14"/>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80"/>
        </w:trPr>
        <w:tc>
          <w:tcPr>
            <w:tcW w:w="3320" w:type="dxa"/>
            <w:vAlign w:val="bottom"/>
            <w:tcBorders>
              <w:right w:val="single" w:sz="8" w:color="auto"/>
            </w:tcBorders>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3320" w:type="dxa"/>
            <w:vAlign w:val="bottom"/>
            <w:tcBorders>
              <w:bottom w:val="single" w:sz="8" w:color="CCEEFF"/>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3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Balances at December 31, 2023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130,714,906</w:t>
            </w:r>
          </w:p>
        </w:tc>
        <w:tc>
          <w:tcPr>
            <w:tcW w:w="38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423,386</w:t>
            </w: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(1,275)</w:t>
            </w: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393,064</w:t>
            </w:r>
          </w:p>
        </w:tc>
        <w:tc>
          <w:tcPr>
            <w:tcW w:w="0" w:type="dxa"/>
            <w:vAlign w:val="bottom"/>
          </w:tcPr>
          <w:p>
            <w:pPr>
              <w:spacing w:after="0"/>
              <w:rPr>
                <w:sz w:val="1"/>
                <w:szCs w:val="1"/>
                <w:color w:val="auto"/>
              </w:rPr>
            </w:pPr>
          </w:p>
        </w:tc>
      </w:tr>
      <w:tr>
        <w:trPr>
          <w:trHeight w:val="169"/>
        </w:trPr>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Shares issued in connection with employee stock plans</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559,325</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0" w:type="dxa"/>
            <w:vAlign w:val="bottom"/>
          </w:tcPr>
          <w:p>
            <w:pPr>
              <w:spacing w:after="0"/>
              <w:rPr>
                <w:sz w:val="1"/>
                <w:szCs w:val="1"/>
                <w:color w:val="auto"/>
              </w:rPr>
            </w:pPr>
          </w:p>
        </w:tc>
      </w:tr>
      <w:tr>
        <w:trPr>
          <w:trHeight w:val="30"/>
        </w:trPr>
        <w:tc>
          <w:tcPr>
            <w:tcW w:w="3320" w:type="dxa"/>
            <w:vAlign w:val="bottom"/>
            <w:tcBorders>
              <w:right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3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 of Common Stock withheld related to net share settlement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(20,050)</w:t>
            </w: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0" w:type="dxa"/>
            <w:vAlign w:val="bottom"/>
          </w:tcPr>
          <w:p>
            <w:pPr>
              <w:spacing w:after="0"/>
              <w:rPr>
                <w:sz w:val="1"/>
                <w:szCs w:val="1"/>
                <w:color w:val="auto"/>
              </w:rPr>
            </w:pPr>
          </w:p>
        </w:tc>
      </w:tr>
      <w:tr>
        <w:trPr>
          <w:trHeight w:val="169"/>
        </w:trPr>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5,640</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5,640</w:t>
            </w:r>
          </w:p>
        </w:tc>
        <w:tc>
          <w:tcPr>
            <w:tcW w:w="0" w:type="dxa"/>
            <w:vAlign w:val="bottom"/>
          </w:tcPr>
          <w:p>
            <w:pPr>
              <w:spacing w:after="0"/>
              <w:rPr>
                <w:sz w:val="1"/>
                <w:szCs w:val="1"/>
                <w:color w:val="auto"/>
              </w:rPr>
            </w:pPr>
          </w:p>
        </w:tc>
      </w:tr>
      <w:tr>
        <w:trPr>
          <w:trHeight w:val="30"/>
        </w:trPr>
        <w:tc>
          <w:tcPr>
            <w:tcW w:w="3320" w:type="dxa"/>
            <w:vAlign w:val="bottom"/>
            <w:tcBorders>
              <w:right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3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Unrealized loss on marketable securities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69"/>
        </w:trPr>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 net of tax</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0" w:type="dxa"/>
            <w:vAlign w:val="bottom"/>
          </w:tcPr>
          <w:p>
            <w:pPr>
              <w:spacing w:after="0"/>
              <w:rPr>
                <w:sz w:val="1"/>
                <w:szCs w:val="1"/>
                <w:color w:val="auto"/>
              </w:rPr>
            </w:pPr>
          </w:p>
        </w:tc>
      </w:tr>
      <w:tr>
        <w:trPr>
          <w:trHeight w:val="30"/>
        </w:trPr>
        <w:tc>
          <w:tcPr>
            <w:tcW w:w="3320" w:type="dxa"/>
            <w:vAlign w:val="bottom"/>
            <w:tcBorders>
              <w:right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3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(6,169)</w:t>
            </w: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(6,169)</w:t>
            </w:r>
          </w:p>
        </w:tc>
        <w:tc>
          <w:tcPr>
            <w:tcW w:w="0" w:type="dxa"/>
            <w:vAlign w:val="bottom"/>
          </w:tcPr>
          <w:p>
            <w:pPr>
              <w:spacing w:after="0"/>
              <w:rPr>
                <w:sz w:val="1"/>
                <w:szCs w:val="1"/>
                <w:color w:val="auto"/>
              </w:rPr>
            </w:pPr>
          </w:p>
        </w:tc>
      </w:tr>
      <w:tr>
        <w:trPr>
          <w:trHeight w:val="162"/>
        </w:trPr>
        <w:tc>
          <w:tcPr>
            <w:tcW w:w="33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Balances at March 31, 2024</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131,254,181</w:t>
            </w:r>
          </w:p>
        </w:tc>
        <w:tc>
          <w:tcPr>
            <w:tcW w:w="380" w:type="dxa"/>
            <w:vAlign w:val="bottom"/>
            <w:tcBorders>
              <w:top w:val="single" w:sz="8" w:color="auto"/>
            </w:tcBorders>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24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429,384</w:t>
            </w:r>
          </w:p>
        </w:tc>
        <w:tc>
          <w:tcPr>
            <w:tcW w:w="20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(35,347)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(1,554)</w:t>
            </w:r>
          </w:p>
        </w:tc>
        <w:tc>
          <w:tcPr>
            <w:tcW w:w="1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392,614</w:t>
            </w:r>
          </w:p>
        </w:tc>
        <w:tc>
          <w:tcPr>
            <w:tcW w:w="0" w:type="dxa"/>
            <w:vAlign w:val="bottom"/>
          </w:tcPr>
          <w:p>
            <w:pPr>
              <w:spacing w:after="0"/>
              <w:rPr>
                <w:sz w:val="1"/>
                <w:szCs w:val="1"/>
                <w:color w:val="auto"/>
              </w:rPr>
            </w:pPr>
          </w:p>
        </w:tc>
      </w:tr>
      <w:tr>
        <w:trPr>
          <w:trHeight w:val="30"/>
        </w:trPr>
        <w:tc>
          <w:tcPr>
            <w:tcW w:w="33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33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Shares issued in connection with employee stock plans</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506,375</w:t>
            </w:r>
          </w:p>
        </w:tc>
        <w:tc>
          <w:tcPr>
            <w:tcW w:w="38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20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0" w:type="dxa"/>
            <w:vAlign w:val="bottom"/>
          </w:tcPr>
          <w:p>
            <w:pPr>
              <w:spacing w:after="0"/>
              <w:rPr>
                <w:sz w:val="1"/>
                <w:szCs w:val="1"/>
                <w:color w:val="auto"/>
              </w:rPr>
            </w:pPr>
          </w:p>
        </w:tc>
      </w:tr>
      <w:tr>
        <w:trPr>
          <w:trHeight w:val="30"/>
        </w:trPr>
        <w:tc>
          <w:tcPr>
            <w:tcW w:w="3320" w:type="dxa"/>
            <w:vAlign w:val="bottom"/>
            <w:tcBorders>
              <w:right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3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Employee Stock Purchase Plan</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210,496</w:t>
            </w: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w:t>
            </w:r>
          </w:p>
        </w:tc>
        <w:tc>
          <w:tcPr>
            <w:tcW w:w="0" w:type="dxa"/>
            <w:vAlign w:val="bottom"/>
          </w:tcPr>
          <w:p>
            <w:pPr>
              <w:spacing w:after="0"/>
              <w:rPr>
                <w:sz w:val="1"/>
                <w:szCs w:val="1"/>
                <w:color w:val="auto"/>
              </w:rPr>
            </w:pPr>
          </w:p>
        </w:tc>
      </w:tr>
      <w:tr>
        <w:trPr>
          <w:trHeight w:val="169"/>
        </w:trPr>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Shares of Common Stock withheld related to net share settlement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(21,532)</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0" w:type="dxa"/>
            <w:vAlign w:val="bottom"/>
          </w:tcPr>
          <w:p>
            <w:pPr>
              <w:spacing w:after="0"/>
              <w:rPr>
                <w:sz w:val="1"/>
                <w:szCs w:val="1"/>
                <w:color w:val="auto"/>
              </w:rPr>
            </w:pPr>
          </w:p>
        </w:tc>
      </w:tr>
      <w:tr>
        <w:trPr>
          <w:trHeight w:val="30"/>
        </w:trPr>
        <w:tc>
          <w:tcPr>
            <w:tcW w:w="3320" w:type="dxa"/>
            <w:vAlign w:val="bottom"/>
            <w:tcBorders>
              <w:right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3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 of shares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(444,319)</w:t>
            </w: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(2,670)</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(2,670)</w:t>
            </w:r>
          </w:p>
        </w:tc>
        <w:tc>
          <w:tcPr>
            <w:tcW w:w="0" w:type="dxa"/>
            <w:vAlign w:val="bottom"/>
          </w:tcPr>
          <w:p>
            <w:pPr>
              <w:spacing w:after="0"/>
              <w:rPr>
                <w:sz w:val="1"/>
                <w:szCs w:val="1"/>
                <w:color w:val="auto"/>
              </w:rPr>
            </w:pPr>
          </w:p>
        </w:tc>
      </w:tr>
      <w:tr>
        <w:trPr>
          <w:trHeight w:val="169"/>
        </w:trPr>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7,152</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7,152</w:t>
            </w:r>
          </w:p>
        </w:tc>
        <w:tc>
          <w:tcPr>
            <w:tcW w:w="0" w:type="dxa"/>
            <w:vAlign w:val="bottom"/>
          </w:tcPr>
          <w:p>
            <w:pPr>
              <w:spacing w:after="0"/>
              <w:rPr>
                <w:sz w:val="1"/>
                <w:szCs w:val="1"/>
                <w:color w:val="auto"/>
              </w:rPr>
            </w:pPr>
          </w:p>
        </w:tc>
      </w:tr>
      <w:tr>
        <w:trPr>
          <w:trHeight w:val="30"/>
        </w:trPr>
        <w:tc>
          <w:tcPr>
            <w:tcW w:w="3320" w:type="dxa"/>
            <w:vAlign w:val="bottom"/>
            <w:tcBorders>
              <w:right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3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Unrealized loss on marketable securities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69"/>
        </w:trPr>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 net of tax</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1,375</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1,375</w:t>
            </w:r>
          </w:p>
        </w:tc>
        <w:tc>
          <w:tcPr>
            <w:tcW w:w="0" w:type="dxa"/>
            <w:vAlign w:val="bottom"/>
          </w:tcPr>
          <w:p>
            <w:pPr>
              <w:spacing w:after="0"/>
              <w:rPr>
                <w:sz w:val="1"/>
                <w:szCs w:val="1"/>
                <w:color w:val="auto"/>
              </w:rPr>
            </w:pPr>
          </w:p>
        </w:tc>
      </w:tr>
      <w:tr>
        <w:trPr>
          <w:trHeight w:val="30"/>
        </w:trPr>
        <w:tc>
          <w:tcPr>
            <w:tcW w:w="3320" w:type="dxa"/>
            <w:vAlign w:val="bottom"/>
            <w:tcBorders>
              <w:right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3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(10,434)</w:t>
            </w: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(10,434)</w:t>
            </w:r>
          </w:p>
        </w:tc>
        <w:tc>
          <w:tcPr>
            <w:tcW w:w="0" w:type="dxa"/>
            <w:vAlign w:val="bottom"/>
          </w:tcPr>
          <w:p>
            <w:pPr>
              <w:spacing w:after="0"/>
              <w:rPr>
                <w:sz w:val="1"/>
                <w:szCs w:val="1"/>
                <w:color w:val="auto"/>
              </w:rPr>
            </w:pPr>
          </w:p>
        </w:tc>
      </w:tr>
      <w:tr>
        <w:trPr>
          <w:trHeight w:val="162"/>
        </w:trPr>
        <w:tc>
          <w:tcPr>
            <w:tcW w:w="33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Balances at June 30, 2024</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131,505,201</w:t>
            </w:r>
          </w:p>
        </w:tc>
        <w:tc>
          <w:tcPr>
            <w:tcW w:w="380" w:type="dxa"/>
            <w:vAlign w:val="bottom"/>
            <w:tcBorders>
              <w:top w:val="single" w:sz="8" w:color="auto"/>
            </w:tcBorders>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24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434,967</w:t>
            </w:r>
          </w:p>
        </w:tc>
        <w:tc>
          <w:tcPr>
            <w:tcW w:w="20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(45,781)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389,123</w:t>
            </w:r>
          </w:p>
        </w:tc>
        <w:tc>
          <w:tcPr>
            <w:tcW w:w="0" w:type="dxa"/>
            <w:vAlign w:val="bottom"/>
          </w:tcPr>
          <w:p>
            <w:pPr>
              <w:spacing w:after="0"/>
              <w:rPr>
                <w:sz w:val="1"/>
                <w:szCs w:val="1"/>
                <w:color w:val="auto"/>
              </w:rPr>
            </w:pPr>
          </w:p>
        </w:tc>
      </w:tr>
      <w:tr>
        <w:trPr>
          <w:trHeight w:val="30"/>
        </w:trPr>
        <w:tc>
          <w:tcPr>
            <w:tcW w:w="33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interim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jc w:val="right"/>
              <w:ind w:right="75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30"/>
        </w:trPr>
        <w:tc>
          <w:tcPr>
            <w:tcW w:w="818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60" w:type="dxa"/>
            <w:vAlign w:val="bottom"/>
          </w:tcPr>
          <w:p>
            <w:pPr>
              <w:spacing w:after="0"/>
              <w:rPr>
                <w:sz w:val="14"/>
                <w:szCs w:val="14"/>
                <w:color w:val="auto"/>
              </w:rPr>
            </w:pPr>
          </w:p>
        </w:tc>
        <w:tc>
          <w:tcPr>
            <w:tcW w:w="1120" w:type="dxa"/>
            <w:vAlign w:val="bottom"/>
          </w:tcPr>
          <w:p>
            <w:pPr>
              <w:jc w:val="right"/>
              <w:ind w:right="55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50"/>
              <w:spacing w:after="0"/>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30"/>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(16,985)</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(16,603)</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operating lease-right-of use assets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0" w:type="dxa"/>
            <w:vAlign w:val="bottom"/>
          </w:tcPr>
          <w:p>
            <w:pPr>
              <w:spacing w:after="0"/>
              <w:rPr>
                <w:sz w:val="1"/>
                <w:szCs w:val="1"/>
                <w:color w:val="auto"/>
              </w:rPr>
            </w:pPr>
          </w:p>
        </w:tc>
      </w:tr>
      <w:tr>
        <w:trPr>
          <w:trHeight w:val="188"/>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12,792</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8"/>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0" w:type="dxa"/>
            <w:vAlign w:val="bottom"/>
          </w:tcPr>
          <w:p>
            <w:pPr>
              <w:spacing w:after="0"/>
              <w:rPr>
                <w:sz w:val="1"/>
                <w:szCs w:val="1"/>
                <w:color w:val="auto"/>
              </w:rPr>
            </w:pPr>
          </w:p>
        </w:tc>
      </w:tr>
      <w:tr>
        <w:trPr>
          <w:trHeight w:val="188"/>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investments, accretion, and amortization, net</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0" w:type="dxa"/>
            <w:vAlign w:val="bottom"/>
          </w:tcPr>
          <w:p>
            <w:pPr>
              <w:spacing w:after="0"/>
              <w:rPr>
                <w:sz w:val="1"/>
                <w:szCs w:val="1"/>
                <w:color w:val="auto"/>
              </w:rPr>
            </w:pPr>
          </w:p>
        </w:tc>
      </w:tr>
      <w:tr>
        <w:trPr>
          <w:trHeight w:val="188"/>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Interest expenses for accretion of the legal settlement liabilities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10,153</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9,199</w:t>
            </w:r>
          </w:p>
        </w:tc>
        <w:tc>
          <w:tcPr>
            <w:tcW w:w="0" w:type="dxa"/>
            <w:vAlign w:val="bottom"/>
          </w:tcPr>
          <w:p>
            <w:pPr>
              <w:spacing w:after="0"/>
              <w:rPr>
                <w:sz w:val="1"/>
                <w:szCs w:val="1"/>
                <w:color w:val="auto"/>
              </w:rPr>
            </w:pPr>
          </w:p>
        </w:tc>
      </w:tr>
      <w:tr>
        <w:trPr>
          <w:trHeight w:val="188"/>
        </w:trPr>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Trade accounts payable</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8"/>
        </w:trPr>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(9,389)</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Legal settlement liabilities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8"/>
        </w:trPr>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181"/>
        </w:trPr>
        <w:tc>
          <w:tcPr>
            <w:tcW w:w="81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10,161</w:t>
            </w:r>
          </w:p>
        </w:tc>
        <w:tc>
          <w:tcPr>
            <w:tcW w:w="0" w:type="dxa"/>
            <w:vAlign w:val="bottom"/>
          </w:tcPr>
          <w:p>
            <w:pPr>
              <w:spacing w:after="0"/>
              <w:rPr>
                <w:sz w:val="1"/>
                <w:szCs w:val="1"/>
                <w:color w:val="auto"/>
              </w:rPr>
            </w:pPr>
          </w:p>
        </w:tc>
      </w:tr>
      <w:tr>
        <w:trPr>
          <w:trHeight w:val="24"/>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(113,985)</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136,906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112,000</w:t>
            </w:r>
          </w:p>
        </w:tc>
        <w:tc>
          <w:tcPr>
            <w:tcW w:w="0" w:type="dxa"/>
            <w:vAlign w:val="bottom"/>
          </w:tcPr>
          <w:p>
            <w:pPr>
              <w:spacing w:after="0"/>
              <w:rPr>
                <w:sz w:val="1"/>
                <w:szCs w:val="1"/>
                <w:color w:val="auto"/>
              </w:rPr>
            </w:pPr>
          </w:p>
        </w:tc>
      </w:tr>
      <w:tr>
        <w:trPr>
          <w:trHeight w:val="188"/>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0" w:type="dxa"/>
            <w:vAlign w:val="bottom"/>
          </w:tcPr>
          <w:p>
            <w:pPr>
              <w:spacing w:after="0"/>
              <w:rPr>
                <w:sz w:val="1"/>
                <w:szCs w:val="1"/>
                <w:color w:val="auto"/>
              </w:rPr>
            </w:pPr>
          </w:p>
        </w:tc>
      </w:tr>
      <w:tr>
        <w:trPr>
          <w:trHeight w:val="188"/>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24"/>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0" w:type="dxa"/>
            <w:vAlign w:val="bottom"/>
          </w:tcPr>
          <w:p>
            <w:pPr>
              <w:spacing w:after="0"/>
              <w:rPr>
                <w:sz w:val="1"/>
                <w:szCs w:val="1"/>
                <w:color w:val="auto"/>
              </w:rPr>
            </w:pPr>
          </w:p>
        </w:tc>
      </w:tr>
      <w:tr>
        <w:trPr>
          <w:trHeight w:val="18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 of loan</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88"/>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for taxes related to net share settlement of equity awards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88"/>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plans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line of credit</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0" w:type="dxa"/>
            <w:vAlign w:val="bottom"/>
          </w:tcPr>
          <w:p>
            <w:pPr>
              <w:spacing w:after="0"/>
              <w:rPr>
                <w:sz w:val="1"/>
                <w:szCs w:val="1"/>
                <w:color w:val="auto"/>
              </w:rPr>
            </w:pPr>
          </w:p>
        </w:tc>
      </w:tr>
      <w:tr>
        <w:trPr>
          <w:trHeight w:val="188"/>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Payments for repurchase of shares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0" w:type="dxa"/>
            <w:vAlign w:val="bottom"/>
          </w:tcPr>
          <w:p>
            <w:pPr>
              <w:spacing w:after="0"/>
              <w:rPr>
                <w:sz w:val="1"/>
                <w:szCs w:val="1"/>
                <w:color w:val="auto"/>
              </w:rPr>
            </w:pPr>
          </w:p>
        </w:tc>
      </w:tr>
      <w:tr>
        <w:trPr>
          <w:trHeight w:val="24"/>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81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1"/>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 cash equivalents and restricted cash</w:t>
            </w: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3,957</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10,288</w:t>
            </w:r>
          </w:p>
        </w:tc>
        <w:tc>
          <w:tcPr>
            <w:tcW w:w="0" w:type="dxa"/>
            <w:vAlign w:val="bottom"/>
          </w:tcPr>
          <w:p>
            <w:pPr>
              <w:spacing w:after="0"/>
              <w:rPr>
                <w:sz w:val="1"/>
                <w:szCs w:val="1"/>
                <w:color w:val="auto"/>
              </w:rPr>
            </w:pPr>
          </w:p>
        </w:tc>
      </w:tr>
      <w:tr>
        <w:trPr>
          <w:trHeight w:val="24"/>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98,745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167,630</w:t>
            </w:r>
          </w:p>
        </w:tc>
        <w:tc>
          <w:tcPr>
            <w:tcW w:w="0" w:type="dxa"/>
            <w:vAlign w:val="bottom"/>
          </w:tcPr>
          <w:p>
            <w:pPr>
              <w:spacing w:after="0"/>
              <w:rPr>
                <w:sz w:val="1"/>
                <w:szCs w:val="1"/>
                <w:color w:val="auto"/>
              </w:rPr>
            </w:pPr>
          </w:p>
        </w:tc>
      </w:tr>
      <w:tr>
        <w:trPr>
          <w:trHeight w:val="181"/>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75,470</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177,918</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180" w:type="dxa"/>
            <w:vAlign w:val="bottom"/>
            <w:tcBorders>
              <w:bottom w:val="single" w:sz="8" w:color="CCEEFF"/>
            </w:tcBorders>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Cash paid for taxes</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180" w:type="dxa"/>
            <w:vAlign w:val="bottom"/>
            <w:tcBorders>
              <w:bottom w:val="single" w:sz="8" w:color="CCEEFF"/>
            </w:tcBorders>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Fixed asset purchases in accounts payable or accrued purchase at period end</w:t>
            </w: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Transfer of inventory to property and equipment</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Intangible asset in accounts payable or accrued expenses at period end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180" w:type="dxa"/>
            <w:vAlign w:val="bottom"/>
            <w:gridSpan w:val="2"/>
            <w:vMerge w:val="continue"/>
          </w:tcPr>
          <w:p>
            <w:pPr>
              <w:spacing w:after="0"/>
              <w:rPr>
                <w:sz w:val="13"/>
                <w:szCs w:val="13"/>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3"/>
                <w:szCs w:val="13"/>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liabilities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7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pacing w:after="0" w:line="200" w:lineRule="exact"/>
        <w:rPr>
          <w:sz w:val="20"/>
          <w:szCs w:val="20"/>
          <w:color w:val="auto"/>
        </w:rPr>
      </w:pPr>
    </w:p>
    <w:p>
      <w:pPr>
        <w:spacing w:after="0" w:line="2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w:t>
      </w:r>
    </w:p>
    <w:p>
      <w:pPr>
        <w:spacing w:after="0" w:line="113" w:lineRule="exact"/>
        <w:rPr>
          <w:sz w:val="20"/>
          <w:szCs w:val="20"/>
          <w:color w:val="auto"/>
        </w:rPr>
      </w:pPr>
    </w:p>
    <w:p>
      <w:pPr>
        <w:jc w:val="both"/>
        <w:ind w:firstLine="477"/>
        <w:spacing w:after="0" w:line="231" w:lineRule="auto"/>
        <w:rPr>
          <w:sz w:val="20"/>
          <w:szCs w:val="20"/>
          <w:color w:val="auto"/>
        </w:rPr>
      </w:pPr>
      <w:r>
        <w:rPr>
          <w:rFonts w:ascii="Times New Roman" w:cs="Times New Roman" w:eastAsia="Times New Roman" w:hAnsi="Times New Roman"/>
          <w:sz w:val="18"/>
          <w:szCs w:val="18"/>
          <w:color w:val="auto"/>
        </w:rPr>
        <w:t>Cytek Biosciences, Inc. (“Cytek” or the “Company”) is a leading cell analysis solutions company advancing the next generation of cell analysis tools with its novel technical approach of leveraging the full spectrum of fluorescence signatures from multiple lasers to distinguish fluorescent tags on single cells (“Full Spectrum Profiling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or “FSP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technology). The Company is focused on becoming the premier cell analysis company through continued innovation that facilitates scientific advances in biomedical research and clinical applications.</w:t>
      </w:r>
    </w:p>
    <w:p>
      <w:pPr>
        <w:spacing w:after="0" w:line="74" w:lineRule="exact"/>
        <w:rPr>
          <w:sz w:val="20"/>
          <w:szCs w:val="20"/>
          <w:color w:val="auto"/>
        </w:rPr>
      </w:pPr>
    </w:p>
    <w:p>
      <w:pPr>
        <w:jc w:val="both"/>
        <w:ind w:firstLine="477"/>
        <w:spacing w:after="0" w:line="234" w:lineRule="auto"/>
        <w:rPr>
          <w:sz w:val="20"/>
          <w:szCs w:val="20"/>
          <w:color w:val="auto"/>
        </w:rPr>
      </w:pPr>
      <w:r>
        <w:rPr>
          <w:rFonts w:ascii="Times New Roman" w:cs="Times New Roman" w:eastAsia="Times New Roman" w:hAnsi="Times New Roman"/>
          <w:sz w:val="18"/>
          <w:szCs w:val="18"/>
          <w:color w:val="auto"/>
        </w:rPr>
        <w:t>The Company has successfully developed and manufactured its full spectrum flow cytometry platform (“instrument(s)” or “product(s)”). The Company’s FSP cell analyzers, the Cytek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Aurora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Northern Lights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Cytek Aurora Evo systems, deliver high-resolution, high-content and high-sensitivity cell analysis. The Company also launched its Cytek Aurora cell sorter (“Aurora CS system”), which leverages FSP technology to further broaden potential applications across cell analysis. The Company’s FSP platform includes instruments, accessories, reagents, software, and services to provide a comprehensive and integrated suite of solutions for its customers.</w:t>
      </w:r>
    </w:p>
    <w:p>
      <w:pPr>
        <w:spacing w:after="0" w:line="74" w:lineRule="exact"/>
        <w:rPr>
          <w:sz w:val="20"/>
          <w:szCs w:val="20"/>
          <w:color w:val="auto"/>
        </w:rPr>
      </w:pPr>
    </w:p>
    <w:p>
      <w:pPr>
        <w:jc w:val="both"/>
        <w:ind w:firstLine="477"/>
        <w:spacing w:after="0" w:line="219" w:lineRule="auto"/>
        <w:rPr>
          <w:sz w:val="20"/>
          <w:szCs w:val="20"/>
          <w:color w:val="auto"/>
        </w:rPr>
      </w:pPr>
      <w:r>
        <w:rPr>
          <w:rFonts w:ascii="Times New Roman" w:cs="Times New Roman" w:eastAsia="Times New Roman" w:hAnsi="Times New Roman"/>
          <w:sz w:val="18"/>
          <w:szCs w:val="18"/>
          <w:color w:val="auto"/>
        </w:rPr>
        <w:t>On February 28, 2023, the Company completed the acquisition of certain assets (the “FCI Acquisition”) relating to the flow cytometry and imaging business of Luminex Corporation (“Luminex”), including relating to the business of manufacturing, marketing, selling, servicing and maintaining Amnis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-and Guava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-branded instruments, and flow cytometry reagent products and services (the “FCI Business”). The acquired FCI Business includes conventional flow and image-based flow cytometry instrumentation and related products and services (the “FCI Products”).</w:t>
      </w:r>
    </w:p>
    <w:p>
      <w:pPr>
        <w:spacing w:after="0" w:line="76"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The Company was incorporated in the state of Delaware in December 2014 and is headquartered in Fremont, California with offices, manufacturing facilities and distribution channels across the globe.</w:t>
      </w:r>
    </w:p>
    <w:p>
      <w:pPr>
        <w:spacing w:after="0" w:line="4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 and summary of significant accounting policies</w:t>
      </w:r>
    </w:p>
    <w:p>
      <w:pPr>
        <w:spacing w:after="0" w:line="113" w:lineRule="exact"/>
        <w:rPr>
          <w:sz w:val="20"/>
          <w:szCs w:val="20"/>
          <w:color w:val="auto"/>
        </w:rPr>
      </w:pPr>
    </w:p>
    <w:p>
      <w:pPr>
        <w:jc w:val="both"/>
        <w:ind w:firstLine="477"/>
        <w:spacing w:after="0" w:line="282" w:lineRule="auto"/>
        <w:rPr>
          <w:sz w:val="20"/>
          <w:szCs w:val="20"/>
          <w:color w:val="auto"/>
        </w:rPr>
      </w:pPr>
      <w:r>
        <w:rPr>
          <w:rFonts w:ascii="Times New Roman" w:cs="Times New Roman" w:eastAsia="Times New Roman" w:hAnsi="Times New Roman"/>
          <w:sz w:val="17"/>
          <w:szCs w:val="17"/>
          <w:color w:val="auto"/>
        </w:rPr>
        <w:t>The Company has prepared the accompanying unaudited interim consolidated financial statements in accordance with accounting principles generally accepted in the United States of America (“GAAP”). Any reference in these notes to applicable guidance is meant to refer to the authoritative GAAP as found in the Accounting Standards Codification (“ASC”) and Accounting Standards Updates (“ASUs”) of the Financial Accounting Standards Board (“FASB”).</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15"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The unaudited interim consolidated financial statements include the accounts of Cytek Biosciences, Inc., its wholly-owned subsidiaries, Cytek Biosciences B.V. (Netherlands), Cytek Biosciences GmbH (Germany), Cytek Biosciences Ltd (UK), Cytek Biosciences Pte. Ltd. (Singapore), Cytek Biosciences S.A.S. (France), Cytek Limited (Hong Kong), Cytek Japan Corporation (“Cytek Japan”), Cytek (Shanghai) Biosciences Co., Ltd., and Cytek (Wuxi) Biosciences Co., Ltd. (“Cytek Wuxi”). All intercompany accounts and transactions have been eliminated in consolidation.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 and voting interest entities</w:t>
      </w:r>
    </w:p>
    <w:p>
      <w:pPr>
        <w:spacing w:after="0" w:line="115" w:lineRule="exact"/>
        <w:rPr>
          <w:sz w:val="20"/>
          <w:szCs w:val="20"/>
          <w:color w:val="auto"/>
        </w:rPr>
      </w:pPr>
    </w:p>
    <w:p>
      <w:pPr>
        <w:jc w:val="both"/>
        <w:ind w:firstLine="477"/>
        <w:spacing w:after="0" w:line="239" w:lineRule="auto"/>
        <w:rPr>
          <w:sz w:val="20"/>
          <w:szCs w:val="20"/>
          <w:color w:val="auto"/>
        </w:rPr>
      </w:pPr>
      <w:r>
        <w:rPr>
          <w:rFonts w:ascii="Times New Roman" w:cs="Times New Roman" w:eastAsia="Times New Roman" w:hAnsi="Times New Roman"/>
          <w:sz w:val="18"/>
          <w:szCs w:val="18"/>
          <w:color w:val="auto"/>
        </w:rPr>
        <w:t>The Company determines whether it has a controlling financial interest in an entity by first evaluating whether the entity is a variable interest entity (“VIE”) and therefore subject to the consolidation requirements under the VIE model. Only if the entity does not meet the definition of a VIE, the Company will apply the voting interest entity model (“VOE”) or other applicable GAAP metric. VOEs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 Company consolidates VOEs in which it has greater than 50% of the voting shares and other equity holders do not have substantive voting, participating or liquidation rights. As defined in applicable accounting standards, VIEs are entities that lack one or more of the characteristics of a voting interest entity. A controlling financial interest in a VIE is present when an enterprise has both the power to direct the activities of the VIE that most significantly impact the VIE’s economic performance and an obligation to absorb losses or the right to receive benefits that could potentially be significant to the VIE. The Company consolidates a VIE where it has been determined that the Company is the primary beneficiary of the entity’s operations. The Company does not currently hold an interest in a VIE.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5"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The preparation of the unaudited interim consolidated financial statements in conformity with GAAP requires management to make estimates and assumptions that affect the reported amounts of assets, liabilities, revenue and expenses and the disclosure of contingent assets and liabilities in the Company’s unaudited interim consolidated financial statements and accompanying notes as of the date of the unaudited interim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560"/>
        <w:spacing w:after="0" w:line="369" w:lineRule="auto"/>
        <w:rPr>
          <w:sz w:val="20"/>
          <w:szCs w:val="20"/>
          <w:color w:val="auto"/>
        </w:rPr>
      </w:pPr>
      <w:r>
        <w:rPr>
          <w:rFonts w:ascii="Times New Roman" w:cs="Times New Roman" w:eastAsia="Times New Roman" w:hAnsi="Times New Roman"/>
          <w:sz w:val="18"/>
          <w:szCs w:val="18"/>
          <w:color w:val="auto"/>
        </w:rPr>
        <w:t xml:space="preserve">and the recording of expenses that are not readily apparent from other sources. Actual results may differ materially and adversely from these estimates. </w:t>
      </w:r>
      <w:r>
        <w:rPr>
          <w:rFonts w:ascii="Times New Roman" w:cs="Times New Roman" w:eastAsia="Times New Roman" w:hAnsi="Times New Roman"/>
          <w:sz w:val="18"/>
          <w:szCs w:val="18"/>
          <w:b w:val="1"/>
          <w:bCs w:val="1"/>
          <w:i w:val="1"/>
          <w:iCs w:val="1"/>
          <w:color w:val="auto"/>
        </w:rPr>
        <w:t>Operating segments</w:t>
      </w: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15"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interim consolidated statements of operations and comprehensive loss have been translated at the average exchange rate for the year or the reporting period. Translation gains and losses are recorded in accumulated other comprehensive (loss) income as a component of stockholders’ equity. Gains or losses arising from currency exchange rate fluctuations on transactions denominated in a currency other than the local functional currency are included in the unaudited interim consolidated statements of operations and comprehensive loss.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15"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Cash equivalents are carried at cost, which approximates fair value.</w:t>
      </w:r>
    </w:p>
    <w:p>
      <w:pPr>
        <w:spacing w:after="0" w:line="58" w:lineRule="exact"/>
        <w:rPr>
          <w:sz w:val="20"/>
          <w:szCs w:val="20"/>
          <w:color w:val="auto"/>
        </w:rPr>
      </w:pPr>
    </w:p>
    <w:p>
      <w:pPr>
        <w:jc w:val="both"/>
        <w:ind w:firstLine="477"/>
        <w:spacing w:after="0" w:line="271" w:lineRule="auto"/>
        <w:rPr>
          <w:sz w:val="20"/>
          <w:szCs w:val="20"/>
          <w:color w:val="auto"/>
        </w:rPr>
      </w:pPr>
      <w:r>
        <w:rPr>
          <w:rFonts w:ascii="Times New Roman" w:cs="Times New Roman" w:eastAsia="Times New Roman" w:hAnsi="Times New Roman"/>
          <w:sz w:val="17"/>
          <w:szCs w:val="17"/>
          <w:color w:val="auto"/>
        </w:rPr>
        <w:t>The Company’s cash and cash equivalents consist of money held in demand depository accounts and money market funds. The carrying amount of cash and cash equivalents, and restricted cash was $75.5 million and $98.7 million as of June 30, 2025 and December 31, 2024, 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June 30, 2025.</w:t>
      </w:r>
    </w:p>
    <w:p>
      <w:pPr>
        <w:spacing w:after="0" w:line="64"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The Company classifies restricted cash as current on the accompanying unaudited interim consolidated balance sheets based upon the term of the remaining restrictions.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summary of cash, cash equivalents and restricted cash on the consolidated balance sheets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32,251</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61,722</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as presented on the consolidated statements of cash flows</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restricted cash</w:t>
      </w:r>
    </w:p>
    <w:p>
      <w:pPr>
        <w:spacing w:after="0" w:line="115"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As of June 30, 2024, advance payments to Cytek Biosciences B.V. totaled $30,000. The restricted cash will be released into the Company’s normal cash account upon Cytek Biosciences B.V.’s fulfillment of its delivery commitment.</w:t>
      </w:r>
    </w:p>
    <w:p>
      <w:pPr>
        <w:spacing w:after="0" w:line="58" w:lineRule="exact"/>
        <w:rPr>
          <w:sz w:val="20"/>
          <w:szCs w:val="20"/>
          <w:color w:val="auto"/>
        </w:rPr>
      </w:pPr>
    </w:p>
    <w:p>
      <w:pPr>
        <w:ind w:right="740" w:firstLine="477"/>
        <w:spacing w:after="0" w:line="367" w:lineRule="auto"/>
        <w:rPr>
          <w:sz w:val="20"/>
          <w:szCs w:val="20"/>
          <w:color w:val="auto"/>
        </w:rPr>
      </w:pPr>
      <w:r>
        <w:rPr>
          <w:rFonts w:ascii="Times New Roman" w:cs="Times New Roman" w:eastAsia="Times New Roman" w:hAnsi="Times New Roman"/>
          <w:sz w:val="18"/>
          <w:szCs w:val="18"/>
          <w:color w:val="auto"/>
        </w:rPr>
        <w:t xml:space="preserve">As of June 30, 2025, all short-term restricted cash had been released, and there was no short-term restricted cash with Cytek Biosciences B.V. </w:t>
      </w:r>
      <w:r>
        <w:rPr>
          <w:rFonts w:ascii="Times New Roman" w:cs="Times New Roman" w:eastAsia="Times New Roman" w:hAnsi="Times New Roman"/>
          <w:sz w:val="18"/>
          <w:szCs w:val="18"/>
          <w:b w:val="1"/>
          <w:bCs w:val="1"/>
          <w:i w:val="1"/>
          <w:iCs w:val="1"/>
          <w:color w:val="auto"/>
        </w:rPr>
        <w:t>Investments</w:t>
      </w:r>
    </w:p>
    <w:p>
      <w:pPr>
        <w:spacing w:after="0" w:line="2" w:lineRule="exact"/>
        <w:rPr>
          <w:sz w:val="20"/>
          <w:szCs w:val="20"/>
          <w:color w:val="auto"/>
        </w:rPr>
      </w:pPr>
    </w:p>
    <w:p>
      <w:pPr>
        <w:jc w:val="both"/>
        <w:ind w:firstLine="47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w:t>
      </w:r>
      <w:r>
        <w:rPr>
          <w:rFonts w:ascii="Times New Roman" w:cs="Times New Roman" w:eastAsia="Times New Roman" w:hAnsi="Times New Roman"/>
          <w:sz w:val="18"/>
          <w:szCs w:val="18"/>
          <w:color w:val="auto"/>
        </w:rPr>
        <w:t>The Company’s investments may consist of U.S. treasury and U.S. government agency securities, corporate notes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bonds, commercial paper, and money market funds. The Company has designated all investments as available-for-sale and, therefore, such investments are reported at fair value, with unrealized gains and losses recorded in accumulated other comprehensive (loss) income. The Company generally holds securities until maturity;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however, they may be sold under certain circumstances including, but not limited to, when necessary for the funding of acquisitions and other strategic investments. Realized gains and losses on the sale of investments are recorded in interest and other income, net in the consolidated statements of operations and comprehensive loss. Investments with remaining maturities at date of purchase greater than 90 days and remaining maturities as of the reporting period less than one year are classified as short-term investments. Investments with remaining maturities greater than one year are classified as long-term investments.</w:t>
      </w:r>
    </w:p>
    <w:p>
      <w:pPr>
        <w:spacing w:after="0" w:line="74" w:lineRule="exact"/>
        <w:rPr>
          <w:sz w:val="20"/>
          <w:szCs w:val="20"/>
          <w:color w:val="auto"/>
        </w:rPr>
      </w:pPr>
    </w:p>
    <w:p>
      <w:pPr>
        <w:jc w:val="both"/>
        <w:ind w:firstLine="477"/>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The Company’s equity investments consist of non-marketable equity investments in a privately held company.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non-marketable equity investments do not have readily determinable fair values. Therefore, the Company elects to apply the measurement alternative and record these investments at cost, less any impairment, plus or minus observable price changes in orderly transactions for identical or similar investments of the same issuer. Investment is included within other noncurrent assets on our consolidated balance sheets and adjustments to their carrying amounts are recorded in other income (expense), net in the consolidated statements of operations and comprehensive loss. There were no material events or circumstances impacting the carrying amount of our strategic investments during the three months ended June 30, 2025.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net</w:t>
      </w:r>
    </w:p>
    <w:p>
      <w:pPr>
        <w:spacing w:after="0" w:line="115"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The Company’s accounts receivable consists principally of amounts due related to product sales of instrument systems, reagents and accessories, as well as installation and repair services. These receivables are generally due within 30 to 90 days of the period in which the corresponding sales occur, do not bear interest and are classified as trade accounts receivable, net on the consolidated balance sheets. Trade accounts receivable are reported at their estimated net realizable value.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13"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 xml:space="preserve">The Company adopted ASU 2016-13, </w:t>
      </w: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xml:space="preserve"> (“ASU 2016-13, Financial Instruments - Credit Losses”), on December 31, 2022, which was retroactively applied as of the first day of fiscal year 2022, as further described within the section below titled Recently Adopted Accounting Pronouncements.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spacing w:after="0" w:line="78"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75"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The Company is not party to any off-balance sheet arrangements that would require an allowance for credit losses in accordance with this accounting standard.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significant changes in the allowance for credit losses for the six months ended June 30,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15"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Cost is computed using standard cost, which approximates actual cost on a first-in, first-out basis. The Company regularly monitors inventory quantities on hand and records write-downs for excess and obsolete inventories based on an estimate of demand for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If inventory is written down, a new cost basis is established that cannot be increased in future periods.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15"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Depreciation is recorded using the straight-line method based on the estimated useful lives of the depreciable property or, for leasehold improvements, the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remaining term of the lease, whichever is shorter. Assets not yet placed in use are not depreciated. The Company’s estimated useful lives of its property and equipment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6740" w:type="dxa"/>
            <w:vAlign w:val="bottom"/>
          </w:tcPr>
          <w:p>
            <w:pPr>
              <w:jc w:val="center"/>
              <w:ind w:left="1432"/>
              <w:spacing w:after="0"/>
              <w:rPr>
                <w:sz w:val="20"/>
                <w:szCs w:val="20"/>
                <w:color w:val="auto"/>
              </w:rPr>
            </w:pPr>
            <w:r>
              <w:rPr>
                <w:rFonts w:ascii="Times New Roman" w:cs="Times New Roman" w:eastAsia="Times New Roman" w:hAnsi="Times New Roman"/>
                <w:sz w:val="18"/>
                <w:szCs w:val="18"/>
                <w:b w:val="1"/>
                <w:bCs w:val="1"/>
                <w:color w:val="auto"/>
                <w:w w:val="98"/>
              </w:rPr>
              <w:t>Estimated Useful Lives</w:t>
            </w:r>
          </w:p>
        </w:tc>
      </w:tr>
      <w:tr>
        <w:trPr>
          <w:trHeight w:val="26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6740" w:type="dxa"/>
            <w:vAlign w:val="bottom"/>
          </w:tcPr>
          <w:p>
            <w:pPr>
              <w:jc w:val="center"/>
              <w:ind w:left="1432"/>
              <w:spacing w:after="0"/>
              <w:rPr>
                <w:sz w:val="20"/>
                <w:szCs w:val="20"/>
                <w:color w:val="auto"/>
              </w:rPr>
            </w:pPr>
            <w:r>
              <w:rPr>
                <w:rFonts w:ascii="Times New Roman" w:cs="Times New Roman" w:eastAsia="Times New Roman" w:hAnsi="Times New Roman"/>
                <w:sz w:val="18"/>
                <w:szCs w:val="18"/>
                <w:color w:val="auto"/>
                <w:w w:val="95"/>
              </w:rPr>
              <w:t>20 years</w:t>
            </w:r>
          </w:p>
        </w:tc>
      </w:tr>
      <w:tr>
        <w:trPr>
          <w:trHeight w:val="25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740" w:type="dxa"/>
            <w:vAlign w:val="bottom"/>
            <w:shd w:val="clear" w:color="auto" w:fill="CCEEFF"/>
          </w:tcPr>
          <w:p>
            <w:pPr>
              <w:jc w:val="center"/>
              <w:ind w:left="1432"/>
              <w:spacing w:after="0"/>
              <w:rPr>
                <w:sz w:val="20"/>
                <w:szCs w:val="20"/>
                <w:color w:val="auto"/>
              </w:rPr>
            </w:pPr>
            <w:r>
              <w:rPr>
                <w:rFonts w:ascii="Times New Roman" w:cs="Times New Roman" w:eastAsia="Times New Roman" w:hAnsi="Times New Roman"/>
                <w:sz w:val="18"/>
                <w:szCs w:val="18"/>
                <w:color w:val="auto"/>
                <w:w w:val="97"/>
              </w:rPr>
              <w:t>5 - 7 years</w:t>
            </w:r>
          </w:p>
        </w:tc>
      </w:tr>
      <w:tr>
        <w:trPr>
          <w:trHeight w:val="24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6740" w:type="dxa"/>
            <w:vAlign w:val="bottom"/>
          </w:tcPr>
          <w:p>
            <w:pPr>
              <w:jc w:val="center"/>
              <w:ind w:left="1432"/>
              <w:spacing w:after="0"/>
              <w:rPr>
                <w:sz w:val="20"/>
                <w:szCs w:val="20"/>
                <w:color w:val="auto"/>
              </w:rPr>
            </w:pPr>
            <w:r>
              <w:rPr>
                <w:rFonts w:ascii="Times New Roman" w:cs="Times New Roman" w:eastAsia="Times New Roman" w:hAnsi="Times New Roman"/>
                <w:sz w:val="18"/>
                <w:szCs w:val="18"/>
                <w:color w:val="auto"/>
                <w:w w:val="97"/>
              </w:rPr>
              <w:t>5 - 10 years</w:t>
            </w:r>
          </w:p>
        </w:tc>
      </w:tr>
      <w:tr>
        <w:trPr>
          <w:trHeight w:val="25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6740" w:type="dxa"/>
            <w:vAlign w:val="bottom"/>
            <w:shd w:val="clear" w:color="auto" w:fill="CCEEFF"/>
          </w:tcPr>
          <w:p>
            <w:pPr>
              <w:jc w:val="center"/>
              <w:ind w:left="1432"/>
              <w:spacing w:after="0"/>
              <w:rPr>
                <w:sz w:val="20"/>
                <w:szCs w:val="20"/>
                <w:color w:val="auto"/>
              </w:rPr>
            </w:pPr>
            <w:r>
              <w:rPr>
                <w:rFonts w:ascii="Times New Roman" w:cs="Times New Roman" w:eastAsia="Times New Roman" w:hAnsi="Times New Roman"/>
                <w:sz w:val="18"/>
                <w:szCs w:val="18"/>
                <w:color w:val="auto"/>
                <w:w w:val="97"/>
              </w:rPr>
              <w:t>3 - 5 years</w:t>
            </w:r>
          </w:p>
        </w:tc>
      </w:tr>
      <w:tr>
        <w:trPr>
          <w:trHeight w:val="24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740" w:type="dxa"/>
            <w:vAlign w:val="bottom"/>
          </w:tcPr>
          <w:p>
            <w:pPr>
              <w:jc w:val="center"/>
              <w:ind w:left="1432"/>
              <w:spacing w:after="0"/>
              <w:rPr>
                <w:sz w:val="20"/>
                <w:szCs w:val="20"/>
                <w:color w:val="auto"/>
              </w:rPr>
            </w:pPr>
            <w:r>
              <w:rPr>
                <w:rFonts w:ascii="Times New Roman" w:cs="Times New Roman" w:eastAsia="Times New Roman" w:hAnsi="Times New Roman"/>
                <w:sz w:val="18"/>
                <w:szCs w:val="18"/>
                <w:color w:val="auto"/>
                <w:w w:val="98"/>
              </w:rPr>
              <w:t>Shorter of expected lease term or estimated useful life</w:t>
            </w:r>
          </w:p>
        </w:tc>
      </w:tr>
    </w:tbl>
    <w:p>
      <w:pPr>
        <w:spacing w:after="0" w:line="193" w:lineRule="exact"/>
        <w:rPr>
          <w:sz w:val="20"/>
          <w:szCs w:val="20"/>
          <w:color w:val="auto"/>
        </w:rPr>
      </w:pPr>
    </w:p>
    <w:p>
      <w:pPr>
        <w:jc w:val="both"/>
        <w:ind w:firstLine="477"/>
        <w:spacing w:after="0" w:line="304" w:lineRule="auto"/>
        <w:rPr>
          <w:sz w:val="20"/>
          <w:szCs w:val="20"/>
          <w:color w:val="auto"/>
        </w:rPr>
      </w:pPr>
      <w:r>
        <w:rPr>
          <w:rFonts w:ascii="Times New Roman" w:cs="Times New Roman" w:eastAsia="Times New Roman" w:hAnsi="Times New Roman"/>
          <w:sz w:val="17"/>
          <w:szCs w:val="17"/>
          <w:color w:val="auto"/>
        </w:rPr>
        <w:t>Upon sale or retirement of the assets, the cost and related accumulated depreciation are removed from the accounts and the resulting gain or loss is recognized in the consolidated statements of operations and comprehensive loss. Expenditures for general maintenance and repairs are expensed as incurred.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p>
      <w:pPr>
        <w:spacing w:after="0" w:line="115"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820" w:type="dxa"/>
            <w:vAlign w:val="bottom"/>
          </w:tcPr>
          <w:p>
            <w:pPr>
              <w:spacing w:after="0"/>
              <w:rPr>
                <w:sz w:val="20"/>
                <w:szCs w:val="20"/>
                <w:color w:val="auto"/>
              </w:rPr>
            </w:pPr>
          </w:p>
        </w:tc>
        <w:tc>
          <w:tcPr>
            <w:tcW w:w="6420" w:type="dxa"/>
            <w:vAlign w:val="bottom"/>
          </w:tcPr>
          <w:p>
            <w:pPr>
              <w:jc w:val="center"/>
              <w:ind w:left="1112"/>
              <w:spacing w:after="0"/>
              <w:rPr>
                <w:sz w:val="20"/>
                <w:szCs w:val="20"/>
                <w:color w:val="auto"/>
              </w:rPr>
            </w:pPr>
            <w:r>
              <w:rPr>
                <w:rFonts w:ascii="Times New Roman" w:cs="Times New Roman" w:eastAsia="Times New Roman" w:hAnsi="Times New Roman"/>
                <w:sz w:val="18"/>
                <w:szCs w:val="18"/>
                <w:b w:val="1"/>
                <w:bCs w:val="1"/>
                <w:color w:val="auto"/>
                <w:w w:val="98"/>
              </w:rPr>
              <w:t>Estimated Useful Lives</w:t>
            </w:r>
          </w:p>
        </w:tc>
      </w:tr>
      <w:tr>
        <w:trPr>
          <w:trHeight w:val="25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6420" w:type="dxa"/>
            <w:vAlign w:val="bottom"/>
            <w:shd w:val="clear" w:color="auto" w:fill="CCEEFF"/>
          </w:tcPr>
          <w:p>
            <w:pPr>
              <w:jc w:val="center"/>
              <w:ind w:left="1112"/>
              <w:spacing w:after="0"/>
              <w:rPr>
                <w:sz w:val="20"/>
                <w:szCs w:val="20"/>
                <w:color w:val="auto"/>
              </w:rPr>
            </w:pPr>
            <w:r>
              <w:rPr>
                <w:rFonts w:ascii="Times New Roman" w:cs="Times New Roman" w:eastAsia="Times New Roman" w:hAnsi="Times New Roman"/>
                <w:sz w:val="18"/>
                <w:szCs w:val="18"/>
                <w:color w:val="auto"/>
                <w:w w:val="95"/>
              </w:rPr>
              <w:t>20 years</w:t>
            </w:r>
          </w:p>
        </w:tc>
      </w:tr>
      <w:tr>
        <w:trPr>
          <w:trHeight w:val="252"/>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6420" w:type="dxa"/>
            <w:vAlign w:val="bottom"/>
          </w:tcPr>
          <w:p>
            <w:pPr>
              <w:jc w:val="center"/>
              <w:ind w:left="1112"/>
              <w:spacing w:after="0"/>
              <w:rPr>
                <w:sz w:val="20"/>
                <w:szCs w:val="20"/>
                <w:color w:val="auto"/>
              </w:rPr>
            </w:pPr>
            <w:r>
              <w:rPr>
                <w:rFonts w:ascii="Times New Roman" w:cs="Times New Roman" w:eastAsia="Times New Roman" w:hAnsi="Times New Roman"/>
                <w:sz w:val="18"/>
                <w:szCs w:val="18"/>
                <w:color w:val="auto"/>
                <w:w w:val="95"/>
              </w:rPr>
              <w:t>10 years</w:t>
            </w:r>
          </w:p>
        </w:tc>
      </w:tr>
      <w:tr>
        <w:trPr>
          <w:trHeight w:val="25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6420" w:type="dxa"/>
            <w:vAlign w:val="bottom"/>
            <w:shd w:val="clear" w:color="auto" w:fill="CCEEFF"/>
          </w:tcPr>
          <w:p>
            <w:pPr>
              <w:jc w:val="center"/>
              <w:ind w:left="1112"/>
              <w:spacing w:after="0"/>
              <w:rPr>
                <w:sz w:val="20"/>
                <w:szCs w:val="20"/>
                <w:color w:val="auto"/>
              </w:rPr>
            </w:pPr>
            <w:r>
              <w:rPr>
                <w:rFonts w:ascii="Times New Roman" w:cs="Times New Roman" w:eastAsia="Times New Roman" w:hAnsi="Times New Roman"/>
                <w:sz w:val="18"/>
                <w:szCs w:val="18"/>
                <w:color w:val="auto"/>
                <w:w w:val="97"/>
              </w:rPr>
              <w:t>2 - 15 years</w:t>
            </w:r>
          </w:p>
        </w:tc>
      </w:tr>
      <w:tr>
        <w:trPr>
          <w:trHeight w:val="24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FCI developed technology</w:t>
            </w:r>
          </w:p>
        </w:tc>
        <w:tc>
          <w:tcPr>
            <w:tcW w:w="6420" w:type="dxa"/>
            <w:vAlign w:val="bottom"/>
          </w:tcPr>
          <w:p>
            <w:pPr>
              <w:jc w:val="center"/>
              <w:ind w:left="1112"/>
              <w:spacing w:after="0"/>
              <w:rPr>
                <w:sz w:val="20"/>
                <w:szCs w:val="20"/>
                <w:color w:val="auto"/>
              </w:rPr>
            </w:pPr>
            <w:r>
              <w:rPr>
                <w:rFonts w:ascii="Times New Roman" w:cs="Times New Roman" w:eastAsia="Times New Roman" w:hAnsi="Times New Roman"/>
                <w:sz w:val="18"/>
                <w:szCs w:val="18"/>
                <w:color w:val="auto"/>
                <w:w w:val="97"/>
              </w:rPr>
              <w:t>1 - 6 years</w:t>
            </w:r>
          </w:p>
        </w:tc>
      </w:tr>
      <w:tr>
        <w:trPr>
          <w:trHeight w:val="25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w:t>
            </w:r>
          </w:p>
        </w:tc>
        <w:tc>
          <w:tcPr>
            <w:tcW w:w="6420" w:type="dxa"/>
            <w:vAlign w:val="bottom"/>
            <w:shd w:val="clear" w:color="auto" w:fill="CCEEFF"/>
          </w:tcPr>
          <w:p>
            <w:pPr>
              <w:jc w:val="center"/>
              <w:ind w:left="1112"/>
              <w:spacing w:after="0"/>
              <w:rPr>
                <w:sz w:val="20"/>
                <w:szCs w:val="20"/>
                <w:color w:val="auto"/>
              </w:rPr>
            </w:pPr>
            <w:r>
              <w:rPr>
                <w:rFonts w:ascii="Times New Roman" w:cs="Times New Roman" w:eastAsia="Times New Roman" w:hAnsi="Times New Roman"/>
                <w:sz w:val="18"/>
                <w:szCs w:val="18"/>
                <w:color w:val="auto"/>
                <w:w w:val="97"/>
              </w:rPr>
              <w:t>7 - 9 years</w:t>
            </w:r>
          </w:p>
        </w:tc>
      </w:tr>
      <w:tr>
        <w:trPr>
          <w:trHeight w:val="252"/>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Reagent licenses</w:t>
            </w:r>
          </w:p>
        </w:tc>
        <w:tc>
          <w:tcPr>
            <w:tcW w:w="6420" w:type="dxa"/>
            <w:vAlign w:val="bottom"/>
          </w:tcPr>
          <w:p>
            <w:pPr>
              <w:jc w:val="center"/>
              <w:ind w:left="1112"/>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5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 license</w:t>
            </w:r>
          </w:p>
        </w:tc>
        <w:tc>
          <w:tcPr>
            <w:tcW w:w="6420" w:type="dxa"/>
            <w:vAlign w:val="bottom"/>
            <w:shd w:val="clear" w:color="auto" w:fill="CCEEFF"/>
          </w:tcPr>
          <w:p>
            <w:pPr>
              <w:jc w:val="center"/>
              <w:ind w:left="1112"/>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Impairment of Long-Lived Assets</w:t>
      </w:r>
    </w:p>
    <w:p>
      <w:pPr>
        <w:spacing w:after="0" w:line="115"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76"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5"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0" w:firstLine="477"/>
        <w:spacing w:after="0" w:line="304" w:lineRule="auto"/>
        <w:rPr>
          <w:sz w:val="20"/>
          <w:szCs w:val="20"/>
          <w:color w:val="auto"/>
        </w:rPr>
      </w:pPr>
      <w:r>
        <w:rPr>
          <w:rFonts w:ascii="Times New Roman" w:cs="Times New Roman" w:eastAsia="Times New Roman" w:hAnsi="Times New Roman"/>
          <w:sz w:val="17"/>
          <w:szCs w:val="17"/>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35"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58"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p>
    <w:p>
      <w:pPr>
        <w:spacing w:after="0" w:line="70"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The carrying amounts reflected in the unaudited interim consolidated balance sheets for cash and cash equivalents, trade accounts receivable, net, trade accounts payable and accrued expenses approximate their fair values.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5"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The Company’s product revenue consists of sales of its instrument systems, reagents and accessories. The Company recognizes product revenue at the point in time when control of the product is transferred to the customer.</w:t>
      </w:r>
    </w:p>
    <w:p>
      <w:pPr>
        <w:spacing w:after="0" w:line="58"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70"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76"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Invoicing for products occurs upon shipment and is adjusted based on the applicable International Commercial Terms, and payment terms are 30 to 90 days. Service contracts are invoiced upfront and payment terms are generally 30 days. For those arrangements that have terms longer than one year, any payments received upfront are for reasons other than financing. Revenue is recognized only to the extent that it is probable that a significant reversal of the cumulative amount recognized will not occur in future periods. The Company does not typically offer discounts, rebates, incentives, or rights of return. Variable consideration is not material.</w:t>
      </w:r>
    </w:p>
    <w:p>
      <w:pPr>
        <w:spacing w:after="0" w:line="76"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p>
    <w:p>
      <w:pPr>
        <w:spacing w:after="0" w:line="84" w:lineRule="exact"/>
        <w:rPr>
          <w:sz w:val="20"/>
          <w:szCs w:val="20"/>
          <w:color w:val="auto"/>
        </w:rPr>
      </w:pPr>
    </w:p>
    <w:p>
      <w:pPr>
        <w:jc w:val="both"/>
        <w:ind w:firstLine="477"/>
        <w:spacing w:after="0" w:line="304" w:lineRule="auto"/>
        <w:rPr>
          <w:sz w:val="20"/>
          <w:szCs w:val="20"/>
          <w:color w:val="auto"/>
        </w:rPr>
      </w:pPr>
      <w:r>
        <w:rPr>
          <w:rFonts w:ascii="Times New Roman" w:cs="Times New Roman" w:eastAsia="Times New Roman" w:hAnsi="Times New Roman"/>
          <w:sz w:val="17"/>
          <w:szCs w:val="17"/>
          <w:color w:val="auto"/>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35"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15" w:lineRule="exact"/>
        <w:rPr>
          <w:sz w:val="20"/>
          <w:szCs w:val="20"/>
          <w:color w:val="auto"/>
        </w:rPr>
      </w:pPr>
    </w:p>
    <w:p>
      <w:pPr>
        <w:jc w:val="both"/>
        <w:ind w:right="20" w:firstLine="477"/>
        <w:spacing w:after="0" w:line="274" w:lineRule="auto"/>
        <w:rPr>
          <w:sz w:val="20"/>
          <w:szCs w:val="20"/>
          <w:color w:val="auto"/>
        </w:rPr>
      </w:pPr>
      <w:r>
        <w:rPr>
          <w:rFonts w:ascii="Times New Roman" w:cs="Times New Roman" w:eastAsia="Times New Roman" w:hAnsi="Times New Roman"/>
          <w:sz w:val="18"/>
          <w:szCs w:val="18"/>
          <w:color w:val="auto"/>
        </w:rPr>
        <w:t>The Company’s standard arrangement for sales to end users is a purchase order or an executed contract. Revenue is recognized upon transfer of control of the product to the customer, which occurs at a point in time depending on the shipping terms.</w:t>
      </w:r>
    </w:p>
    <w:p>
      <w:pPr>
        <w:spacing w:after="0" w:line="58"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115"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15"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Assurance-type product warranties</w:t>
      </w:r>
    </w:p>
    <w:p>
      <w:pPr>
        <w:spacing w:after="0" w:line="115"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15" w:lineRule="exact"/>
        <w:rPr>
          <w:sz w:val="20"/>
          <w:szCs w:val="20"/>
          <w:color w:val="auto"/>
        </w:rPr>
      </w:pPr>
    </w:p>
    <w:p>
      <w:pPr>
        <w:ind w:right="480" w:firstLine="477"/>
        <w:spacing w:after="0" w:line="274"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banking and accounting fees relating to offerings of the Company’s securities are capitalized, and are offset against proceeds from an offering upon the effectiveness of the offering.</w:t>
      </w:r>
    </w:p>
    <w:p>
      <w:pPr>
        <w:spacing w:after="0" w:line="58"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 million of the Company’s common stock through an “at-the-market” offering program as defined in Rule 415 promulgated under the Securities Act of 1933, as amended (the “Securities Act”).</w:t>
      </w:r>
    </w:p>
    <w:p>
      <w:pPr>
        <w:spacing w:after="0" w:line="75"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June 30, 2025, the Company has not made any sales of common stock pursuant to the 2022 Sales Agreement. Accordingly, $0.7 million in transaction expenses recorded as prepaid offering costs have not yet been expensed in transaction expenses recorded.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15"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15"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The cost of advertising, marketing and media is expensed as incurred. For the three and six months ended June 30, 2025, advertising, marketing and media expenses were $1.2 million and $2.5 million, respectively. For the three and six months ended June 30, 2024, advertising, marketing and media expenses were $1.3 million and $2.2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5"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w:t>
      </w:r>
    </w:p>
    <w:p>
      <w:pPr>
        <w:spacing w:after="0" w:line="76"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Expected Volatility—Expected volatility is estimated by analyzing the historical volatility of selected industry peers, and the Company’s historical market data for the assessment corresponds to the expected term of the awards.</w:t>
      </w:r>
    </w:p>
    <w:p>
      <w:pPr>
        <w:spacing w:after="0" w:line="58"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Expected Term—Expected term represents the period that the Company’s stock-based awards are expected to be outstanding and is determined using the simplified method.</w:t>
      </w:r>
    </w:p>
    <w:p>
      <w:pPr>
        <w:spacing w:after="0" w:line="58" w:lineRule="exact"/>
        <w:rPr>
          <w:sz w:val="20"/>
          <w:szCs w:val="20"/>
          <w:color w:val="auto"/>
        </w:rPr>
      </w:pPr>
    </w:p>
    <w:p>
      <w:pPr>
        <w:jc w:val="both"/>
        <w:ind w:right="20" w:firstLine="477"/>
        <w:spacing w:after="0" w:line="274" w:lineRule="auto"/>
        <w:rPr>
          <w:sz w:val="20"/>
          <w:szCs w:val="20"/>
          <w:color w:val="auto"/>
        </w:rPr>
      </w:pPr>
      <w:r>
        <w:rPr>
          <w:rFonts w:ascii="Times New Roman" w:cs="Times New Roman" w:eastAsia="Times New Roman" w:hAnsi="Times New Roman"/>
          <w:sz w:val="18"/>
          <w:szCs w:val="18"/>
          <w:color w:val="auto"/>
        </w:rPr>
        <w:t>Dividend Yield— The expected dividend yield is zero as the Company has never declared or paid cash dividends and has no current plans to do so in the foreseeable future.</w:t>
      </w:r>
    </w:p>
    <w:p>
      <w:pPr>
        <w:spacing w:after="0" w:line="58"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Risk-Free Interest Rate—The risk-free interest rate is based on the U.S. Treasury zero-coupon issued in effect at the time of grant for periods corresponding with the expected term of the option.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5"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75"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statements of operations and comprehensive loss. Accrued interest and penalties, if any, are included in accrued expenses in the consolidated balance sheet.</w:t>
      </w:r>
    </w:p>
    <w:p>
      <w:pPr>
        <w:spacing w:after="0" w:line="79"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and foreign jurisdictions. The U.S. federal,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75" w:lineRule="exact"/>
        <w:rPr>
          <w:sz w:val="20"/>
          <w:szCs w:val="20"/>
          <w:color w:val="auto"/>
        </w:rPr>
      </w:pPr>
    </w:p>
    <w:p>
      <w:pPr>
        <w:jc w:val="both"/>
        <w:ind w:firstLine="477"/>
        <w:spacing w:after="0" w:line="271" w:lineRule="auto"/>
        <w:rPr>
          <w:sz w:val="20"/>
          <w:szCs w:val="20"/>
          <w:color w:val="auto"/>
        </w:rPr>
      </w:pPr>
      <w:r>
        <w:rPr>
          <w:rFonts w:ascii="Times New Roman" w:cs="Times New Roman" w:eastAsia="Times New Roman" w:hAnsi="Times New Roman"/>
          <w:sz w:val="17"/>
          <w:szCs w:val="17"/>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15"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Basic net loss per share and diluted net loss per share are computed using the weighted-average number of shares of common stock outstanding for the period. Net loss per share is calculated using the two-class method, which is an earnings allocation formula that determines net loss per share for the holders of shares of the Company’s common stock and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loss per share in the periods in which net loss is recorded.</w:t>
      </w:r>
    </w:p>
    <w:p>
      <w:pPr>
        <w:spacing w:after="0" w:line="70"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Diluted net loss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loss per share gives effect to all potentially dilutive common stock equivalents, including outstanding options and redeemable convertible preferred stock.</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Common stock equivalents are excluded from the computation of diluted net loss per share if their effect is antidilutive.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3" w:lineRule="exact"/>
        <w:rPr>
          <w:sz w:val="20"/>
          <w:szCs w:val="20"/>
          <w:color w:val="auto"/>
        </w:rPr>
      </w:pPr>
    </w:p>
    <w:p>
      <w:pPr>
        <w:jc w:val="both"/>
        <w:ind w:firstLine="477"/>
        <w:spacing w:after="0" w:line="256" w:lineRule="auto"/>
        <w:rPr>
          <w:sz w:val="20"/>
          <w:szCs w:val="20"/>
          <w:color w:val="auto"/>
        </w:rPr>
      </w:pPr>
      <w:r>
        <w:rPr>
          <w:rFonts w:ascii="Times New Roman" w:cs="Times New Roman" w:eastAsia="Times New Roman" w:hAnsi="Times New Roman"/>
          <w:sz w:val="18"/>
          <w:szCs w:val="18"/>
          <w:color w:val="auto"/>
        </w:rPr>
        <w:t xml:space="preserve">The Company uses the acquisition method of accounting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spacing w:after="0" w:line="74"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Amounts allocated to assets and liabilities are based upon their estimated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developed technology, customer relationships, trade names, and reagent licenses.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5"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(“ASU 2023-07”),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 of significant segment expenses and other segment items as well as incremental qualitative disclosures.</w:t>
      </w:r>
    </w:p>
    <w:p>
      <w:pPr>
        <w:spacing w:after="0" w:line="76" w:lineRule="exact"/>
        <w:rPr>
          <w:sz w:val="20"/>
          <w:szCs w:val="20"/>
          <w:color w:val="auto"/>
        </w:rPr>
      </w:pPr>
    </w:p>
    <w:p>
      <w:pPr>
        <w:jc w:val="both"/>
        <w:ind w:firstLine="477"/>
        <w:spacing w:after="0" w:line="252" w:lineRule="auto"/>
        <w:rPr>
          <w:sz w:val="20"/>
          <w:szCs w:val="20"/>
          <w:color w:val="auto"/>
        </w:rPr>
      </w:pPr>
      <w:r>
        <w:rPr>
          <w:rFonts w:ascii="Times New Roman" w:cs="Times New Roman" w:eastAsia="Times New Roman" w:hAnsi="Times New Roman"/>
          <w:sz w:val="18"/>
          <w:szCs w:val="18"/>
          <w:color w:val="auto"/>
        </w:rPr>
        <w:t>The Company adopted ASU 2023-07 effective December 31, 2024, on a retrospective basis. The adoption of 2023-07 did not change the way that the Company identifies its reportable segments and, as a result, did not have a material impact on the Company’s segment-related disclosures. Refer to Note 21 for further information on the Company’s reportable segment.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3"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 (“ASU 2023-09”)</w:t>
      </w:r>
      <w:r>
        <w:rPr>
          <w:rFonts w:ascii="Times New Roman" w:cs="Times New Roman" w:eastAsia="Times New Roman" w:hAnsi="Times New Roman"/>
          <w:sz w:val="18"/>
          <w:szCs w:val="18"/>
          <w:color w:val="auto"/>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is currently evaluating the impact of this pronouncement.</w:t>
      </w:r>
    </w:p>
    <w:p>
      <w:pPr>
        <w:spacing w:after="0" w:line="76" w:lineRule="exact"/>
        <w:rPr>
          <w:sz w:val="20"/>
          <w:szCs w:val="20"/>
          <w:color w:val="auto"/>
        </w:rPr>
      </w:pPr>
    </w:p>
    <w:p>
      <w:pPr>
        <w:jc w:val="both"/>
        <w:ind w:firstLine="477"/>
        <w:spacing w:after="0" w:line="242"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disclosure about the types of costs and expenses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our related disclosures.</w:t>
      </w:r>
    </w:p>
    <w:p>
      <w:pPr>
        <w:spacing w:after="0" w:line="200" w:lineRule="exact"/>
        <w:rPr>
          <w:sz w:val="20"/>
          <w:szCs w:val="20"/>
          <w:color w:val="auto"/>
        </w:rPr>
      </w:pPr>
    </w:p>
    <w:p>
      <w:pPr>
        <w:spacing w:after="0" w:line="2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Concentrations of credit risk and other risks and uncertainties</w:t>
      </w:r>
    </w:p>
    <w:p>
      <w:pPr>
        <w:spacing w:after="0" w:line="113"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and marketable securities. The Company maintains accounts in federally insured financial institutions in excess of federally insured limits. Management believes the Company is not exposed to significant credit risk due to the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financial position of the depository institutions in which these deposits are held and of the money market funds in which these investments are made. The Company holds marketable securities with high credit ratings.</w:t>
      </w:r>
    </w:p>
    <w:p>
      <w:pPr>
        <w:spacing w:after="0" w:line="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depicts the disaggregation of revenue by sales channel mix and customer mix as defined by the nature of workflows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302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4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 mix</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sales channel</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33,469</w:t>
            </w:r>
          </w:p>
        </w:tc>
        <w:tc>
          <w:tcPr>
            <w:tcW w:w="140" w:type="dxa"/>
            <w:vAlign w:val="bottom"/>
          </w:tcPr>
          <w:p>
            <w:pPr>
              <w:spacing w:after="0"/>
              <w:rPr>
                <w:sz w:val="21"/>
                <w:szCs w:val="21"/>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34,549</w:t>
            </w:r>
          </w:p>
        </w:tc>
        <w:tc>
          <w:tcPr>
            <w:tcW w:w="14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63,439</w:t>
            </w:r>
          </w:p>
        </w:tc>
        <w:tc>
          <w:tcPr>
            <w:tcW w:w="140" w:type="dxa"/>
            <w:vAlign w:val="bottom"/>
          </w:tcPr>
          <w:p>
            <w:pPr>
              <w:spacing w:after="0"/>
              <w:rPr>
                <w:sz w:val="21"/>
                <w:szCs w:val="21"/>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68,869</w:t>
            </w:r>
          </w:p>
        </w:tc>
        <w:tc>
          <w:tcPr>
            <w:tcW w:w="0" w:type="dxa"/>
            <w:vAlign w:val="bottom"/>
          </w:tcPr>
          <w:p>
            <w:pPr>
              <w:spacing w:after="0"/>
              <w:rPr>
                <w:sz w:val="1"/>
                <w:szCs w:val="1"/>
                <w:color w:val="auto"/>
              </w:rPr>
            </w:pPr>
          </w:p>
        </w:tc>
      </w:tr>
      <w:tr>
        <w:trPr>
          <w:trHeight w:val="258"/>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Distributor channel</w:t>
            </w:r>
          </w:p>
        </w:tc>
        <w:tc>
          <w:tcPr>
            <w:tcW w:w="4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4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14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23,620</w:t>
            </w:r>
          </w:p>
        </w:tc>
        <w:tc>
          <w:tcPr>
            <w:tcW w:w="14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45,602</w:t>
            </w:r>
          </w:p>
        </w:tc>
        <w:tc>
          <w:tcPr>
            <w:tcW w:w="140" w:type="dxa"/>
            <w:vAlign w:val="bottom"/>
          </w:tcPr>
          <w:p>
            <w:pPr>
              <w:spacing w:after="0"/>
              <w:rPr>
                <w:sz w:val="20"/>
                <w:szCs w:val="20"/>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140" w:type="dxa"/>
            <w:vAlign w:val="bottom"/>
          </w:tcPr>
          <w:p>
            <w:pPr>
              <w:spacing w:after="0"/>
              <w:rPr>
                <w:sz w:val="20"/>
                <w:szCs w:val="20"/>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87,059</w:t>
            </w:r>
          </w:p>
        </w:tc>
        <w:tc>
          <w:tcPr>
            <w:tcW w:w="140" w:type="dxa"/>
            <w:vAlign w:val="bottom"/>
          </w:tcPr>
          <w:p>
            <w:pPr>
              <w:spacing w:after="0"/>
              <w:rPr>
                <w:sz w:val="20"/>
                <w:szCs w:val="20"/>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mix</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Academia and government</w:t>
            </w: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21,754</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38,886</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0" w:type="dxa"/>
            <w:vAlign w:val="bottom"/>
          </w:tcPr>
          <w:p>
            <w:pPr>
              <w:spacing w:after="0"/>
              <w:rPr>
                <w:sz w:val="1"/>
                <w:szCs w:val="1"/>
                <w:color w:val="auto"/>
              </w:rPr>
            </w:pPr>
          </w:p>
        </w:tc>
      </w:tr>
      <w:tr>
        <w:trPr>
          <w:trHeight w:val="20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Biotechnology, pharmaceutical, distributor and</w:t>
            </w:r>
          </w:p>
        </w:tc>
        <w:tc>
          <w:tcPr>
            <w:tcW w:w="42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23,848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48,173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52,834</w:t>
            </w:r>
          </w:p>
        </w:tc>
        <w:tc>
          <w:tcPr>
            <w:tcW w:w="0" w:type="dxa"/>
            <w:vAlign w:val="bottom"/>
          </w:tcPr>
          <w:p>
            <w:pPr>
              <w:spacing w:after="0"/>
              <w:rPr>
                <w:sz w:val="1"/>
                <w:szCs w:val="1"/>
                <w:color w:val="auto"/>
              </w:rPr>
            </w:pPr>
          </w:p>
        </w:tc>
      </w:tr>
      <w:tr>
        <w:trPr>
          <w:trHeight w:val="139"/>
        </w:trPr>
        <w:tc>
          <w:tcPr>
            <w:tcW w:w="40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contract research organizations</w:t>
            </w:r>
            <w:r>
              <w:rPr>
                <w:rFonts w:ascii="Times New Roman" w:cs="Times New Roman" w:eastAsia="Times New Roman" w:hAnsi="Times New Roman"/>
                <w:sz w:val="15"/>
                <w:szCs w:val="15"/>
                <w:color w:val="auto"/>
              </w:rPr>
              <w:t>*</w:t>
            </w:r>
          </w:p>
        </w:tc>
        <w:tc>
          <w:tcPr>
            <w:tcW w:w="4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40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4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45,602</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87,059</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Revenue by geographical markets is presented in Note 21.</w:t>
      </w:r>
    </w:p>
    <w:p>
      <w:pPr>
        <w:spacing w:after="0" w:line="107" w:lineRule="exact"/>
        <w:rPr>
          <w:sz w:val="20"/>
          <w:szCs w:val="20"/>
          <w:color w:val="auto"/>
        </w:rPr>
      </w:pPr>
    </w:p>
    <w:p>
      <w:pPr>
        <w:jc w:val="both"/>
        <w:ind w:firstLine="477"/>
        <w:spacing w:after="0" w:line="262" w:lineRule="auto"/>
        <w:rPr>
          <w:sz w:val="20"/>
          <w:szCs w:val="20"/>
          <w:color w:val="auto"/>
        </w:rPr>
      </w:pPr>
      <w:r>
        <w:rPr>
          <w:rFonts w:ascii="Times New Roman" w:cs="Times New Roman" w:eastAsia="Times New Roman" w:hAnsi="Times New Roman"/>
          <w:sz w:val="14"/>
          <w:szCs w:val="14"/>
          <w:color w:val="auto"/>
        </w:rPr>
        <w:t>*Subsequent to the issuance of the June 30, 2024 interim financial statements, management identified a misclassification error in the Company's historical interim financial statements for the second quarter of fiscal year 2024 relating to a $14.2 million misclassification in the disaggregation of revenue by customer mix for the six months ended June 30, 2024. This misclassification impacts only the previously issued historical interim financial statements for the second quarter of fiscal year 2024. There is no net impact on the total revenue for the three and six months ended June 30, 2024. The Company corrected the previously presented amounts for the six months ended June 30, 2024, and concluded the error was not material to the previously issued interim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3"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The following table includes estimated revenues expected to be recognized in the future related to performance obligations that are unsatisfied (or partially satisfied) as of June 30, 2025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Greater than 1 year</w:t>
            </w:r>
          </w:p>
        </w:tc>
        <w:tc>
          <w:tcPr>
            <w:tcW w:w="340" w:type="dxa"/>
            <w:vAlign w:val="bottom"/>
          </w:tcPr>
          <w:p>
            <w:pPr>
              <w:spacing w:after="0"/>
              <w:rPr>
                <w:sz w:val="16"/>
                <w:szCs w:val="16"/>
                <w:color w:val="auto"/>
              </w:rPr>
            </w:pPr>
          </w:p>
        </w:tc>
        <w:tc>
          <w:tcPr>
            <w:tcW w:w="11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46"/>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44,024</w:t>
            </w:r>
          </w:p>
        </w:tc>
      </w:tr>
      <w:tr>
        <w:trPr>
          <w:trHeight w:val="27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 had immaterial amounts of contract assets included within prepaid expenses and other current assets on the consolidated balance sheets.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deferred revenue from contracts with customers, and customer deposits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52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9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28,128</w:t>
            </w:r>
          </w:p>
        </w:tc>
        <w:tc>
          <w:tcPr>
            <w:tcW w:w="10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25,492</w:t>
            </w:r>
          </w:p>
        </w:tc>
        <w:tc>
          <w:tcPr>
            <w:tcW w:w="0" w:type="dxa"/>
            <w:vAlign w:val="bottom"/>
          </w:tcPr>
          <w:p>
            <w:pPr>
              <w:spacing w:after="0"/>
              <w:rPr>
                <w:sz w:val="1"/>
                <w:szCs w:val="1"/>
                <w:color w:val="auto"/>
              </w:rPr>
            </w:pPr>
          </w:p>
        </w:tc>
      </w:tr>
      <w:tr>
        <w:trPr>
          <w:trHeight w:val="258"/>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2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16,098</w:t>
            </w:r>
          </w:p>
        </w:tc>
        <w:tc>
          <w:tcPr>
            <w:tcW w:w="0" w:type="dxa"/>
            <w:vAlign w:val="bottom"/>
          </w:tcPr>
          <w:p>
            <w:pPr>
              <w:spacing w:after="0"/>
              <w:rPr>
                <w:sz w:val="1"/>
                <w:szCs w:val="1"/>
                <w:color w:val="auto"/>
              </w:rPr>
            </w:pPr>
          </w:p>
        </w:tc>
      </w:tr>
      <w:tr>
        <w:trPr>
          <w:trHeight w:val="246"/>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Customer deposits, which are included in 'Other current liabilities'</w:t>
            </w:r>
          </w:p>
        </w:tc>
        <w:tc>
          <w:tcPr>
            <w:tcW w:w="29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65"/>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3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jc w:val="right"/>
              <w:ind w:right="2372"/>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6"/>
        </w:trPr>
        <w:tc>
          <w:tcPr>
            <w:tcW w:w="52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200" w:type="dxa"/>
            <w:vAlign w:val="bottom"/>
            <w:tcBorders>
              <w:bottom w:val="single" w:sz="8" w:color="9A9A9A"/>
            </w:tcBorders>
          </w:tcPr>
          <w:p>
            <w:pPr>
              <w:spacing w:after="0"/>
              <w:rPr>
                <w:sz w:val="17"/>
                <w:szCs w:val="17"/>
                <w:color w:val="auto"/>
              </w:rPr>
            </w:pPr>
          </w:p>
        </w:tc>
        <w:tc>
          <w:tcPr>
            <w:tcW w:w="29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3"/>
        </w:trPr>
        <w:tc>
          <w:tcPr>
            <w:tcW w:w="8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following provides a roll-forward of the contract liabilities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39,265</w:t>
            </w:r>
          </w:p>
        </w:tc>
        <w:tc>
          <w:tcPr>
            <w:tcW w:w="0" w:type="dxa"/>
            <w:vAlign w:val="bottom"/>
          </w:tcPr>
          <w:p>
            <w:pPr>
              <w:spacing w:after="0"/>
              <w:rPr>
                <w:sz w:val="1"/>
                <w:szCs w:val="1"/>
                <w:color w:val="auto"/>
              </w:rPr>
            </w:pPr>
          </w:p>
        </w:tc>
      </w:tr>
      <w:tr>
        <w:trPr>
          <w:trHeight w:val="24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(47,190)</w:t>
            </w:r>
          </w:p>
        </w:tc>
        <w:tc>
          <w:tcPr>
            <w:tcW w:w="0" w:type="dxa"/>
            <w:vAlign w:val="bottom"/>
          </w:tcPr>
          <w:p>
            <w:pPr>
              <w:spacing w:after="0"/>
              <w:rPr>
                <w:sz w:val="1"/>
                <w:szCs w:val="1"/>
                <w:color w:val="auto"/>
              </w:rPr>
            </w:pPr>
          </w:p>
        </w:tc>
      </w:tr>
      <w:tr>
        <w:trPr>
          <w:trHeight w:val="252"/>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deferred</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50,633</w:t>
            </w:r>
          </w:p>
        </w:tc>
        <w:tc>
          <w:tcPr>
            <w:tcW w:w="0" w:type="dxa"/>
            <w:vAlign w:val="bottom"/>
          </w:tcPr>
          <w:p>
            <w:pPr>
              <w:spacing w:after="0"/>
              <w:rPr>
                <w:sz w:val="1"/>
                <w:szCs w:val="1"/>
                <w:color w:val="auto"/>
              </w:rPr>
            </w:pPr>
          </w:p>
        </w:tc>
      </w:tr>
      <w:tr>
        <w:trPr>
          <w:trHeight w:val="24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42,708</w:t>
            </w:r>
          </w:p>
        </w:tc>
        <w:tc>
          <w:tcPr>
            <w:tcW w:w="0" w:type="dxa"/>
            <w:vAlign w:val="bottom"/>
          </w:tcPr>
          <w:p>
            <w:pPr>
              <w:spacing w:after="0"/>
              <w:rPr>
                <w:sz w:val="1"/>
                <w:szCs w:val="1"/>
                <w:color w:val="auto"/>
              </w:rPr>
            </w:pPr>
          </w:p>
        </w:tc>
      </w:tr>
      <w:tr>
        <w:trPr>
          <w:trHeight w:val="258"/>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0" w:type="dxa"/>
            <w:vAlign w:val="bottom"/>
          </w:tcPr>
          <w:p>
            <w:pPr>
              <w:spacing w:after="0"/>
              <w:rPr>
                <w:sz w:val="1"/>
                <w:szCs w:val="1"/>
                <w:color w:val="auto"/>
              </w:rPr>
            </w:pPr>
          </w:p>
        </w:tc>
      </w:tr>
      <w:tr>
        <w:trPr>
          <w:trHeight w:val="246"/>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Revenue deferred</w:t>
            </w: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18,072</w:t>
            </w:r>
          </w:p>
        </w:tc>
        <w:tc>
          <w:tcPr>
            <w:tcW w:w="0" w:type="dxa"/>
            <w:vAlign w:val="bottom"/>
          </w:tcPr>
          <w:p>
            <w:pPr>
              <w:spacing w:after="0"/>
              <w:rPr>
                <w:sz w:val="1"/>
                <w:szCs w:val="1"/>
                <w:color w:val="auto"/>
              </w:rPr>
            </w:pPr>
          </w:p>
        </w:tc>
      </w:tr>
      <w:tr>
        <w:trPr>
          <w:trHeight w:val="27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Balance sheet details</w:t>
            </w: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1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8"/>
        </w:trPr>
        <w:tc>
          <w:tcPr>
            <w:tcW w:w="8180" w:type="dxa"/>
            <w:vAlign w:val="bottom"/>
            <w:tcBorders>
              <w:bottom w:val="single" w:sz="8" w:color="CCEEFF"/>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22,571</w:t>
            </w:r>
          </w:p>
        </w:tc>
        <w:tc>
          <w:tcPr>
            <w:tcW w:w="0" w:type="dxa"/>
            <w:vAlign w:val="bottom"/>
          </w:tcPr>
          <w:p>
            <w:pPr>
              <w:spacing w:after="0"/>
              <w:rPr>
                <w:sz w:val="1"/>
                <w:szCs w:val="1"/>
                <w:color w:val="auto"/>
              </w:rPr>
            </w:pPr>
          </w:p>
        </w:tc>
      </w:tr>
      <w:tr>
        <w:trPr>
          <w:trHeight w:val="24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0" w:type="dxa"/>
            <w:vAlign w:val="bottom"/>
          </w:tcPr>
          <w:p>
            <w:pPr>
              <w:spacing w:after="0"/>
              <w:rPr>
                <w:sz w:val="1"/>
                <w:szCs w:val="1"/>
                <w:color w:val="auto"/>
              </w:rPr>
            </w:pPr>
          </w:p>
        </w:tc>
      </w:tr>
      <w:tr>
        <w:trPr>
          <w:trHeight w:val="258"/>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0" w:type="dxa"/>
            <w:vAlign w:val="bottom"/>
          </w:tcPr>
          <w:p>
            <w:pPr>
              <w:spacing w:after="0"/>
              <w:rPr>
                <w:sz w:val="1"/>
                <w:szCs w:val="1"/>
                <w:color w:val="auto"/>
              </w:rPr>
            </w:pPr>
          </w:p>
        </w:tc>
      </w:tr>
      <w:tr>
        <w:trPr>
          <w:trHeight w:val="23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43,893</w:t>
            </w:r>
          </w:p>
        </w:tc>
        <w:tc>
          <w:tcPr>
            <w:tcW w:w="0" w:type="dxa"/>
            <w:vAlign w:val="bottom"/>
          </w:tcPr>
          <w:p>
            <w:pPr>
              <w:spacing w:after="0"/>
              <w:rPr>
                <w:sz w:val="1"/>
                <w:szCs w:val="1"/>
                <w:color w:val="auto"/>
              </w:rPr>
            </w:pPr>
          </w:p>
        </w:tc>
      </w:tr>
      <w:tr>
        <w:trPr>
          <w:trHeight w:val="27"/>
        </w:trPr>
        <w:tc>
          <w:tcPr>
            <w:tcW w:w="8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2"/>
        </w:trPr>
        <w:tc>
          <w:tcPr>
            <w:tcW w:w="81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4"/>
        </w:trPr>
        <w:tc>
          <w:tcPr>
            <w:tcW w:w="81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58"/>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rent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insurance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58"/>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0" w:type="dxa"/>
            <w:vAlign w:val="bottom"/>
          </w:tcPr>
          <w:p>
            <w:pPr>
              <w:spacing w:after="0"/>
              <w:rPr>
                <w:sz w:val="1"/>
                <w:szCs w:val="1"/>
                <w:color w:val="auto"/>
              </w:rPr>
            </w:pPr>
          </w:p>
        </w:tc>
      </w:tr>
      <w:tr>
        <w:trPr>
          <w:trHeight w:val="24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0" w:type="dxa"/>
            <w:vAlign w:val="bottom"/>
          </w:tcPr>
          <w:p>
            <w:pPr>
              <w:spacing w:after="0"/>
              <w:rPr>
                <w:sz w:val="1"/>
                <w:szCs w:val="1"/>
                <w:color w:val="auto"/>
              </w:rPr>
            </w:pPr>
          </w:p>
        </w:tc>
      </w:tr>
      <w:tr>
        <w:trPr>
          <w:trHeight w:val="258"/>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refund receivable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4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14,075</w:t>
            </w:r>
          </w:p>
        </w:tc>
        <w:tc>
          <w:tcPr>
            <w:tcW w:w="0" w:type="dxa"/>
            <w:vAlign w:val="bottom"/>
          </w:tcPr>
          <w:p>
            <w:pPr>
              <w:spacing w:after="0"/>
              <w:rPr>
                <w:sz w:val="1"/>
                <w:szCs w:val="1"/>
                <w:color w:val="auto"/>
              </w:rPr>
            </w:pPr>
          </w:p>
        </w:tc>
      </w:tr>
      <w:tr>
        <w:trPr>
          <w:trHeight w:val="27"/>
        </w:trPr>
        <w:tc>
          <w:tcPr>
            <w:tcW w:w="8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5"/>
        </w:trPr>
        <w:tc>
          <w:tcPr>
            <w:tcW w:w="81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8"/>
        </w:trPr>
        <w:tc>
          <w:tcPr>
            <w:tcW w:w="8180" w:type="dxa"/>
            <w:vAlign w:val="bottom"/>
            <w:tcBorders>
              <w:bottom w:val="single" w:sz="8" w:color="CCEEFF"/>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13,638</w:t>
            </w:r>
          </w:p>
        </w:tc>
        <w:tc>
          <w:tcPr>
            <w:tcW w:w="10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14,765</w:t>
            </w:r>
          </w:p>
        </w:tc>
        <w:tc>
          <w:tcPr>
            <w:tcW w:w="0" w:type="dxa"/>
            <w:vAlign w:val="bottom"/>
          </w:tcPr>
          <w:p>
            <w:pPr>
              <w:spacing w:after="0"/>
              <w:rPr>
                <w:sz w:val="1"/>
                <w:szCs w:val="1"/>
                <w:color w:val="auto"/>
              </w:rPr>
            </w:pPr>
          </w:p>
        </w:tc>
      </w:tr>
      <w:tr>
        <w:trPr>
          <w:trHeight w:val="258"/>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 fees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4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58"/>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warranty</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46"/>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7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21,443</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 w:right="339"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product warranty analysis refer to Note 19.</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components of other current liabilities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5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4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use tax payable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5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4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loan and line of credit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r>
      <w:tr>
        <w:trPr>
          <w:trHeight w:val="25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4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13,494</w:t>
            </w:r>
          </w:p>
        </w:tc>
      </w:tr>
      <w:tr>
        <w:trPr>
          <w:trHeight w:val="26"/>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13"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table sets forth the fair value of the Company’s financial assets and liabilities by level within the fair value hierarchy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4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restart"/>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w w:val="99"/>
              </w:rPr>
              <w:t>in active</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restart"/>
          </w:tcPr>
          <w:p>
            <w:pPr>
              <w:jc w:val="center"/>
              <w:ind w:right="119"/>
              <w:spacing w:after="0" w:line="159"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80"/>
        </w:trPr>
        <w:tc>
          <w:tcPr>
            <w:tcW w:w="4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gridSpan w:val="2"/>
            <w:vMerge w:val="restart"/>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gridSpan w:val="2"/>
            <w:vMerge w:val="restart"/>
          </w:tcPr>
          <w:p>
            <w:pPr>
              <w:jc w:val="right"/>
              <w:ind w:right="520"/>
              <w:spacing w:after="0" w:line="15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restart"/>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w w:val="99"/>
              </w:rPr>
              <w:t>markets for</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restart"/>
          </w:tcPr>
          <w:p>
            <w:pPr>
              <w:jc w:val="center"/>
              <w:ind w:right="119"/>
              <w:spacing w:after="0" w:line="159"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80"/>
        </w:trPr>
        <w:tc>
          <w:tcPr>
            <w:tcW w:w="4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gridSpan w:val="2"/>
            <w:vMerge w:val="restart"/>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restart"/>
          </w:tcPr>
          <w:p>
            <w:pPr>
              <w:jc w:val="right"/>
              <w:ind w:right="456"/>
              <w:spacing w:after="0" w:line="15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restart"/>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w w:val="97"/>
              </w:rPr>
              <w:t>identical</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restart"/>
          </w:tcPr>
          <w:p>
            <w:pPr>
              <w:jc w:val="center"/>
              <w:ind w:right="119"/>
              <w:spacing w:after="0" w:line="159" w:lineRule="exact"/>
              <w:rPr>
                <w:sz w:val="20"/>
                <w:szCs w:val="20"/>
                <w:color w:val="auto"/>
              </w:rPr>
            </w:pPr>
            <w:r>
              <w:rPr>
                <w:rFonts w:ascii="Times New Roman" w:cs="Times New Roman" w:eastAsia="Times New Roman" w:hAnsi="Times New Roman"/>
                <w:sz w:val="14"/>
                <w:szCs w:val="14"/>
                <w:b w:val="1"/>
                <w:bCs w:val="1"/>
                <w:color w:val="auto"/>
                <w:w w:val="96"/>
              </w:rPr>
              <w:t>inputs</w:t>
            </w:r>
          </w:p>
        </w:tc>
        <w:tc>
          <w:tcPr>
            <w:tcW w:w="0" w:type="dxa"/>
            <w:vAlign w:val="bottom"/>
          </w:tcPr>
          <w:p>
            <w:pPr>
              <w:spacing w:after="0"/>
              <w:rPr>
                <w:sz w:val="1"/>
                <w:szCs w:val="1"/>
                <w:color w:val="auto"/>
              </w:rPr>
            </w:pPr>
          </w:p>
        </w:tc>
      </w:tr>
      <w:tr>
        <w:trPr>
          <w:trHeight w:val="80"/>
        </w:trPr>
        <w:tc>
          <w:tcPr>
            <w:tcW w:w="4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gridSpan w:val="2"/>
            <w:vMerge w:val="restart"/>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restart"/>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restart"/>
          </w:tcPr>
          <w:p>
            <w:pPr>
              <w:jc w:val="center"/>
              <w:ind w:right="119"/>
              <w:spacing w:after="0" w:line="15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80"/>
        </w:trPr>
        <w:tc>
          <w:tcPr>
            <w:tcW w:w="4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4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760" w:type="dxa"/>
            <w:vAlign w:val="bottom"/>
            <w:tcBorders>
              <w:bottom w:val="single" w:sz="8" w:color="auto"/>
            </w:tcBorders>
            <w:gridSpan w:val="2"/>
            <w:vMerge w:val="continue"/>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gridSpan w:val="2"/>
            <w:vMerge w:val="continue"/>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48,888</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48,888</w:t>
            </w:r>
          </w:p>
        </w:tc>
        <w:tc>
          <w:tcPr>
            <w:tcW w:w="60" w:type="dxa"/>
            <w:vAlign w:val="bottom"/>
          </w:tcPr>
          <w:p>
            <w:pPr>
              <w:spacing w:after="0"/>
              <w:rPr>
                <w:sz w:val="21"/>
                <w:szCs w:val="21"/>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152,421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152,421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12,823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12,823</w:t>
            </w:r>
          </w:p>
        </w:tc>
        <w:tc>
          <w:tcPr>
            <w:tcW w:w="30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47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21,308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21,308</w:t>
            </w:r>
          </w:p>
        </w:tc>
        <w:tc>
          <w:tcPr>
            <w:tcW w:w="100" w:type="dxa"/>
            <w:vAlign w:val="bottom"/>
            <w:tcBorders>
              <w:bottom w:val="single" w:sz="8" w:color="CCEEFF"/>
            </w:tcBorders>
            <w:gridSpan w:val="2"/>
          </w:tcPr>
          <w:p>
            <w:pPr>
              <w:spacing w:after="0"/>
              <w:rPr>
                <w:sz w:val="21"/>
                <w:szCs w:val="21"/>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4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235,440</w:t>
            </w: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201,309</w:t>
            </w:r>
          </w:p>
        </w:tc>
        <w:tc>
          <w:tcPr>
            <w:tcW w:w="6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34,131</w:t>
            </w:r>
          </w:p>
        </w:tc>
        <w:tc>
          <w:tcPr>
            <w:tcW w:w="30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restart"/>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in active</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restart"/>
          </w:tcPr>
          <w:p>
            <w:pPr>
              <w:jc w:val="center"/>
              <w:ind w:right="199"/>
              <w:spacing w:after="0" w:line="159"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80"/>
        </w:trPr>
        <w:tc>
          <w:tcPr>
            <w:tcW w:w="4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4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80"/>
        </w:trPr>
        <w:tc>
          <w:tcPr>
            <w:tcW w:w="4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gridSpan w:val="2"/>
            <w:vMerge w:val="restart"/>
          </w:tcPr>
          <w:p>
            <w:pPr>
              <w:jc w:val="center"/>
              <w:ind w:right="400"/>
              <w:spacing w:after="0" w:line="15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restart"/>
          </w:tcPr>
          <w:p>
            <w:pPr>
              <w:jc w:val="right"/>
              <w:ind w:right="536"/>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restart"/>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restart"/>
          </w:tcPr>
          <w:p>
            <w:pPr>
              <w:jc w:val="center"/>
              <w:ind w:right="199"/>
              <w:spacing w:after="0" w:line="159" w:lineRule="exact"/>
              <w:rPr>
                <w:sz w:val="20"/>
                <w:szCs w:val="20"/>
                <w:color w:val="auto"/>
              </w:rPr>
            </w:pPr>
            <w:r>
              <w:rPr>
                <w:rFonts w:ascii="Times New Roman" w:cs="Times New Roman" w:eastAsia="Times New Roman" w:hAnsi="Times New Roman"/>
                <w:sz w:val="14"/>
                <w:szCs w:val="14"/>
                <w:b w:val="1"/>
                <w:bCs w:val="1"/>
                <w:color w:val="auto"/>
                <w:w w:val="96"/>
              </w:rPr>
              <w:t>inputs</w:t>
            </w:r>
          </w:p>
        </w:tc>
        <w:tc>
          <w:tcPr>
            <w:tcW w:w="0" w:type="dxa"/>
            <w:vAlign w:val="bottom"/>
          </w:tcPr>
          <w:p>
            <w:pPr>
              <w:spacing w:after="0"/>
              <w:rPr>
                <w:sz w:val="1"/>
                <w:szCs w:val="1"/>
                <w:color w:val="auto"/>
              </w:rPr>
            </w:pPr>
          </w:p>
        </w:tc>
      </w:tr>
      <w:tr>
        <w:trPr>
          <w:trHeight w:val="80"/>
        </w:trPr>
        <w:tc>
          <w:tcPr>
            <w:tcW w:w="4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gridSpan w:val="2"/>
            <w:vMerge w:val="restart"/>
          </w:tcPr>
          <w:p>
            <w:pPr>
              <w:jc w:val="center"/>
              <w:ind w:right="400"/>
              <w:spacing w:after="0" w:line="15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restart"/>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restart"/>
          </w:tcPr>
          <w:p>
            <w:pPr>
              <w:jc w:val="center"/>
              <w:ind w:right="199"/>
              <w:spacing w:after="0" w:line="15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80"/>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6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61,722</w:t>
            </w:r>
          </w:p>
        </w:tc>
        <w:tc>
          <w:tcPr>
            <w:tcW w:w="80" w:type="dxa"/>
            <w:vAlign w:val="bottom"/>
          </w:tcPr>
          <w:p>
            <w:pPr>
              <w:spacing w:after="0"/>
              <w:rPr>
                <w:sz w:val="21"/>
                <w:szCs w:val="21"/>
                <w:color w:val="auto"/>
              </w:rPr>
            </w:pP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61,722</w:t>
            </w:r>
          </w:p>
        </w:tc>
        <w:tc>
          <w:tcPr>
            <w:tcW w:w="60" w:type="dxa"/>
            <w:vAlign w:val="bottom"/>
          </w:tcPr>
          <w:p>
            <w:pPr>
              <w:spacing w:after="0"/>
              <w:rPr>
                <w:sz w:val="21"/>
                <w:szCs w:val="21"/>
                <w:color w:val="auto"/>
              </w:rPr>
            </w:pPr>
          </w:p>
        </w:tc>
        <w:tc>
          <w:tcPr>
            <w:tcW w:w="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8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4,743</w:t>
            </w:r>
          </w:p>
        </w:tc>
        <w:tc>
          <w:tcPr>
            <w:tcW w:w="6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161,477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161,477</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4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245,610</w:t>
            </w:r>
          </w:p>
        </w:tc>
        <w:tc>
          <w:tcPr>
            <w:tcW w:w="80" w:type="dxa"/>
            <w:vAlign w:val="bottom"/>
          </w:tcPr>
          <w:p>
            <w:pPr>
              <w:spacing w:after="0"/>
              <w:rPr>
                <w:sz w:val="21"/>
                <w:szCs w:val="21"/>
                <w:color w:val="auto"/>
              </w:rPr>
            </w:pP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227,942</w:t>
            </w:r>
          </w:p>
        </w:tc>
        <w:tc>
          <w:tcPr>
            <w:tcW w:w="60" w:type="dxa"/>
            <w:vAlign w:val="bottom"/>
          </w:tcPr>
          <w:p>
            <w:pPr>
              <w:spacing w:after="0"/>
              <w:rPr>
                <w:sz w:val="21"/>
                <w:szCs w:val="21"/>
                <w:color w:val="auto"/>
              </w:rPr>
            </w:pPr>
          </w:p>
        </w:tc>
        <w:tc>
          <w:tcPr>
            <w:tcW w:w="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17,668</w:t>
            </w:r>
          </w:p>
        </w:tc>
        <w:tc>
          <w:tcPr>
            <w:tcW w:w="80" w:type="dxa"/>
            <w:vAlign w:val="bottom"/>
          </w:tcPr>
          <w:p>
            <w:pPr>
              <w:spacing w:after="0"/>
              <w:rPr>
                <w:sz w:val="21"/>
                <w:szCs w:val="21"/>
                <w:color w:val="auto"/>
              </w:rPr>
            </w:pPr>
          </w:p>
        </w:tc>
        <w:tc>
          <w:tcPr>
            <w:tcW w:w="30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The Company did not have any transfers of financial assets measured at fair value on a recurring basis to or from Level 1, Level 2 or Level 3 for any of the periods presented.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477"/>
        <w:spacing w:after="0" w:line="274" w:lineRule="auto"/>
        <w:rPr>
          <w:sz w:val="20"/>
          <w:szCs w:val="20"/>
          <w:color w:val="auto"/>
        </w:rPr>
      </w:pPr>
      <w:r>
        <w:rPr>
          <w:rFonts w:ascii="Times New Roman" w:cs="Times New Roman" w:eastAsia="Times New Roman" w:hAnsi="Times New Roman"/>
          <w:sz w:val="18"/>
          <w:szCs w:val="18"/>
          <w:color w:val="auto"/>
        </w:rPr>
        <w:t>The table above does not include the Company’s investments in privately held equity securities. Non-marketable equity investments of $1.6 million are included within Other noncurrent assets on the consolidated balance sheet as of June 30, 2025.</w:t>
      </w:r>
    </w:p>
    <w:p>
      <w:pPr>
        <w:spacing w:after="0" w:line="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Investments</w:t>
      </w:r>
    </w:p>
    <w:p>
      <w:pPr>
        <w:spacing w:after="0" w:line="113" w:lineRule="exact"/>
        <w:rPr>
          <w:sz w:val="20"/>
          <w:szCs w:val="20"/>
          <w:color w:val="auto"/>
        </w:rPr>
      </w:pPr>
    </w:p>
    <w:p>
      <w:pPr>
        <w:ind w:right="20" w:firstLine="477"/>
        <w:spacing w:after="0" w:line="274" w:lineRule="auto"/>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securities by significant investment category reported as short-term as of June 30, 2025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6"/>
        </w:trPr>
        <w:tc>
          <w:tcPr>
            <w:tcW w:w="5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9"/>
                <w:szCs w:val="9"/>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152,421</w:t>
            </w:r>
          </w:p>
        </w:tc>
        <w:tc>
          <w:tcPr>
            <w:tcW w:w="0" w:type="dxa"/>
            <w:vAlign w:val="bottom"/>
          </w:tcPr>
          <w:p>
            <w:pPr>
              <w:spacing w:after="0"/>
              <w:rPr>
                <w:sz w:val="1"/>
                <w:szCs w:val="1"/>
                <w:color w:val="auto"/>
              </w:rPr>
            </w:pPr>
          </w:p>
        </w:tc>
      </w:tr>
      <w:tr>
        <w:trPr>
          <w:trHeight w:val="24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0" w:type="dxa"/>
            <w:vAlign w:val="bottom"/>
          </w:tcPr>
          <w:p>
            <w:pPr>
              <w:spacing w:after="0"/>
              <w:rPr>
                <w:sz w:val="1"/>
                <w:szCs w:val="1"/>
                <w:color w:val="auto"/>
              </w:rPr>
            </w:pPr>
          </w:p>
        </w:tc>
      </w:tr>
      <w:tr>
        <w:trPr>
          <w:trHeight w:val="25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21,309</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0" w:type="dxa"/>
            <w:vAlign w:val="bottom"/>
          </w:tcPr>
          <w:p>
            <w:pPr>
              <w:spacing w:after="0"/>
              <w:rPr>
                <w:sz w:val="1"/>
                <w:szCs w:val="1"/>
                <w:color w:val="auto"/>
              </w:rPr>
            </w:pPr>
          </w:p>
        </w:tc>
      </w:tr>
      <w:tr>
        <w:trPr>
          <w:trHeight w:val="251"/>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186,566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186,552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securities at June 30,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8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0" w:type="dxa"/>
            <w:vAlign w:val="bottom"/>
          </w:tcPr>
          <w:p>
            <w:pPr>
              <w:spacing w:after="0"/>
              <w:rPr>
                <w:sz w:val="15"/>
                <w:szCs w:val="15"/>
                <w:color w:val="auto"/>
              </w:rPr>
            </w:pPr>
          </w:p>
        </w:tc>
        <w:tc>
          <w:tcPr>
            <w:tcW w:w="10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4"/>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Mature in less than one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186,566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186,552</w:t>
            </w:r>
          </w:p>
        </w:tc>
      </w:tr>
      <w:tr>
        <w:trPr>
          <w:trHeight w:val="2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186,566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right="20" w:firstLine="477"/>
        <w:spacing w:after="0" w:line="274" w:lineRule="auto"/>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securities by significant investment category reported as short-term as of December 31, 2024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6"/>
        </w:trPr>
        <w:tc>
          <w:tcPr>
            <w:tcW w:w="5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9"/>
                <w:szCs w:val="9"/>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5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161,477</w:t>
            </w:r>
          </w:p>
        </w:tc>
        <w:tc>
          <w:tcPr>
            <w:tcW w:w="0" w:type="dxa"/>
            <w:vAlign w:val="bottom"/>
          </w:tcPr>
          <w:p>
            <w:pPr>
              <w:spacing w:after="0"/>
              <w:rPr>
                <w:sz w:val="1"/>
                <w:szCs w:val="1"/>
                <w:color w:val="auto"/>
              </w:rPr>
            </w:pPr>
          </w:p>
        </w:tc>
      </w:tr>
      <w:tr>
        <w:trPr>
          <w:trHeight w:val="24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5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0" w:type="dxa"/>
            <w:vAlign w:val="bottom"/>
          </w:tcPr>
          <w:p>
            <w:pPr>
              <w:spacing w:after="0"/>
              <w:rPr>
                <w:sz w:val="1"/>
                <w:szCs w:val="1"/>
                <w:color w:val="auto"/>
              </w:rPr>
            </w:pPr>
          </w:p>
        </w:tc>
      </w:tr>
      <w:tr>
        <w:trPr>
          <w:trHeight w:val="251"/>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179,061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179,145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securities at December 31,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4"/>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7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5"/>
                <w:szCs w:val="15"/>
                <w:color w:val="auto"/>
              </w:rPr>
            </w:pPr>
          </w:p>
        </w:tc>
        <w:tc>
          <w:tcPr>
            <w:tcW w:w="12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Mature in less than one year</w:t>
            </w:r>
          </w:p>
        </w:tc>
        <w:tc>
          <w:tcPr>
            <w:tcW w:w="44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179,061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179,145</w:t>
            </w:r>
          </w:p>
        </w:tc>
        <w:tc>
          <w:tcPr>
            <w:tcW w:w="0" w:type="dxa"/>
            <w:vAlign w:val="bottom"/>
          </w:tcPr>
          <w:p>
            <w:pPr>
              <w:spacing w:after="0"/>
              <w:rPr>
                <w:sz w:val="1"/>
                <w:szCs w:val="1"/>
                <w:color w:val="auto"/>
              </w:rPr>
            </w:pPr>
          </w:p>
        </w:tc>
      </w:tr>
      <w:tr>
        <w:trPr>
          <w:trHeight w:val="27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179,145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bottom w:val="single" w:sz="8" w:color="CCEEFF"/>
            </w:tcBorders>
            <w:vMerge w:val="restart"/>
          </w:tcPr>
          <w:p>
            <w:pPr>
              <w:jc w:val="right"/>
              <w:ind w:right="2372"/>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37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80" w:type="dxa"/>
            <w:vAlign w:val="bottom"/>
            <w:tcBorders>
              <w:bottom w:val="single" w:sz="8" w:color="9A9A9A"/>
            </w:tcBorders>
          </w:tcPr>
          <w:p>
            <w:pPr>
              <w:spacing w:after="0"/>
              <w:rPr>
                <w:sz w:val="18"/>
                <w:szCs w:val="18"/>
                <w:color w:val="auto"/>
              </w:rPr>
            </w:pPr>
          </w:p>
        </w:tc>
        <w:tc>
          <w:tcPr>
            <w:tcW w:w="44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Property and equipment, net</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components of property and equipment, net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4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4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26,676</w:t>
            </w:r>
          </w:p>
        </w:tc>
      </w:tr>
      <w:tr>
        <w:trPr>
          <w:trHeight w:val="24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w:t>
            </w:r>
          </w:p>
        </w:tc>
      </w:tr>
      <w:tr>
        <w:trPr>
          <w:trHeight w:val="27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900" w:firstLine="1114"/>
        <w:spacing w:after="0" w:line="274" w:lineRule="auto"/>
        <w:rPr>
          <w:sz w:val="20"/>
          <w:szCs w:val="20"/>
          <w:color w:val="auto"/>
        </w:rPr>
      </w:pPr>
      <w:r>
        <w:rPr>
          <w:rFonts w:ascii="Times New Roman" w:cs="Times New Roman" w:eastAsia="Times New Roman" w:hAnsi="Times New Roman"/>
          <w:sz w:val="18"/>
          <w:szCs w:val="18"/>
          <w:color w:val="auto"/>
        </w:rPr>
        <w:t>Total depreciation expense for the three and six months ended June 30, 2025 was $1.0 million and $1.9 million, respectively. Total depreciation expense for the three and six months ended June 30, 2024 was $0.9 million and $1.6 million, respectively.</w:t>
      </w:r>
    </w:p>
    <w:p>
      <w:pPr>
        <w:spacing w:after="0" w:line="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Acquisition</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On February 28, 2023, the Company completed the FCI Acquisition for an aggregate cash consideration of $44.9 million.</w:t>
      </w:r>
    </w:p>
    <w:p>
      <w:pPr>
        <w:spacing w:after="0" w:line="111"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The FCI Acquisition expanded the Company’s product portfolio to include high-resolution cell images with the speed, sensitivity and phenotyping abilities of flow cytometry and added cost-effective, entry-level and personal instrument options to broaden the market and research areas the Company services.</w:t>
      </w:r>
    </w:p>
    <w:p>
      <w:pPr>
        <w:spacing w:after="0" w:line="70"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in accordance with ASC 805. The purchase price has been allocated to tangible assets and identifiable intangible assets acquired and liabilities assumed based upon their estimated fair values, with the exception of contract liabilities assumed which are recognized and measured in accordance with ASC 606, Revenue from Contracts with Customers. The Company finalized its accounting for the FCI Acquisition during the fourth quarter of 2023.</w:t>
      </w:r>
    </w:p>
    <w:p>
      <w:pPr>
        <w:spacing w:after="0" w:line="75"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the following changes as a result of measurement period adjustments to the fair value of the initial assets as follows:</w:t>
      </w:r>
    </w:p>
    <w:p>
      <w:pPr>
        <w:spacing w:after="0" w:line="58"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increased by $1.4 million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increased by $0.6 million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relationships increased by $0.1 million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technologies increased by $0.7 million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names increased by $0.2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measurement period adjustments noted above decreased goodwill by $3.0 million.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assets acquired and liabilities assumed at the date of the FCI Acquisition: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thousands)</w:t>
            </w:r>
          </w:p>
        </w:tc>
      </w:tr>
      <w:tr>
        <w:trPr>
          <w:trHeight w:val="32"/>
        </w:trPr>
        <w:tc>
          <w:tcPr>
            <w:tcW w:w="9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18,695</w:t>
            </w:r>
          </w:p>
        </w:tc>
      </w:tr>
      <w:tr>
        <w:trPr>
          <w:trHeight w:val="25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r>
      <w:tr>
        <w:trPr>
          <w:trHeight w:val="24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4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8"/>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r>
      <w:tr>
        <w:trPr>
          <w:trHeight w:val="252"/>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Amnis ImageStream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developed technology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52"/>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Guava easyCyte™ and Muse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developed technology</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52"/>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Amnis FlowSight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CellStream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developed technology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2"/>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Amnis trade name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46"/>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Guava trade name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r>
      <w:tr>
        <w:trPr>
          <w:trHeight w:val="24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r>
      <w:tr>
        <w:trPr>
          <w:trHeight w:val="25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warranty costs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51"/>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44,896</w:t>
            </w:r>
          </w:p>
        </w:tc>
      </w:tr>
      <w:tr>
        <w:trPr>
          <w:trHeight w:val="20"/>
        </w:trPr>
        <w:tc>
          <w:tcPr>
            <w:tcW w:w="9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The $6.0 million of goodwill arising from the FCI Acquisition is primarily attributed to significant time-to-market advantages, as the Company gained immediate access to the FCI Products, existing relationships and business infrastructure and knowledgeable and experienced workforce. The goodwill is deductible for tax purposes. The Company has integrated the FCI Business into its existing business structure, which is comprised of a single reportable segment and a single reporting unit.</w:t>
      </w:r>
    </w:p>
    <w:p>
      <w:pPr>
        <w:spacing w:after="0" w:line="195" w:lineRule="exact"/>
        <w:rPr>
          <w:sz w:val="20"/>
          <w:szCs w:val="20"/>
          <w:color w:val="auto"/>
        </w:rPr>
      </w:pPr>
    </w:p>
    <w:p>
      <w:pPr>
        <w:jc w:val="both"/>
        <w:ind w:firstLine="477"/>
        <w:spacing w:after="0" w:line="259" w:lineRule="auto"/>
        <w:rPr>
          <w:sz w:val="20"/>
          <w:szCs w:val="20"/>
          <w:color w:val="auto"/>
        </w:rPr>
      </w:pPr>
      <w:r>
        <w:rPr>
          <w:rFonts w:ascii="Times New Roman" w:cs="Times New Roman" w:eastAsia="Times New Roman" w:hAnsi="Times New Roman"/>
          <w:sz w:val="18"/>
          <w:szCs w:val="18"/>
          <w:color w:val="auto"/>
        </w:rPr>
        <w:t>Intangible assets identified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8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Useful life (years)</w:t>
            </w:r>
          </w:p>
        </w:tc>
      </w:tr>
      <w:tr>
        <w:trPr>
          <w:trHeight w:val="201"/>
        </w:trPr>
        <w:tc>
          <w:tcPr>
            <w:tcW w:w="8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color w:val="auto"/>
              </w:rPr>
              <w:t>(In thousands, except for years)</w:t>
            </w:r>
          </w:p>
        </w:tc>
      </w:tr>
      <w:tr>
        <w:trPr>
          <w:trHeight w:val="31"/>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5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88"/>
              </w:rPr>
              <w:t>9</w:t>
            </w:r>
          </w:p>
        </w:tc>
      </w:tr>
      <w:tr>
        <w:trPr>
          <w:trHeight w:val="25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Amnis ImageStream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developed technology</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58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88"/>
              </w:rPr>
              <w:t>6</w:t>
            </w: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Guava easyCyte™ and Muse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developed technology</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5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88"/>
              </w:rPr>
              <w:t>2</w:t>
            </w:r>
          </w:p>
        </w:tc>
      </w:tr>
      <w:tr>
        <w:trPr>
          <w:trHeight w:val="25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Amnis FlowSight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CellStream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developed technology</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58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88"/>
              </w:rPr>
              <w:t>1</w:t>
            </w: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Amnis trade name</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5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88"/>
              </w:rPr>
              <w:t>15</w:t>
            </w:r>
          </w:p>
        </w:tc>
      </w:tr>
      <w:tr>
        <w:trPr>
          <w:trHeight w:val="24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Guava trade name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580" w:type="dxa"/>
            <w:vAlign w:val="bottom"/>
            <w:tcBorders>
              <w:bottom w:val="single" w:sz="8" w:color="CCEEFF"/>
            </w:tcBorders>
          </w:tcPr>
          <w:p>
            <w:pPr>
              <w:jc w:val="center"/>
              <w:ind w:left="14"/>
              <w:spacing w:after="0"/>
              <w:rPr>
                <w:sz w:val="20"/>
                <w:szCs w:val="20"/>
                <w:color w:val="auto"/>
              </w:rPr>
            </w:pPr>
            <w:r>
              <w:rPr>
                <w:rFonts w:ascii="Times New Roman" w:cs="Times New Roman" w:eastAsia="Times New Roman" w:hAnsi="Times New Roman"/>
                <w:sz w:val="18"/>
                <w:szCs w:val="18"/>
                <w:color w:val="auto"/>
                <w:w w:val="88"/>
              </w:rPr>
              <w:t>3</w:t>
            </w:r>
          </w:p>
        </w:tc>
      </w:tr>
      <w:tr>
        <w:trPr>
          <w:trHeight w:val="27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1580" w:type="dxa"/>
            <w:vAlign w:val="bottom"/>
            <w:tcBorders>
              <w:bottom w:val="single" w:sz="8" w:color="CCEEFF"/>
            </w:tcBorders>
            <w:shd w:val="clear" w:color="auto" w:fill="CCEEFF"/>
          </w:tcPr>
          <w:p>
            <w:pPr>
              <w:spacing w:after="0"/>
              <w:rPr>
                <w:sz w:val="23"/>
                <w:szCs w:val="23"/>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The customer relationships intangible asset represents the fair value of the underlying relationships with existing customers of the FCI Business. The trade name intangible asset represents the fair value of brand and name recognition associated with the marketing of the FCI Products. The FCI developed technology intangible asset represents the fair value of access to certain imaging and microcapillary technologies.</w:t>
      </w:r>
    </w:p>
    <w:p>
      <w:pPr>
        <w:spacing w:after="0" w:line="110"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The fair value of the intangible assets acquired were estimated using variations of the income approach. The fair value of the customer relationships intangible asset was determined based on the multi-period excess earnings method and the relief-from-royalty method was utilized to estimate the fair values of the trade name and FCI developed technology intangible assets. The key assumptions used in estimating the fair values of intangible assets included forecasted financial information; customer retention rates; factors for technological obsolescence; royalty rates and discount rates. The cash flow projections were discounted using rates ranging from 29.0% to 39.0%. The cash flows were based on estimates used to price the transaction, including market participant considerations, and the discount rates applied were benchmarked with reference to the implied rate of return from the transaction model and the weighted average cost of capital.</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All acquired intangibles are being amortized over their estimated useful lives using the straight-line method of amortization.</w:t>
      </w:r>
    </w:p>
    <w:p>
      <w:pPr>
        <w:spacing w:after="0" w:line="111"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The fair value assigned to the assets acquired are based on reasonable assumptions and estimates that market participants would use. Actual results may differ from these estimates and assumptions.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results of operations for the FCI Business are included in the consolidated financial statements of the Company from the date of the acquisition.</w:t>
      </w:r>
    </w:p>
    <w:p>
      <w:pPr>
        <w:spacing w:after="0" w:line="10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Goodwill and intangible assets, net</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 license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Reagent license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4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Land use right</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28,469</w:t>
            </w:r>
          </w:p>
        </w:tc>
      </w:tr>
      <w:tr>
        <w:trPr>
          <w:trHeight w:val="24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(8,341)</w:t>
            </w:r>
          </w:p>
        </w:tc>
      </w:tr>
      <w:tr>
        <w:trPr>
          <w:trHeight w:val="27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Total amortization expense for the three and six months ended June 30, 2025 was approximately $0.9 million and $1.9 million, respectively.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the three and six months ended June 30, 2024 was approximately $0.9 million and $1.9 million, respectively.</w:t>
      </w:r>
    </w:p>
    <w:p>
      <w:pPr>
        <w:spacing w:after="0" w:line="9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Legal settlement liability</w:t>
      </w:r>
    </w:p>
    <w:p>
      <w:pPr>
        <w:spacing w:after="0" w:line="113"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The Company achieved the sales milestone and made the milestone payment in the quarter ended December 31, 2021.</w:t>
      </w:r>
    </w:p>
    <w:p>
      <w:pPr>
        <w:spacing w:after="0" w:line="88"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w:t>
      </w:r>
    </w:p>
    <w:p>
      <w:pPr>
        <w:spacing w:after="0" w:line="81"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The patents in question were determined to have an average useful life of 18 months. Accordingly, beginning with the second quarter of 2022, the remaining contractual payments were classified as operating expenses as they were considered deferred litigation settlement. The Company recorded $0.3 million and $0.5 million of interest expense for the three and six months ended June 30, 2025, respectively, and $0.1 million and $0.4 million of interest expense for the three and six months ended June 30, 2024, respectively, to accrete the present value discount of the payment streams over the payment period of ten years from the settlement date using the effective interest rate method. The Company made a one-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time upfront payment and issued 2,087,545 shares of the Company’s common stock to BD during the year ended December 31, 2020. The Company recorded legal settlement liability on the consolidated balance sheets of $10.4 million and $10.7 million as of June 30, 2025 and December 31, 2024, respectively.</w:t>
      </w:r>
    </w:p>
    <w:p>
      <w:pPr>
        <w:spacing w:after="0" w:line="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components of the legal settlement liability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liability</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Legal settlement liability</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w:t>
            </w: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legal settlement liability</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13"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On November 7, 2022, Cytek Wuxi entered a fixed asset loan agreement with Bank of Communications, China (the “Wuxi Loan”). The Wuxi Loan was denominated in Chinese renminbi and collateralized by Cytek Wuxi’s cash deposit to the bank. The deposit was in a separate account with Cytek Wuxi’s name, but the use of such account was restricted. The Company presented the deposit as restricted cash on the audited consolidated balance sheets as of December 31, 2022. In April 2023, the restricted cash account was released. The purchased building in Wuxi serves as collateral for the Wuxi Loan. The total loan amount was $2.9 million and the loan term is five years. As of June 30, 2025, the total outstanding loan amount is $1.3 million. The current portion of the loan, $0.6 million, is included in other current liabilities. As of June 30, 2025, the interest rate on the loan was 3.8%, which is based on the five-year Loan Prime Rate (LPR) plus a margin of 0.2%.</w:t>
      </w:r>
    </w:p>
    <w:p>
      <w:pPr>
        <w:spacing w:after="0" w:line="83"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On October 24, 2024, the Company signed a maximum credit agreement with the Bank of China, Wuxi Branch, for 37 million Chinese renminbi (approximately US $5.2 million). This credit is collateralized by Cytek Wuxi’s cash deposit to the bank. The 37 million Chinese renminbi (approximately US $5.2 million) can be borrowed, as needed, as a short-term loan for normal business operation requirements. The line of credit is available from October 24, 2024 to September 22, 2025. During the fourth quarter of 2024, the Company withdrew 10 million Chinese renminbi (approximately US $1.4 million) in November and an additional 10 million Chinese renminbi (approximately US $1.4 million) in December to support its operational needs. The outstanding balance as of June 30, 2025 was 17 million Chinese renminbi (approximately US $2.4 million).</w:t>
      </w:r>
    </w:p>
    <w:p>
      <w:pPr>
        <w:spacing w:after="0" w:line="81" w:lineRule="exact"/>
        <w:rPr>
          <w:sz w:val="20"/>
          <w:szCs w:val="20"/>
          <w:color w:val="auto"/>
        </w:rPr>
      </w:pPr>
    </w:p>
    <w:p>
      <w:pPr>
        <w:jc w:val="both"/>
        <w:ind w:firstLine="477"/>
        <w:spacing w:after="0" w:line="271" w:lineRule="auto"/>
        <w:rPr>
          <w:sz w:val="20"/>
          <w:szCs w:val="20"/>
          <w:color w:val="auto"/>
        </w:rPr>
      </w:pPr>
      <w:r>
        <w:rPr>
          <w:rFonts w:ascii="Times New Roman" w:cs="Times New Roman" w:eastAsia="Times New Roman" w:hAnsi="Times New Roman"/>
          <w:sz w:val="17"/>
          <w:szCs w:val="17"/>
          <w:color w:val="auto"/>
        </w:rPr>
        <w:t>On January 6, 2025, Cytek (Shanghai) Biosciences Co., Ltd. signed a maximum credit agreement with the Bank of Ningbo for 10 million Chinese renminbi (approximately US $1.4 million). Collateral for the credit was provided to the bank by Cytek Wuxi. In January and March of 2025, Cytek (Shanghai) Biosciences Co., Ltd. withdrew 2.0 million Chinese renminbi (approximately US $0.3 million) and 3.0 million Chinese renminbi (approximately US $0.45 million), respectively, to support its operational needs. The interest rate was at 3.1% and 2.55%, respectively, and the lines of credit are due on January 9 and March 3, 2026, respectively. As of June 30, 2025, the outstanding balance was 5 million Chinese renminbi (approximately US $0.75 million).</w:t>
      </w:r>
    </w:p>
    <w:p>
      <w:pPr>
        <w:spacing w:after="0" w:line="64"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On June 11, 2025, Cytek Wuxi entered into a one-year loan agreement with Bank of Communications, China. The loan was denominated in Chinese renminbi and collateralized by the building purchased by Cytek Wuxi in November 2023. The total loan amount was 10 million Chinese renminbi (approximately US $1.4 million) and the interest rate was fixed at 2.8%. The loan effective term is June 11, 2025 to June 10, 2026. The interest expenses are paid on a monthly basis. The loan was used for operating expenses. The total line of credit loan of 10 million Chinese renminbi (approximately US $1.4 million) is included in other current liabilities.</w:t>
      </w:r>
    </w:p>
    <w:p>
      <w:pPr>
        <w:spacing w:after="0" w:line="31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113"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8"/>
          <w:szCs w:val="18"/>
          <w:color w:val="auto"/>
        </w:rPr>
        <w:t>As of June 30, 2025, the Company has authorized 1,000,000,000 shares of common stock at $0.001 par value. Holders of common stock are entitled to one vote per share, and to receive dividends, only and if declared by the Company’s Board of Directors (the “Board”)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p>
    <w:p>
      <w:pPr>
        <w:spacing w:after="0" w:line="76"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In connection with the filing by the Company of the Registration Statement on August 26, 2022, the Company also entered into the “2022 Sales Agreement” with Piper as sales agent to sell from time to time up to $150 million of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through an “at-the-market” offering program as defined in Rule 415 promulgated under the Securities Act.</w:t>
      </w:r>
    </w:p>
    <w:p>
      <w:pPr>
        <w:spacing w:after="0" w:line="111"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June 30, 2025, the Company has not made any sales of common stock pursuant to the 2022 Sales Agreement. Accordingly, $0.7 million in transaction expenses recorded as prepaid offering costs have not yet been expensed in transaction expenses recorded.</w:t>
      </w:r>
    </w:p>
    <w:p>
      <w:pPr>
        <w:spacing w:after="0" w:line="76"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On May 17, 2023, the Board approved a program for the repurchase by the Company of up to an aggregate of $50 million of its outstanding common stock. During the three months ended December 31, 2023, the Company repurchased 5,332,769 shares of its outstanding common stock for a total cost of approximately $34.6 million at an average price per share of $6.49. During the twelve months ended December 31, 2023, the Company repurchased 6,613,780 shares of its outstanding common stock for a total cost of approximately $44.2 million at an average price per share of $6.66. The commissions costs related with the repurchases were $0.1 million for both the three months and twelve months ended December 31, 2023. The repurchase program was used to return capital to shareholders and to minimize the dilutive impact of stock options and other stock-based awards. The repurchased shares of common stock were retired. The repurchase program expired on December 31, 2023.</w:t>
      </w:r>
    </w:p>
    <w:p>
      <w:pPr>
        <w:spacing w:after="0" w:line="83"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On June 6, 2024, the Board approved a program for the repurchase by the Company of up to an aggregate of $50 million of its outstanding common stock. During the three months ended December 31, 2024, the Company repurchased 1,332,950 shares of its outstanding common stock for a total cost of approximately $7.0 million at an average price per share of $5.21. During the twelve months ended December 31, 2024, the Company repurchased 3,971,624 shares of its outstanding common stock for a total cost of approximately $21.6 million at an average price per share of $5.41. The repurchase program was used to return capital to shareholders and to minimize the dilutive impact of stock options and other stock-based awards. The repurchased shares of common stock were retired. The repurchase program expired on December 31, 2024.</w:t>
      </w:r>
    </w:p>
    <w:p>
      <w:pPr>
        <w:spacing w:after="0" w:line="81" w:lineRule="exact"/>
        <w:rPr>
          <w:sz w:val="20"/>
          <w:szCs w:val="20"/>
          <w:color w:val="auto"/>
        </w:rPr>
      </w:pPr>
    </w:p>
    <w:p>
      <w:pPr>
        <w:jc w:val="both"/>
        <w:ind w:firstLine="477"/>
        <w:spacing w:after="0" w:line="242" w:lineRule="auto"/>
        <w:rPr>
          <w:sz w:val="20"/>
          <w:szCs w:val="20"/>
          <w:color w:val="auto"/>
        </w:rPr>
      </w:pPr>
      <w:r>
        <w:rPr>
          <w:rFonts w:ascii="Times New Roman" w:cs="Times New Roman" w:eastAsia="Times New Roman" w:hAnsi="Times New Roman"/>
          <w:sz w:val="18"/>
          <w:szCs w:val="18"/>
          <w:color w:val="auto"/>
        </w:rPr>
        <w:t>On December 11, 2024, the Board approved a new program for the repurchase by the Company of up to an aggregate of $50 million of its outstanding common stock commencing January 1, 2025. During the six months ended June 30, 2025, the Company repurchased 3,292,588 shares of its outstanding common stock for a total cost of approximately $15.1 million at an average price per share of $4.56. As of June 30, 2025, the Company had a remaining authorized amount of $35.0 million in the repurchase program. The repurchase program is used to return capital to shareholders and to minimize the dilutive impact of stock options and other stock-based awards. The repurchased shares of common stock were retired. The repurchase program will expire on December 31, 2025.</w:t>
      </w:r>
    </w:p>
    <w:p>
      <w:pPr>
        <w:spacing w:after="0" w:line="74" w:lineRule="exact"/>
        <w:rPr>
          <w:sz w:val="20"/>
          <w:szCs w:val="20"/>
          <w:color w:val="auto"/>
        </w:rPr>
      </w:pPr>
    </w:p>
    <w:p>
      <w:pPr>
        <w:jc w:val="both"/>
        <w:ind w:firstLine="477"/>
        <w:spacing w:after="0" w:line="259" w:lineRule="auto"/>
        <w:rPr>
          <w:sz w:val="20"/>
          <w:szCs w:val="20"/>
          <w:color w:val="auto"/>
        </w:rPr>
      </w:pPr>
      <w:r>
        <w:rPr>
          <w:rFonts w:ascii="Times New Roman" w:cs="Times New Roman" w:eastAsia="Times New Roman" w:hAnsi="Times New Roman"/>
          <w:sz w:val="18"/>
          <w:szCs w:val="18"/>
          <w:color w:val="auto"/>
        </w:rPr>
        <w:t>Under these three repurchase programs, the Company has purchased an aggregate of 13,877,992 shares of its outstanding common stock for a total cost of approximately $80.5 million at an average price per share of $5.8.</w:t>
      </w:r>
    </w:p>
    <w:p>
      <w:pPr>
        <w:spacing w:after="0" w:line="71"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Among other things, the IRA imposes a 15% corporate alternative minimum tax for tax years beginning after December 31, 2022, levies a 1% excise tax on net stock repurchases after December 31, 2022, and provides tax incentives to promote clean energy. Beginning in 2023, net stock repurchases are subject to the excise tax. As of June 30, 2025, the Company accrued $0.1 million in excise taxes related with its share repurchases.</w:t>
      </w:r>
    </w:p>
    <w:p>
      <w:pPr>
        <w:spacing w:after="0" w:line="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Stock-based compensation plan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Plans</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June 30, 2025, the Company had three stock-based compensation plans (the “Plans”) which are described below.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Equity Incentive Plan</w:t>
      </w:r>
    </w:p>
    <w:p>
      <w:pPr>
        <w:spacing w:after="0" w:line="113"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In March 2015, the Board approved the 2015 Equity Incentive Plan (the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Equity Incentive Plan</w:t>
      </w:r>
    </w:p>
    <w:p>
      <w:pPr>
        <w:spacing w:after="0" w:line="113"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In July 2021, the Board approved the 2021 Equity Incentive Plan (the “2021 Plan”), which provides for the granting of stock options, stock appreciation rights, restricted stock awards, restricted stock unit (“RSU”) awards, performance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 As of June 30, 2025, the total number of shares of common stock available for issuance under the 2021 Plan was 23,421,352 shares.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113"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As of June 30, 2025, the total number of shares of common stock available for issuance under the ESPP was 6,150,670 shares.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valuation assumptions</w:t>
      </w:r>
    </w:p>
    <w:p>
      <w:pPr>
        <w:spacing w:after="0" w:line="113"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stock option activity during the periods indicated (in thousands except share and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9"/>
        </w:trPr>
        <w:tc>
          <w:tcPr>
            <w:tcW w:w="5500" w:type="dxa"/>
            <w:vAlign w:val="bottom"/>
          </w:tcPr>
          <w:p>
            <w:pPr>
              <w:spacing w:after="0"/>
              <w:rPr>
                <w:sz w:val="13"/>
                <w:szCs w:val="13"/>
                <w:color w:val="auto"/>
              </w:rPr>
            </w:pPr>
          </w:p>
        </w:tc>
        <w:tc>
          <w:tcPr>
            <w:tcW w:w="14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Number of options</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00" w:type="dxa"/>
            <w:vAlign w:val="bottom"/>
          </w:tcPr>
          <w:p>
            <w:pPr>
              <w:spacing w:after="0"/>
              <w:rPr>
                <w:sz w:val="13"/>
                <w:szCs w:val="13"/>
                <w:color w:val="auto"/>
              </w:rPr>
            </w:pPr>
          </w:p>
        </w:tc>
        <w:tc>
          <w:tcPr>
            <w:tcW w:w="1260" w:type="dxa"/>
            <w:vAlign w:val="bottom"/>
          </w:tcPr>
          <w:p>
            <w:pPr>
              <w:jc w:val="right"/>
              <w:ind w:right="19"/>
              <w:spacing w:after="0" w:line="159" w:lineRule="exact"/>
              <w:rPr>
                <w:sz w:val="20"/>
                <w:szCs w:val="20"/>
                <w:color w:val="auto"/>
              </w:rPr>
            </w:pPr>
            <w:r>
              <w:rPr>
                <w:rFonts w:ascii="Times New Roman" w:cs="Times New Roman" w:eastAsia="Times New Roman" w:hAnsi="Times New Roman"/>
                <w:sz w:val="14"/>
                <w:szCs w:val="14"/>
                <w:b w:val="1"/>
                <w:bCs w:val="1"/>
                <w:color w:val="auto"/>
                <w:w w:val="99"/>
              </w:rPr>
              <w:t>Aggregate intrinsic</w:t>
            </w:r>
          </w:p>
        </w:tc>
      </w:tr>
      <w:tr>
        <w:trPr>
          <w:trHeight w:val="159"/>
        </w:trPr>
        <w:tc>
          <w:tcPr>
            <w:tcW w:w="5500" w:type="dxa"/>
            <w:vAlign w:val="bottom"/>
          </w:tcPr>
          <w:p>
            <w:pPr>
              <w:spacing w:after="0"/>
              <w:rPr>
                <w:sz w:val="13"/>
                <w:szCs w:val="13"/>
                <w:color w:val="auto"/>
              </w:rPr>
            </w:pPr>
          </w:p>
        </w:tc>
        <w:tc>
          <w:tcPr>
            <w:tcW w:w="14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4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contractual term</w:t>
            </w:r>
          </w:p>
        </w:tc>
        <w:tc>
          <w:tcPr>
            <w:tcW w:w="100" w:type="dxa"/>
            <w:vAlign w:val="bottom"/>
          </w:tcPr>
          <w:p>
            <w:pPr>
              <w:spacing w:after="0"/>
              <w:rPr>
                <w:sz w:val="13"/>
                <w:szCs w:val="13"/>
                <w:color w:val="auto"/>
              </w:rPr>
            </w:pPr>
          </w:p>
        </w:tc>
        <w:tc>
          <w:tcPr>
            <w:tcW w:w="1260" w:type="dxa"/>
            <w:vAlign w:val="bottom"/>
          </w:tcPr>
          <w:p>
            <w:pPr>
              <w:jc w:val="right"/>
              <w:ind w:right="439"/>
              <w:spacing w:after="0" w:line="159" w:lineRule="exact"/>
              <w:rPr>
                <w:sz w:val="20"/>
                <w:szCs w:val="20"/>
                <w:color w:val="auto"/>
              </w:rPr>
            </w:pPr>
            <w:r>
              <w:rPr>
                <w:rFonts w:ascii="Times New Roman" w:cs="Times New Roman" w:eastAsia="Times New Roman" w:hAnsi="Times New Roman"/>
                <w:sz w:val="14"/>
                <w:szCs w:val="14"/>
                <w:b w:val="1"/>
                <w:bCs w:val="1"/>
                <w:color w:val="auto"/>
              </w:rPr>
              <w:t>value</w:t>
            </w:r>
          </w:p>
        </w:tc>
      </w:tr>
      <w:tr>
        <w:trPr>
          <w:trHeight w:val="186"/>
        </w:trPr>
        <w:tc>
          <w:tcPr>
            <w:tcW w:w="5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7,764,457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w:t>
            </w:r>
          </w:p>
        </w:tc>
      </w:tr>
      <w:tr>
        <w:trPr>
          <w:trHeight w:val="24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2,538,701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8"/>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(175,855)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2"/>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r>
      <w:tr>
        <w:trPr>
          <w:trHeight w:val="24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9,866,125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June 30,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6,037,953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three months ended June 30, 2025 and 2024 were $1.89 and $4.07 per share, respectively. The weighted-average grant date fair value of options granted during the six months ended June 30, 2025 and 2024 were $2.67 and $4.61 per share, respectively.</w:t>
      </w:r>
    </w:p>
    <w:p>
      <w:pPr>
        <w:spacing w:after="0" w:line="70"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There was $14.0 million of unrecognized stock-based compensation expense related to unvested stock options as of June 30, 2025. The unrecognized stock-based compensation expense is estimated to be recognized over a period of 2.9 years as of June 30, 2025.</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currently uses authorized and unissued shares to satisfy option exercises.</w:t>
      </w:r>
    </w:p>
    <w:p>
      <w:pPr>
        <w:spacing w:after="0" w:line="111"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and the estimated fair value of the Company’s common stock as of June 30, 2025.</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Awards</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RSU awards activity during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9"/>
        </w:trPr>
        <w:tc>
          <w:tcPr>
            <w:tcW w:w="5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9"/>
        </w:trPr>
        <w:tc>
          <w:tcPr>
            <w:tcW w:w="5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right"/>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14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contractual term (in</w:t>
            </w:r>
          </w:p>
        </w:tc>
        <w:tc>
          <w:tcPr>
            <w:tcW w:w="100" w:type="dxa"/>
            <w:vAlign w:val="bottom"/>
          </w:tcPr>
          <w:p>
            <w:pPr>
              <w:spacing w:after="0"/>
              <w:rPr>
                <w:sz w:val="13"/>
                <w:szCs w:val="13"/>
                <w:color w:val="auto"/>
              </w:rPr>
            </w:pPr>
          </w:p>
        </w:tc>
        <w:tc>
          <w:tcPr>
            <w:tcW w:w="1260" w:type="dxa"/>
            <w:vAlign w:val="bottom"/>
          </w:tcPr>
          <w:p>
            <w:pPr>
              <w:jc w:val="right"/>
              <w:ind w:right="17"/>
              <w:spacing w:after="0" w:line="159" w:lineRule="exact"/>
              <w:rPr>
                <w:sz w:val="20"/>
                <w:szCs w:val="20"/>
                <w:color w:val="auto"/>
              </w:rPr>
            </w:pPr>
            <w:r>
              <w:rPr>
                <w:rFonts w:ascii="Times New Roman" w:cs="Times New Roman" w:eastAsia="Times New Roman" w:hAnsi="Times New Roman"/>
                <w:sz w:val="14"/>
                <w:szCs w:val="14"/>
                <w:b w:val="1"/>
                <w:bCs w:val="1"/>
                <w:color w:val="auto"/>
                <w:w w:val="99"/>
              </w:rPr>
              <w:t>Aggregate intrinsic</w:t>
            </w:r>
          </w:p>
        </w:tc>
      </w:tr>
      <w:tr>
        <w:trPr>
          <w:trHeight w:val="199"/>
        </w:trPr>
        <w:tc>
          <w:tcPr>
            <w:tcW w:w="5500" w:type="dxa"/>
            <w:vAlign w:val="bottom"/>
          </w:tcPr>
          <w:p>
            <w:pPr>
              <w:spacing w:after="0"/>
              <w:rPr>
                <w:sz w:val="17"/>
                <w:szCs w:val="17"/>
                <w:color w:val="auto"/>
              </w:rPr>
            </w:pPr>
          </w:p>
        </w:tc>
        <w:tc>
          <w:tcPr>
            <w:tcW w:w="14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value (in thousands)</w:t>
            </w:r>
          </w:p>
        </w:tc>
      </w:tr>
      <w:tr>
        <w:trPr>
          <w:trHeight w:val="24"/>
        </w:trPr>
        <w:tc>
          <w:tcPr>
            <w:tcW w:w="55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4,220,878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27,393</w:t>
            </w:r>
          </w:p>
        </w:tc>
      </w:tr>
      <w:tr>
        <w:trPr>
          <w:trHeight w:val="24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2,155,280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8"/>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6"/>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(360,408)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7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June 30,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5,145,073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17,493</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As of June 30, 2025, $31.5 million of unrecognized stock-based compensation expense related to unvested RSU awards. The unrecognized stock-based compensation expense is estimated to be recognized over a weighted-average period of approximately 2.8 years.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allocation of stock-based compensation expense related to the Company’s stock-based awards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5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5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6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1,110</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4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1,423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5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1,236</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r>
      <w:tr>
        <w:trPr>
          <w:trHeight w:val="246"/>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3,022</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2,995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w:t>
            </w: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6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6,791</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7,152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weighted-average valuation assumptions used in determining the fair value of employee stock options: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4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3"/>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1"/>
        </w:trPr>
        <w:tc>
          <w:tcPr>
            <w:tcW w:w="5920" w:type="dxa"/>
            <w:vAlign w:val="bottom"/>
            <w:gridSpan w:val="2"/>
          </w:tcPr>
          <w:p>
            <w:pPr>
              <w:ind w:left="5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6"/>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8"/>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jc w:val="both"/>
        <w:ind w:right="200" w:firstLine="477"/>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weighted-average assumptions used in estimating the fair value of the ESPP for the current offering period using the Black-Scholes option-pricing model:</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4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3"/>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1"/>
        </w:trPr>
        <w:tc>
          <w:tcPr>
            <w:tcW w:w="5920" w:type="dxa"/>
            <w:vAlign w:val="bottom"/>
            <w:gridSpan w:val="2"/>
          </w:tcPr>
          <w:p>
            <w:pPr>
              <w:ind w:left="5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6"/>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8"/>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bl>
    <w:p>
      <w:pPr>
        <w:spacing w:after="0" w:line="19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Employee benefit plan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retirement savings plan</w:t>
      </w:r>
    </w:p>
    <w:p>
      <w:pPr>
        <w:spacing w:after="0" w:line="113"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The Company currently maintains a 401(k) retirement savings plan that covers substantially all of its employees (“401(k) Plan”). The 401(k) Plan permits voluntary contributions by employees, a portion of which are matched by the Company. The Company’s contributions to the 401(k) Plan were approximately $0.5 million and $0.9 million for the three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and six months ended June 30, 2025, respectively. The Company’s contributions to the 401(k) Plan were approximately $0.6 million and $1.0 million for the three and six months ended June 30, 2024, respectively.</w:t>
      </w:r>
    </w:p>
    <w:p>
      <w:pPr>
        <w:spacing w:after="0" w:line="5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13"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75"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statements of operations and comprehensive loss. Accrued interest and penalties, if any, are included in accrued expenses in the consolidated balance sheet.</w:t>
      </w:r>
    </w:p>
    <w:p>
      <w:pPr>
        <w:spacing w:after="0" w:line="79"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75" w:lineRule="exact"/>
        <w:rPr>
          <w:sz w:val="20"/>
          <w:szCs w:val="20"/>
          <w:color w:val="auto"/>
        </w:rPr>
      </w:pPr>
    </w:p>
    <w:p>
      <w:pPr>
        <w:jc w:val="both"/>
        <w:ind w:firstLine="477"/>
        <w:spacing w:after="0" w:line="271" w:lineRule="auto"/>
        <w:rPr>
          <w:sz w:val="20"/>
          <w:szCs w:val="20"/>
          <w:color w:val="auto"/>
        </w:rPr>
      </w:pPr>
      <w:r>
        <w:rPr>
          <w:rFonts w:ascii="Times New Roman" w:cs="Times New Roman" w:eastAsia="Times New Roman" w:hAnsi="Times New Roman"/>
          <w:sz w:val="17"/>
          <w:szCs w:val="17"/>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64"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The Company’s effective income tax rate from continuing operations was 5.8% and (2.6)% for the six months ended June 30, 2025 and 2024, respectively. The Company’s effective income tax rate for the six months ended June 30, 2025 is lower than the U.S. federal statutory tax rate due to the impact of state income taxes, non-deductible stock-based compensation and the Company's mix of earnings between various taxing jurisdictions, partially offset by stock compensation deductions and federal and state research credits. The effective income tax rate for the six months ended June 30, 2024 was lower than the US federal statutory tax rate primarily due to state income taxes, non-deductible stock-based compensation, the Company's mix of earnings between various taxing jurisdictions, partially offset by a deduction for foreign-sourced revenue, and federal and state research credits.</w:t>
      </w:r>
    </w:p>
    <w:p>
      <w:pPr>
        <w:spacing w:after="0" w:line="81"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pacing w:after="0" w:line="75" w:lineRule="exact"/>
        <w:rPr>
          <w:sz w:val="20"/>
          <w:szCs w:val="20"/>
          <w:color w:val="auto"/>
        </w:rPr>
      </w:pPr>
    </w:p>
    <w:p>
      <w:pPr>
        <w:ind w:right="40" w:firstLine="477"/>
        <w:spacing w:after="0" w:line="251" w:lineRule="auto"/>
        <w:rPr>
          <w:sz w:val="20"/>
          <w:szCs w:val="20"/>
          <w:color w:val="auto"/>
        </w:rPr>
      </w:pPr>
      <w:r>
        <w:rPr>
          <w:rFonts w:ascii="Times New Roman" w:cs="Times New Roman" w:eastAsia="Times New Roman" w:hAnsi="Times New Roman"/>
          <w:sz w:val="18"/>
          <w:szCs w:val="18"/>
          <w:color w:val="auto"/>
        </w:rPr>
        <w:t>On July 4, 2025, legislation commonly referred to as the One Big Beautiful Bill Act (“OBBBA”) was signed into law in the U.S. The OBBBA includes significant changes to the U.S. Internal Revenue Code of 1986, as amended, including restoration of immediate deductions of domestic research and experimental expenditures and reinstatement of 100% bonus depreciation for qualifying property. The Company is currently evaluating the impact of the OBBBA on its consolidated financial statements, including the effects on its deferred tax assets and liabilities. The impact of the OBBBA will be reflected in the Company’s interim financial statements as of and for the three and nine months ending September 30, 2025, the period in which the legislation was enacted.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our 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3"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The Company’s benefit from income taxes consists primarily of provision for foreign taxes. As the Company plans to expand the scale and scope of its international business activities, any changes in the United States and foreign taxation of such activities may increase the Company’s overall provision for income taxes in the future.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200" w:lineRule="exact"/>
        <w:rPr>
          <w:sz w:val="20"/>
          <w:szCs w:val="20"/>
          <w:color w:val="auto"/>
        </w:rPr>
      </w:pPr>
    </w:p>
    <w:p>
      <w:pPr>
        <w:spacing w:after="0" w:line="258" w:lineRule="exact"/>
        <w:rPr>
          <w:sz w:val="20"/>
          <w:szCs w:val="20"/>
          <w:color w:val="auto"/>
        </w:rPr>
      </w:pPr>
    </w:p>
    <w:p>
      <w:pPr>
        <w:ind w:firstLine="477"/>
        <w:spacing w:after="0" w:line="274" w:lineRule="auto"/>
        <w:rPr>
          <w:sz w:val="20"/>
          <w:szCs w:val="20"/>
          <w:color w:val="auto"/>
        </w:rPr>
      </w:pPr>
      <w:r>
        <w:rPr>
          <w:rFonts w:ascii="Times New Roman" w:cs="Times New Roman" w:eastAsia="Times New Roman" w:hAnsi="Times New Roman"/>
          <w:sz w:val="18"/>
          <w:szCs w:val="18"/>
          <w:color w:val="auto"/>
        </w:rPr>
        <w:t>The following table displays the (benefit)/expense from income taxes for the three and six months ended June 30, 2025 and 2024 (in thousands, except percentages):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8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r>
      <w:tr>
        <w:trPr>
          <w:trHeight w:val="24"/>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0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bottom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2"/>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(1,192)</w:t>
            </w:r>
          </w:p>
        </w:tc>
        <w:tc>
          <w:tcPr>
            <w:tcW w:w="9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3,248</w:t>
            </w:r>
          </w:p>
        </w:tc>
        <w:tc>
          <w:tcPr>
            <w:tcW w:w="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8"/>
                <w:szCs w:val="18"/>
                <w:color w:val="auto"/>
              </w:rPr>
              <w:t>(4,440)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400"/>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24"/>
                <w:szCs w:val="24"/>
                <w:color w:val="auto"/>
              </w:rPr>
            </w:pPr>
          </w:p>
        </w:tc>
      </w:tr>
      <w:tr>
        <w:trPr>
          <w:trHeight w:val="24"/>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0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bottom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2"/>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243"/>
              <w:spacing w:after="0"/>
              <w:rPr>
                <w:sz w:val="20"/>
                <w:szCs w:val="20"/>
                <w:color w:val="auto"/>
              </w:rPr>
            </w:pPr>
            <w:r>
              <w:rPr>
                <w:rFonts w:ascii="Times New Roman" w:cs="Times New Roman" w:eastAsia="Times New Roman" w:hAnsi="Times New Roman"/>
                <w:sz w:val="18"/>
                <w:szCs w:val="18"/>
                <w:color w:val="auto"/>
              </w:rPr>
              <w:t>$(1,056)</w:t>
            </w:r>
          </w:p>
        </w:tc>
        <w:tc>
          <w:tcPr>
            <w:tcW w:w="9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424</w:t>
            </w:r>
          </w:p>
        </w:tc>
        <w:tc>
          <w:tcPr>
            <w:tcW w:w="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8"/>
                <w:szCs w:val="18"/>
                <w:color w:val="auto"/>
              </w:rPr>
              <w:t>(1,480)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bl>
    <w:p>
      <w:pPr>
        <w:spacing w:after="0" w:line="167" w:lineRule="exact"/>
        <w:rPr>
          <w:sz w:val="20"/>
          <w:szCs w:val="20"/>
          <w:color w:val="auto"/>
        </w:rPr>
      </w:pPr>
    </w:p>
    <w:p>
      <w:pPr>
        <w:ind w:right="160" w:firstLine="477"/>
        <w:spacing w:after="0" w:line="285" w:lineRule="auto"/>
        <w:rPr>
          <w:sz w:val="20"/>
          <w:szCs w:val="20"/>
          <w:color w:val="auto"/>
        </w:rPr>
      </w:pPr>
      <w:r>
        <w:rPr>
          <w:rFonts w:ascii="Times New Roman" w:cs="Times New Roman" w:eastAsia="Times New Roman" w:hAnsi="Times New Roman"/>
          <w:sz w:val="17"/>
          <w:szCs w:val="17"/>
          <w:color w:val="auto"/>
        </w:rPr>
        <w:t>Benefit from income tax expense was $1.2 million for the three months ended June 30, 2025, as compared to an income taxes expense of $3.2 million for the three months ended June 30, 2024. The net decrease of $4.4 million for the three months ended June 30, 2025 was primarily due to a higher tax</w:t>
      </w:r>
    </w:p>
    <w:p>
      <w:pPr>
        <w:ind w:right="160"/>
        <w:spacing w:after="0" w:line="289" w:lineRule="auto"/>
        <w:rPr>
          <w:sz w:val="20"/>
          <w:szCs w:val="20"/>
          <w:color w:val="auto"/>
        </w:rPr>
      </w:pPr>
      <w:r>
        <w:rPr>
          <w:rFonts w:ascii="Times New Roman" w:cs="Times New Roman" w:eastAsia="Times New Roman" w:hAnsi="Times New Roman"/>
          <w:sz w:val="18"/>
          <w:szCs w:val="18"/>
          <w:color w:val="auto"/>
        </w:rPr>
        <w:t>expense in the quarter ended June 30, 2024, which was driven by reversal of a tax benefit from the first quarter of 2024, which did not reoccur in the current quarter, and a higher effective tax rate due to the geographic mix of worldwide profit and losses.</w:t>
      </w:r>
    </w:p>
    <w:p>
      <w:pPr>
        <w:spacing w:after="0" w:line="45" w:lineRule="exact"/>
        <w:rPr>
          <w:sz w:val="20"/>
          <w:szCs w:val="20"/>
          <w:color w:val="auto"/>
        </w:rPr>
      </w:pPr>
    </w:p>
    <w:p>
      <w:pPr>
        <w:ind w:right="60" w:firstLine="477"/>
        <w:spacing w:after="0" w:line="260" w:lineRule="auto"/>
        <w:rPr>
          <w:sz w:val="20"/>
          <w:szCs w:val="20"/>
          <w:color w:val="auto"/>
        </w:rPr>
      </w:pPr>
      <w:r>
        <w:rPr>
          <w:rFonts w:ascii="Times New Roman" w:cs="Times New Roman" w:eastAsia="Times New Roman" w:hAnsi="Times New Roman"/>
          <w:sz w:val="18"/>
          <w:szCs w:val="18"/>
          <w:color w:val="auto"/>
        </w:rPr>
        <w:t>Benefit from income tax expense was $1.1 million for the six months ended June 30, 2025, as compared to an income taxes expense of $0.4 million for the six months ended June 30, 2024. The net decrease of $1.5 million for the six months ended June 30, 2025 was primarily due to a higher effective tax rate due to the geographic mix of worldwide profit and losses.</w:t>
      </w:r>
    </w:p>
    <w:p>
      <w:pPr>
        <w:spacing w:after="0" w:line="6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tab/>
        <w:t>Lease</w:t>
      </w:r>
    </w:p>
    <w:p>
      <w:pPr>
        <w:spacing w:after="0" w:line="113"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which is the date on which the terms of the contract are agreed to, and the agreement creates enforceable rights and obligations. Under ASC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76"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The Company leases office facilities and equipment from unrelated parties under operating lease agreements that have initial terms ranging from 1 to 12 years. Some leases include one or more options to renew, generally at the Company’s sole discretion, with renewal terms that can extend the lease term up to 5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w:t>
      </w:r>
    </w:p>
    <w:p>
      <w:pPr>
        <w:spacing w:after="0" w:line="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The components of lease expense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520" w:type="dxa"/>
            <w:vAlign w:val="bottom"/>
            <w:gridSpan w:val="4"/>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r>
      <w:tr>
        <w:trPr>
          <w:trHeight w:val="24"/>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4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4"/>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outflows - payments on operating leases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58"/>
        </w:trPr>
        <w:tc>
          <w:tcPr>
            <w:tcW w:w="8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2"/>
        </w:trPr>
        <w:tc>
          <w:tcPr>
            <w:tcW w:w="8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3"/>
        </w:trPr>
        <w:tc>
          <w:tcPr>
            <w:tcW w:w="8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8"/>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Included in other current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8"/>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4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w:t>
            </w:r>
          </w:p>
        </w:tc>
      </w:tr>
      <w:tr>
        <w:trPr>
          <w:trHeight w:val="270"/>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8"/>
        </w:trPr>
        <w:tc>
          <w:tcPr>
            <w:tcW w:w="8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right="217"/>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rPr>
              <w:t>3.49</w:t>
            </w:r>
          </w:p>
        </w:tc>
      </w:tr>
      <w:tr>
        <w:trPr>
          <w:trHeight w:val="265"/>
        </w:trPr>
        <w:tc>
          <w:tcPr>
            <w:tcW w:w="8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right="217"/>
              <w:spacing w:after="0"/>
              <w:rPr>
                <w:sz w:val="20"/>
                <w:szCs w:val="20"/>
                <w:color w:val="auto"/>
              </w:rPr>
            </w:pPr>
            <w:r>
              <w:rPr>
                <w:rFonts w:ascii="Times New Roman" w:cs="Times New Roman" w:eastAsia="Times New Roman" w:hAnsi="Times New Roman"/>
                <w:sz w:val="18"/>
                <w:szCs w:val="18"/>
                <w:color w:val="auto"/>
                <w:w w:val="95"/>
              </w:rPr>
              <w:t>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w w:val="95"/>
              </w:rPr>
              <w:t>3.4%</w:t>
            </w:r>
          </w:p>
        </w:tc>
      </w:tr>
    </w:tbl>
    <w:p>
      <w:pPr>
        <w:spacing w:after="0" w:line="167"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balance sheet as of June 30, 2025 is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six months ended June 30, 2025)</w:t>
            </w:r>
          </w:p>
        </w:tc>
        <w:tc>
          <w:tcPr>
            <w:tcW w:w="5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4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5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24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0" w:type="dxa"/>
            <w:vAlign w:val="bottom"/>
          </w:tcPr>
          <w:p>
            <w:pPr>
              <w:spacing w:after="0"/>
              <w:rPr>
                <w:sz w:val="1"/>
                <w:szCs w:val="1"/>
                <w:color w:val="auto"/>
              </w:rPr>
            </w:pPr>
          </w:p>
        </w:tc>
      </w:tr>
      <w:tr>
        <w:trPr>
          <w:trHeight w:val="25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46"/>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5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22,071</w:t>
            </w:r>
          </w:p>
        </w:tc>
        <w:tc>
          <w:tcPr>
            <w:tcW w:w="0" w:type="dxa"/>
            <w:vAlign w:val="bottom"/>
          </w:tcPr>
          <w:p>
            <w:pPr>
              <w:spacing w:after="0"/>
              <w:rPr>
                <w:sz w:val="1"/>
                <w:szCs w:val="1"/>
                <w:color w:val="auto"/>
              </w:rPr>
            </w:pPr>
          </w:p>
        </w:tc>
      </w:tr>
      <w:tr>
        <w:trPr>
          <w:trHeight w:val="23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80" w:type="dxa"/>
            <w:vAlign w:val="bottom"/>
            <w:tcBorders>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0" w:type="dxa"/>
            <w:vAlign w:val="bottom"/>
          </w:tcPr>
          <w:p>
            <w:pPr>
              <w:spacing w:after="0"/>
              <w:rPr>
                <w:sz w:val="1"/>
                <w:szCs w:val="1"/>
                <w:color w:val="auto"/>
              </w:rPr>
            </w:pPr>
          </w:p>
        </w:tc>
      </w:tr>
      <w:tr>
        <w:trPr>
          <w:trHeight w:val="265"/>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5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jc w:val="right"/>
              <w:ind w:right="3952"/>
              <w:spacing w:after="0"/>
              <w:rPr>
                <w:sz w:val="20"/>
                <w:szCs w:val="20"/>
                <w:color w:val="auto"/>
              </w:rPr>
            </w:pPr>
            <w:r>
              <w:rPr>
                <w:rFonts w:ascii="Times New Roman" w:cs="Times New Roman" w:eastAsia="Times New Roman" w:hAnsi="Times New Roman"/>
                <w:sz w:val="18"/>
                <w:szCs w:val="18"/>
                <w:color w:val="auto"/>
              </w:rPr>
              <w:t>29</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6"/>
        </w:trPr>
        <w:tc>
          <w:tcPr>
            <w:tcW w:w="468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80" w:type="dxa"/>
            <w:vAlign w:val="bottom"/>
            <w:tcBorders>
              <w:bottom w:val="single" w:sz="8" w:color="9A9A9A"/>
            </w:tcBorders>
          </w:tcPr>
          <w:p>
            <w:pPr>
              <w:spacing w:after="0"/>
              <w:rPr>
                <w:sz w:val="17"/>
                <w:szCs w:val="17"/>
                <w:color w:val="auto"/>
              </w:rPr>
            </w:pPr>
          </w:p>
        </w:tc>
        <w:tc>
          <w:tcPr>
            <w:tcW w:w="508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13" w:lineRule="exact"/>
        <w:rPr>
          <w:sz w:val="20"/>
          <w:szCs w:val="20"/>
          <w:color w:val="auto"/>
        </w:rPr>
      </w:pPr>
    </w:p>
    <w:p>
      <w:pPr>
        <w:ind w:right="120" w:firstLine="477"/>
        <w:spacing w:after="0" w:line="274" w:lineRule="auto"/>
        <w:rPr>
          <w:sz w:val="20"/>
          <w:szCs w:val="20"/>
          <w:color w:val="auto"/>
        </w:rPr>
      </w:pPr>
      <w:r>
        <w:rPr>
          <w:rFonts w:ascii="Times New Roman" w:cs="Times New Roman" w:eastAsia="Times New Roman" w:hAnsi="Times New Roman"/>
          <w:sz w:val="18"/>
          <w:szCs w:val="18"/>
          <w:color w:val="auto"/>
        </w:rPr>
        <w:t>The Company has entered into non-cancelable arrangements with third parties, primarily related to cloud computing and other information technology services. As of June 30, 2025, future payments under these contractual obligations were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26"/>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r>
      <w:tr>
        <w:trPr>
          <w:trHeight w:val="226"/>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26"/>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4"/>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00" w:lineRule="exact"/>
        <w:rPr>
          <w:sz w:val="20"/>
          <w:szCs w:val="20"/>
          <w:color w:val="auto"/>
        </w:rPr>
      </w:pPr>
    </w:p>
    <w:p>
      <w:pPr>
        <w:jc w:val="both"/>
        <w:ind w:firstLine="477"/>
        <w:spacing w:after="0" w:line="232"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and claims. On August 14, 2024, Beckman Coulter, Inc. (“Beckman Coulter”) sued the Company in federal court in the District of Delaware, alleging that the Company’s Aurora flow cytometers, Aurora CS cell sorters, and Northern Lights and Northern Lights-CLC products infringe U.S. Patent Nos. 10,330,582 and 11,703,443, each titled “Flow Cytometer.” On October 7, 2024, the Company filed an answer denying any liability and including a counterclaim against Beckman Coulter for false marking. On October 28, 2024, Beckman Coulter filed an answer to the counterclaim, denying liability. On January 9, 2025, Beckman Coulter filed a first amended complaint, further alleging that the Company’s Aurora flow cytometers, Aurora CS cell sorters, and Northern Lights and Northern Lights-CLC products also infringe U.S. Patent Nos. 12,174,106 and 12,174,107, each of which is also titled “Flow Cytometer” and related to the earlier asserted patents. On February 6, 2025, the Company filed an answer to the first amended complaint, denying any liability and including a counterclaim against Beckman Coulter for false patent marking. On February 27, 2025, Beckman Coulter filed an answer to the counterclaim, denying liability. A claim construction hearing is currently scheduled for August 21, 2025, briefing on dispositive motions is currently scheduled in March and April of 2026, and a trial is scheduled for August 17, 2026. The Company intends to vigorously defend itself and pursue the counterclaim.</w:t>
      </w:r>
    </w:p>
    <w:p>
      <w:pPr>
        <w:spacing w:after="0" w:line="94"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w:t>
      </w:r>
    </w:p>
    <w:p>
      <w:pPr>
        <w:spacing w:after="0" w:line="7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Product warranty</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shows the activity in the product warranty accrual included in accrued expenses on the consolidated balance sheets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1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100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4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for current year warranties</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5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cost incurred</w:t>
            </w:r>
          </w:p>
        </w:tc>
        <w:tc>
          <w:tcPr>
            <w:tcW w:w="10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4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0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1,671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6"/>
        </w:trPr>
        <w:tc>
          <w:tcPr>
            <w:tcW w:w="8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6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Net loss attributable to common stockholders per share</w:t>
      </w:r>
    </w:p>
    <w:p>
      <w:pPr>
        <w:spacing w:after="0" w:line="113"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for the three and six months ended June 30, 2025 and 2024, respectively (in thousands except share and per share data):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54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5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5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51"/>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8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80" w:type="dxa"/>
            <w:vAlign w:val="bottom"/>
          </w:tcPr>
          <w:p>
            <w:pPr>
              <w:spacing w:after="0"/>
              <w:rPr>
                <w:sz w:val="21"/>
                <w:szCs w:val="21"/>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2"/>
        </w:trPr>
        <w:tc>
          <w:tcPr>
            <w:tcW w:w="5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4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8"/>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126,934,294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131,440,486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127,632,999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131,180,734</w:t>
            </w:r>
          </w:p>
        </w:tc>
      </w:tr>
      <w:tr>
        <w:trPr>
          <w:trHeight w:val="24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employee stock plans</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126,934,294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131,440,486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127,632,999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131,180,734</w:t>
            </w:r>
          </w:p>
        </w:tc>
      </w:tr>
      <w:tr>
        <w:trPr>
          <w:trHeight w:val="265"/>
        </w:trPr>
        <w:tc>
          <w:tcPr>
            <w:tcW w:w="5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4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bl>
    <w:p>
      <w:pPr>
        <w:spacing w:after="0" w:line="312" w:lineRule="exact"/>
        <w:rPr>
          <w:sz w:val="20"/>
          <w:szCs w:val="20"/>
          <w:color w:val="auto"/>
        </w:rPr>
      </w:pPr>
    </w:p>
    <w:p>
      <w:pPr>
        <w:ind w:right="80" w:firstLine="477"/>
        <w:spacing w:after="0" w:line="244" w:lineRule="auto"/>
        <w:rPr>
          <w:sz w:val="20"/>
          <w:szCs w:val="20"/>
          <w:color w:val="auto"/>
        </w:rPr>
      </w:pPr>
      <w:r>
        <w:rPr>
          <w:rFonts w:ascii="Times New Roman" w:cs="Times New Roman" w:eastAsia="Times New Roman" w:hAnsi="Times New Roman"/>
          <w:sz w:val="18"/>
          <w:szCs w:val="18"/>
          <w:color w:val="auto"/>
        </w:rPr>
        <w:t>Because the Company had a net loss during the three months ended June 30, 2025 and 2024, respectively, 1.3 million and 1.9 million shares were dilutive, but were not included in the computation of diluted net loss per share because their inclusion would have been anti-dilutive. Therefore, basic net loss per share is the same as diluted net loss per share.</w:t>
      </w:r>
    </w:p>
    <w:p>
      <w:pPr>
        <w:spacing w:after="0" w:line="191" w:lineRule="exact"/>
        <w:rPr>
          <w:sz w:val="20"/>
          <w:szCs w:val="20"/>
          <w:color w:val="auto"/>
        </w:rPr>
      </w:pPr>
    </w:p>
    <w:p>
      <w:pPr>
        <w:ind w:right="80" w:firstLine="477"/>
        <w:spacing w:after="0" w:line="244" w:lineRule="auto"/>
        <w:rPr>
          <w:sz w:val="20"/>
          <w:szCs w:val="20"/>
          <w:color w:val="auto"/>
        </w:rPr>
      </w:pPr>
      <w:r>
        <w:rPr>
          <w:rFonts w:ascii="Times New Roman" w:cs="Times New Roman" w:eastAsia="Times New Roman" w:hAnsi="Times New Roman"/>
          <w:sz w:val="18"/>
          <w:szCs w:val="18"/>
          <w:color w:val="auto"/>
        </w:rPr>
        <w:t>Because the Company had a net loss during the six months ended June 30, 2025 and 2024, respectively, 1.5 million and 2.1 million shares were dilutive, but were not included in the computation of diluted net loss per share because their inclusion would have been anti-dilutive. Therefore, basic net loss per share is the same as diluted net loss per share.</w:t>
      </w:r>
    </w:p>
    <w:p>
      <w:pPr>
        <w:spacing w:after="0" w:line="83" w:lineRule="exact"/>
        <w:rPr>
          <w:sz w:val="20"/>
          <w:szCs w:val="20"/>
          <w:color w:val="auto"/>
        </w:rPr>
      </w:pPr>
    </w:p>
    <w:p>
      <w:pPr>
        <w:ind w:right="7560" w:firstLine="6"/>
        <w:spacing w:after="0" w:line="362" w:lineRule="auto"/>
        <w:tabs>
          <w:tab w:leader="none" w:pos="39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 and Geographic Data Segment Information</w:t>
      </w:r>
    </w:p>
    <w:p>
      <w:pPr>
        <w:spacing w:after="0" w:line="1" w:lineRule="exact"/>
        <w:rPr>
          <w:sz w:val="20"/>
          <w:szCs w:val="20"/>
          <w:color w:val="auto"/>
        </w:rPr>
      </w:pPr>
    </w:p>
    <w:p>
      <w:pPr>
        <w:jc w:val="both"/>
        <w:ind w:firstLine="477"/>
        <w:spacing w:after="0" w:line="238" w:lineRule="auto"/>
        <w:rPr>
          <w:sz w:val="20"/>
          <w:szCs w:val="20"/>
          <w:color w:val="auto"/>
        </w:rPr>
      </w:pPr>
      <w:r>
        <w:rPr>
          <w:rFonts w:ascii="Times New Roman" w:cs="Times New Roman" w:eastAsia="Times New Roman" w:hAnsi="Times New Roman"/>
          <w:sz w:val="18"/>
          <w:szCs w:val="18"/>
          <w:color w:val="auto"/>
        </w:rPr>
        <w:t>The Company operates and manages its business activities on a consolidated basis and has one operating and reportable segment, as defined under ASC 280, Segment Reporting. Operating segments are defined as components of an enterprise where separate financial information is evaluated regularly by the Chief Operating Decision Maker (“CODM”), who decides how to allocate resources and assess performance. The Company’s Chief Executive Officer serves as the CODM and is responsible for evaluating the Company’s financial performance and allocating resources. The CODM uses net income as the measure of profit or loss to allocate resources, assess performance, and monitor budgets against actual results.</w:t>
      </w:r>
    </w:p>
    <w:p>
      <w:pPr>
        <w:spacing w:after="0" w:line="75" w:lineRule="exact"/>
        <w:rPr>
          <w:sz w:val="20"/>
          <w:szCs w:val="20"/>
          <w:color w:val="auto"/>
        </w:rPr>
      </w:pPr>
    </w:p>
    <w:p>
      <w:pPr>
        <w:jc w:val="both"/>
        <w:ind w:firstLine="477"/>
        <w:spacing w:after="0" w:line="259" w:lineRule="auto"/>
        <w:rPr>
          <w:sz w:val="20"/>
          <w:szCs w:val="20"/>
          <w:color w:val="auto"/>
        </w:rPr>
      </w:pPr>
      <w:r>
        <w:rPr>
          <w:rFonts w:ascii="Times New Roman" w:cs="Times New Roman" w:eastAsia="Times New Roman" w:hAnsi="Times New Roman"/>
          <w:sz w:val="18"/>
          <w:szCs w:val="18"/>
          <w:color w:val="auto"/>
        </w:rPr>
        <w:t>Further, the CODM reviews the significant segment expenses in the table below on net loss when assessing performance and allocating resources, as well as those used for strategic decisions related to headcount and capital</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expenditures. The measure of segment assets is reported on the balance sheet as total assets. The CODM does not review segment assets at a level other than that presented in the Company’s consolidated balance sheets.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reflect the Company’s significant segment expenses:</w:t>
      </w:r>
    </w:p>
    <w:p>
      <w:pPr>
        <w:spacing w:after="0" w:line="162" w:lineRule="exact"/>
        <w:rPr>
          <w:sz w:val="20"/>
          <w:szCs w:val="20"/>
          <w:color w:val="auto"/>
        </w:rPr>
      </w:pPr>
    </w:p>
    <w:tbl>
      <w:tblPr>
        <w:tblLayout w:type="fixed"/>
        <w:tblInd w:w="480" w:type="dxa"/>
        <w:tblCellMar>
          <w:top w:w="0" w:type="dxa"/>
          <w:left w:w="0" w:type="dxa"/>
          <w:bottom w:w="0" w:type="dxa"/>
          <w:right w:w="0" w:type="dxa"/>
        </w:tblCellMar>
      </w:tblPr>
      <w:tr>
        <w:trPr>
          <w:trHeight w:val="239"/>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236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6"/>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31,415</w:t>
            </w:r>
          </w:p>
        </w:tc>
        <w:tc>
          <w:tcPr>
            <w:tcW w:w="4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34,576</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59,525</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2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14,187</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27,534</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9"/>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revenue, net</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45,602</w:t>
            </w:r>
          </w:p>
        </w:tc>
        <w:tc>
          <w:tcPr>
            <w:tcW w:w="4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87,059</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(excluding stock-based compensation)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20,144</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39,865</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 license &amp; IP expense</w:t>
            </w:r>
          </w:p>
        </w:tc>
        <w:tc>
          <w:tcPr>
            <w:tcW w:w="24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481</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974</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(excluding stock-based compensation)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7,832</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16,438</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(excluding stock-based compensation)</w:t>
            </w:r>
          </w:p>
        </w:tc>
        <w:tc>
          <w:tcPr>
            <w:tcW w:w="24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3,066</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5,765</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(excluding stock-based compensation)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7,403</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15,551</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(excluding stock-based compensation)</w:t>
            </w:r>
          </w:p>
        </w:tc>
        <w:tc>
          <w:tcPr>
            <w:tcW w:w="24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10,509</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20,644</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6,791</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13,421</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6"/>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4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r>
    </w:tbl>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segment items include other income (expenses) and interest income (expenses).</w:t>
      </w:r>
    </w:p>
    <w:p>
      <w:pPr>
        <w:spacing w:after="0" w:line="111" w:lineRule="exact"/>
        <w:rPr>
          <w:sz w:val="20"/>
          <w:szCs w:val="20"/>
          <w:color w:val="auto"/>
        </w:rPr>
      </w:pPr>
    </w:p>
    <w:p>
      <w:pPr>
        <w:jc w:val="both"/>
        <w:ind w:right="100" w:firstLine="477"/>
        <w:spacing w:after="0" w:line="274" w:lineRule="auto"/>
        <w:rPr>
          <w:sz w:val="20"/>
          <w:szCs w:val="20"/>
          <w:color w:val="auto"/>
        </w:rPr>
      </w:pPr>
      <w:r>
        <w:rPr>
          <w:rFonts w:ascii="Times New Roman" w:cs="Times New Roman" w:eastAsia="Times New Roman" w:hAnsi="Times New Roman"/>
          <w:sz w:val="18"/>
          <w:szCs w:val="18"/>
          <w:color w:val="auto"/>
        </w:rPr>
        <w:t>The Company sells its products worldwide and attributes revenue to the geography where the product is delivered. The geographical distribution of revenue for the three and six months ended June 30, 2025 and 2024 was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2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5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5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43,751</w:t>
            </w:r>
          </w:p>
        </w:tc>
      </w:tr>
      <w:tr>
        <w:trPr>
          <w:trHeight w:val="24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w:t>
            </w:r>
          </w:p>
        </w:tc>
      </w:tr>
      <w:tr>
        <w:trPr>
          <w:trHeight w:val="25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w:t>
            </w:r>
          </w:p>
        </w:tc>
      </w:tr>
      <w:tr>
        <w:trPr>
          <w:trHeight w:val="24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w:t>
            </w: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87,059</w:t>
            </w: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91,477</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EMEA includes Europe, the Middle East and Africa; APAC includes Asia and the Pacific countries; Other includes Canada and Latin America.</w:t>
      </w:r>
    </w:p>
    <w:p>
      <w:pPr>
        <w:spacing w:after="0" w:line="111" w:lineRule="exact"/>
        <w:rPr>
          <w:sz w:val="20"/>
          <w:szCs w:val="20"/>
          <w:color w:val="auto"/>
        </w:rPr>
      </w:pPr>
    </w:p>
    <w:p>
      <w:pPr>
        <w:jc w:val="both"/>
        <w:ind w:right="100" w:firstLine="477"/>
        <w:spacing w:after="0" w:line="253" w:lineRule="auto"/>
        <w:rPr>
          <w:sz w:val="20"/>
          <w:szCs w:val="20"/>
          <w:color w:val="auto"/>
        </w:rPr>
      </w:pPr>
      <w:r>
        <w:rPr>
          <w:rFonts w:ascii="Times New Roman" w:cs="Times New Roman" w:eastAsia="Times New Roman" w:hAnsi="Times New Roman"/>
          <w:sz w:val="18"/>
          <w:szCs w:val="18"/>
          <w:color w:val="auto"/>
        </w:rPr>
        <w:t>For revenue, a major country is defined as a group of customers in a country with combined revenue of greater than 10% of consolidated revenue or as otherwise deemed significant. Revenue in the United States was approximately $23.9 million and $42.4 million for the three and six months ended June 30, 2025, respectively, and $22.4 million and $43.8 million for the three and six months ended June 30, 2024, respectively. No other country represented greater than 10% of the Company’s consolidated net sales or was otherwise deemed significant. For the three and six months ended June 30, 2025, and 2024, the Company had no major customers that represented more than 10% of the Company’s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June 30, 2025 and December 31, 2024, the Company’s long-lived assets by geographic area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17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61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2"/>
        </w:trPr>
        <w:tc>
          <w:tcPr>
            <w:tcW w:w="6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252"/>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40" w:type="dxa"/>
            <w:vAlign w:val="bottom"/>
            <w:shd w:val="clear" w:color="auto" w:fill="CCEEFF"/>
          </w:tcPr>
          <w:p>
            <w:pPr>
              <w:jc w:val="right"/>
              <w:ind w:right="153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w:t>
            </w:r>
          </w:p>
        </w:tc>
      </w:tr>
      <w:tr>
        <w:trPr>
          <w:trHeight w:val="24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7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52"/>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17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w:t>
            </w:r>
          </w:p>
        </w:tc>
      </w:tr>
      <w:tr>
        <w:trPr>
          <w:trHeight w:val="245"/>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tcPr>
          <w:p>
            <w:pPr>
              <w:jc w:val="right"/>
              <w:ind w:right="153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18,353</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17,962</w:t>
            </w:r>
          </w:p>
        </w:tc>
      </w:tr>
      <w:tr>
        <w:trPr>
          <w:trHeight w:val="26"/>
        </w:trPr>
        <w:tc>
          <w:tcPr>
            <w:tcW w:w="61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bl>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June 30, 2025 and December 31, 2024, most of the Company’s long-lived assets were located in the United States and in Wuxi, China.</w:t>
      </w:r>
    </w:p>
    <w:p>
      <w:pPr>
        <w:spacing w:after="0" w:line="10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Subsequent Event</w:t>
      </w:r>
    </w:p>
    <w:p>
      <w:pPr>
        <w:spacing w:after="0" w:line="113" w:lineRule="exact"/>
        <w:rPr>
          <w:sz w:val="20"/>
          <w:szCs w:val="20"/>
          <w:color w:val="auto"/>
        </w:rPr>
      </w:pPr>
    </w:p>
    <w:p>
      <w:pPr>
        <w:ind w:firstLine="477"/>
        <w:spacing w:after="0" w:line="304" w:lineRule="auto"/>
        <w:rPr>
          <w:sz w:val="20"/>
          <w:szCs w:val="20"/>
          <w:color w:val="auto"/>
        </w:rPr>
      </w:pPr>
      <w:r>
        <w:rPr>
          <w:rFonts w:ascii="Times New Roman" w:cs="Times New Roman" w:eastAsia="Times New Roman" w:hAnsi="Times New Roman"/>
          <w:sz w:val="17"/>
          <w:szCs w:val="17"/>
          <w:color w:val="auto"/>
        </w:rPr>
        <w:t>In July 2025, the Company initiated a plan to transition its manufacturing operations from Seattle, Washington, to its existing facility in Singapore. This strategic move is intended to optimize operational efficiency and reduce costs. The transition is expected to be completed by the end of fiscal year 2025.</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1" w:lineRule="exact"/>
        <w:rPr>
          <w:sz w:val="20"/>
          <w:szCs w:val="20"/>
          <w:color w:val="auto"/>
        </w:rPr>
      </w:pPr>
    </w:p>
    <w:p>
      <w:pPr>
        <w:jc w:val="both"/>
        <w:ind w:firstLine="477"/>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2024 and the related Management’s Discussion and Analysis of Financial Condition and Results of Operations, both of which are contained in our Annual Report on Form 10-K filed with the Securities and Exchange Commission (the “SEC”) on February 28, 2025. Unless the context requires otherwise, references in this Quarterly Report on Form 10-Q to “we,” “us” and “our” refer to Cytek Biosciences, Inc.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3"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i w:val="1"/>
          <w:iCs w:val="1"/>
          <w:color w:val="auto"/>
        </w:rPr>
        <w:t>The information in this discussion contains forward-looking statements and information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 w:lineRule="exact"/>
        <w:rPr>
          <w:sz w:val="20"/>
          <w:szCs w:val="20"/>
          <w:color w:val="auto"/>
        </w:rPr>
      </w:pPr>
    </w:p>
    <w:p>
      <w:pPr>
        <w:jc w:val="both"/>
        <w:ind w:firstLine="477"/>
        <w:spacing w:after="0" w:line="233" w:lineRule="auto"/>
        <w:rPr>
          <w:sz w:val="20"/>
          <w:szCs w:val="20"/>
          <w:color w:val="auto"/>
        </w:rPr>
      </w:pPr>
      <w:r>
        <w:rPr>
          <w:rFonts w:ascii="Times New Roman" w:cs="Times New Roman" w:eastAsia="Times New Roman" w:hAnsi="Times New Roman"/>
          <w:sz w:val="18"/>
          <w:szCs w:val="18"/>
          <w:color w:val="auto"/>
        </w:rPr>
        <w:t>We are a leading cell analysis solutions company advancing the next generation of research and clinical tools with our novel technical approach of leveraging the full spectrum of fluorescence signatures from multiple lasers to distinguish fluorescent tags on single cells (“Full Spectrum Profiling” or “FSP” technology). Our goal is to become the premier cell analysis company through continued innovation that facilitates scientific advances in biomedical research and clinical applications. Our FSP platform includes instruments, accessories, reagents, software and services to provide a comprehensive and integrated suite of solutions for our customers.</w:t>
      </w:r>
    </w:p>
    <w:p>
      <w:pPr>
        <w:spacing w:after="0" w:line="222"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Our FSP cell analyzers, the Cytek Aurora, Northern Lights and Cytek Aurora Evo systems, deliver high-resolution, high-content and high-sensitivity cell analysis and addresses the inherent limitations of other technologies by providing a higher level of multiplexing with exquisite sensitivity, more flexibility and increased efficiency, all at a lower cost for performance. Additionally, our Cytek Aurora cell sorter (“Aurora CS system”) leverages our FSP technology to further broaden our potential applications across cell analysis. Each system is supported by our highly intuitive, proprietary embedded SpectroFlo software, our reagents, and our service offerings to provide a comprehensive, end-to-end platform of solutions for our customers. Since our first U.S. commercial launch in mid-2017, we have sold and deployed our instruments to customers around the world, including pharmaceutical companies, biopharma companies, academic research centers, and clinical research organizations (“CROs”).</w:t>
      </w:r>
    </w:p>
    <w:p>
      <w:pPr>
        <w:spacing w:after="0" w:line="215"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On February 28, 2023, we completed the acquisition of certain assets (the “FCI Acquisition”) relating to the flow cytometry and imaging business of Luminex Corporation (“Luminex”), including relating to the business of manufacturing, marketing, selling, servicing and maintaining Amnis- and Guava-branded instruments, and flow cytometry reagent products and services (the “FCI Business”). The acquired FCI Business includes conventional flow and image-based flow cytometry instrumentation and related products and services (the “FCI Products”), which provide insights into all facets of cellular phenotypes and morphology. The acquisition supports our plan to develop new products and capabilities with flow cytometry and imaging technology, expand our reach and offerings into customer segments previously underserved, and increase the efficiency of our operations.</w:t>
      </w:r>
    </w:p>
    <w:p>
      <w:pPr>
        <w:spacing w:after="0" w:line="320"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We manufacture our instruments in our facilities in Fremont, California; Wuxi, China; Seattle, Washington; and Singapore. We have designed our operating model to be capital efficient and to scale efficiently as our product volumes grow.</w:t>
      </w:r>
    </w:p>
    <w:p>
      <w:pPr>
        <w:spacing w:after="0" w:line="58"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Total revenue for the three and six months ended June 30, 2025 was $45.6 million and $87.1 million, respectively, representing a 2% decrease and a 5% decrease, respectively, compared to revenue for the three and six months ended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June 30, 2024 of $46.6 million and $91.5 million, respectively. Total revenue for the three months ended June 30, 2025 decreased compared to total revenue for the three months ended June 30, 2024, due to lower product revenue resulting from lower product sales in the United States to academic and government customers and in EMEA to biotechnology and pharmaceutical customers. The decrease in total revenue for the six months ended June 30, 2025, compared to total revenue for the six months ended June 30, 2024 was due to the same factors.</w:t>
      </w:r>
    </w:p>
    <w:p>
      <w:pPr>
        <w:spacing w:after="0" w:line="75" w:lineRule="exact"/>
        <w:rPr>
          <w:sz w:val="20"/>
          <w:szCs w:val="20"/>
          <w:color w:val="auto"/>
        </w:rPr>
      </w:pPr>
    </w:p>
    <w:p>
      <w:pPr>
        <w:jc w:val="both"/>
        <w:ind w:firstLine="477"/>
        <w:spacing w:after="0" w:line="269" w:lineRule="auto"/>
        <w:rPr>
          <w:sz w:val="20"/>
          <w:szCs w:val="20"/>
          <w:color w:val="auto"/>
        </w:rPr>
      </w:pPr>
      <w:r>
        <w:rPr>
          <w:rFonts w:ascii="Times New Roman" w:cs="Times New Roman" w:eastAsia="Times New Roman" w:hAnsi="Times New Roman"/>
          <w:sz w:val="18"/>
          <w:szCs w:val="18"/>
          <w:color w:val="auto"/>
        </w:rPr>
        <w:t>To date, we have adopted a direct sales model in North America, Europe, China, and several other countries in the Asia-Pacific region, and sell our products through third-party distributors in certain countries in Europe, Latin America, the Middle East, Africa and the Asia-Pacific region. Revenue from</w:t>
      </w:r>
    </w:p>
    <w:p>
      <w:pPr>
        <w:jc w:val="both"/>
        <w:spacing w:after="0" w:line="285" w:lineRule="auto"/>
        <w:rPr>
          <w:sz w:val="20"/>
          <w:szCs w:val="20"/>
          <w:color w:val="auto"/>
        </w:rPr>
      </w:pPr>
      <w:r>
        <w:rPr>
          <w:rFonts w:ascii="Times New Roman" w:cs="Times New Roman" w:eastAsia="Times New Roman" w:hAnsi="Times New Roman"/>
          <w:sz w:val="17"/>
          <w:szCs w:val="17"/>
          <w:color w:val="auto"/>
        </w:rPr>
        <w:t>direct sales represented 73% and 73% of total revenue for the three and six months ended June 30, 2025, respectively, and 74% and 75% for the three and six months ended June 30, 2024, respectively. Revenue from distributors represented 27% and 27% of total revenue for the three and six months ended June 30,</w:t>
      </w:r>
    </w:p>
    <w:p>
      <w:pPr>
        <w:spacing w:after="0"/>
        <w:rPr>
          <w:sz w:val="20"/>
          <w:szCs w:val="20"/>
          <w:color w:val="auto"/>
        </w:rPr>
      </w:pPr>
      <w:r>
        <w:rPr>
          <w:rFonts w:ascii="Times New Roman" w:cs="Times New Roman" w:eastAsia="Times New Roman" w:hAnsi="Times New Roman"/>
          <w:sz w:val="18"/>
          <w:szCs w:val="18"/>
          <w:color w:val="auto"/>
        </w:rPr>
        <w:t>2025, respectively, and 26% and 25% for the three and six months ended June 30, 2024, respectively.</w:t>
      </w:r>
    </w:p>
    <w:p>
      <w:pPr>
        <w:spacing w:after="0" w:line="111" w:lineRule="exact"/>
        <w:rPr>
          <w:sz w:val="20"/>
          <w:szCs w:val="20"/>
          <w:color w:val="auto"/>
        </w:rPr>
      </w:pPr>
    </w:p>
    <w:p>
      <w:pPr>
        <w:jc w:val="both"/>
        <w:ind w:firstLine="477"/>
        <w:spacing w:after="0" w:line="276" w:lineRule="auto"/>
        <w:rPr>
          <w:sz w:val="20"/>
          <w:szCs w:val="20"/>
          <w:color w:val="auto"/>
        </w:rPr>
      </w:pPr>
      <w:r>
        <w:rPr>
          <w:rFonts w:ascii="Times New Roman" w:cs="Times New Roman" w:eastAsia="Times New Roman" w:hAnsi="Times New Roman"/>
          <w:sz w:val="17"/>
          <w:szCs w:val="17"/>
          <w:color w:val="auto"/>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$8.8 million and $18.6 million for the three and six months ended June 30, 2025, respectively, and $10.0 million and</w:t>
      </w:r>
    </w:p>
    <w:p>
      <w:pPr>
        <w:spacing w:after="0" w:line="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$19.8 million for three and six months ended June 30, 2024, respectively. We intend to continue to make significant investments in research and development in the future.</w:t>
      </w:r>
    </w:p>
    <w:p>
      <w:pPr>
        <w:spacing w:after="0" w:line="45" w:lineRule="exact"/>
        <w:rPr>
          <w:sz w:val="20"/>
          <w:szCs w:val="20"/>
          <w:color w:val="auto"/>
        </w:rPr>
      </w:pPr>
    </w:p>
    <w:p>
      <w:pPr>
        <w:jc w:val="both"/>
        <w:ind w:firstLine="477"/>
        <w:spacing w:after="0" w:line="276" w:lineRule="auto"/>
        <w:rPr>
          <w:sz w:val="20"/>
          <w:szCs w:val="20"/>
          <w:color w:val="auto"/>
        </w:rPr>
      </w:pPr>
      <w:r>
        <w:rPr>
          <w:rFonts w:ascii="Times New Roman" w:cs="Times New Roman" w:eastAsia="Times New Roman" w:hAnsi="Times New Roman"/>
          <w:sz w:val="17"/>
          <w:szCs w:val="17"/>
          <w:color w:val="auto"/>
        </w:rPr>
        <w:t>We expect to continue to invest in our commercial infrastructure through hiring additional employees with strong scientific and technical backgrounds to support growth in our instrument sales as well as our planned expansion of reagents offerings and panel design capabilities. We also plan to continue to invest in sales, marketing and business development across the globe to drive commercialization of our products. We incurred sales and marketing expenses of</w:t>
      </w:r>
    </w:p>
    <w:p>
      <w:pPr>
        <w:spacing w:after="0" w:line="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$12.1 million and $24.6 million for the three and six months ended June 30, 2025, respectively, and $12.3 million and $24.8 million for three and six months ended June 30, 2024, respectively.</w:t>
      </w:r>
    </w:p>
    <w:p>
      <w:pPr>
        <w:spacing w:after="0" w:line="58"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Since our inception in 2014, we have financed our operations primarily through sales of our securities and revenue from the sale of our products and services.</w:t>
      </w:r>
    </w:p>
    <w:p>
      <w:pPr>
        <w:spacing w:after="0" w:line="98"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Our net loss was $5.6 million and $17.0 million for the three and six months ended June 30, 2025, respectively, and $10.4 million and $16.6 million for three and six months ended June 30, 2024, respectively. The change for the three and six months ended June 30, 2025 compared to the three and six months ended June 30, 2024 resulted primarily from a decrease in revenues and gross profit and an increase in operating expenses.</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expect our expenses will increase substantially in connection with our ongoing activities, as we:</w:t>
      </w:r>
    </w:p>
    <w:p>
      <w:pPr>
        <w:spacing w:after="0" w:line="111" w:lineRule="exact"/>
        <w:rPr>
          <w:sz w:val="20"/>
          <w:szCs w:val="20"/>
          <w:color w:val="auto"/>
        </w:rPr>
      </w:pPr>
    </w:p>
    <w:p>
      <w:pPr>
        <w:ind w:left="960" w:hanging="476"/>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processes, commercial infrastructure and supporting functions to scale our business and introduce new products and services;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research and development efforts;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geographically;</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defend our intellectual property; and</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complementary businesses, services, products or technologies.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 and future performance</w:t>
      </w:r>
    </w:p>
    <w:p>
      <w:pPr>
        <w:spacing w:after="0" w:line="113"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Quarterly Report on Form 10-Q.</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customer adoption</w:t>
      </w:r>
    </w:p>
    <w:p>
      <w:pPr>
        <w:spacing w:after="0" w:line="115"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We intend to continue increasing our workforce in line with our growth.</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revenues</w:t>
      </w:r>
    </w:p>
    <w:p>
      <w:pPr>
        <w:spacing w:after="0" w:line="115"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mix and gross margin</w:t>
      </w:r>
    </w:p>
    <w:p>
      <w:pPr>
        <w:spacing w:after="0" w:line="115" w:lineRule="exact"/>
        <w:rPr>
          <w:sz w:val="20"/>
          <w:szCs w:val="20"/>
          <w:color w:val="auto"/>
        </w:rPr>
      </w:pPr>
    </w:p>
    <w:p>
      <w:pPr>
        <w:jc w:val="both"/>
        <w:ind w:firstLine="477"/>
        <w:spacing w:after="0" w:line="267" w:lineRule="auto"/>
        <w:rPr>
          <w:sz w:val="20"/>
          <w:szCs w:val="20"/>
          <w:color w:val="auto"/>
        </w:rPr>
      </w:pPr>
      <w:r>
        <w:rPr>
          <w:rFonts w:ascii="Times New Roman" w:cs="Times New Roman" w:eastAsia="Times New Roman" w:hAnsi="Times New Roman"/>
          <w:sz w:val="17"/>
          <w:szCs w:val="17"/>
          <w:color w:val="auto"/>
        </w:rPr>
        <w:t>Our revenue is primarily derived from sales of our instruments and services with our instruments recognizing higher revenue and gross profit than our services. Although we expect sales of our instruments to continue to represent the largest percentage of our revenue in the future, we expect service revenue to increase as a percentage of our total revenue and our gross margins to experience a corresponding improvement as we grow our installed base and increase our focus on leveraging our fixed manufacturing and service overhead costs. Our sales in certain regions, particularly outside of the United States, are largely realized through third-party distribution partners that typically receive discounted prices, thus resulting in lower gross margins than those recognized by our direct sales organization. Furthermore, our instrument selling prices and gross margins may fluctuate in the future due to the impact of competing products entering the market and fluctuating foreign exchange rates and as we continue to introduce new products and reduce our production costs.</w:t>
      </w:r>
    </w:p>
    <w:p>
      <w:pPr>
        <w:spacing w:after="0" w:line="70"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In the near term, we expect the continued leveraging of fixed manufacturing and service overhead costs, optimization of our manufacturing processes, and material cost fluctuations to have the greatest impact on our gross margin.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into new markets</w:t>
      </w:r>
    </w:p>
    <w:p>
      <w:pPr>
        <w:spacing w:after="0" w:line="115"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We focus our research and development efforts on the greatest value-additive products to meet the growing and unmet needs of the research and clinical markets. We work closely with researchers, clinicians and scientists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w:t>
      </w:r>
    </w:p>
    <w:p>
      <w:pPr>
        <w:spacing w:after="0" w:line="76"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Our Northern Lights-CLC system received CE Marking under the European Union In Vitro Diagnostic Medical Devices Directive in September 2020 and was registered in the European Union in compliance with Regulation (EU) 2017/746 on In Vitro Diagnostic Medical Devices in November 2023. The Northern Lights-CLC system was also registered as a Class II In Vitro Diagnostic Medical Device in China. These registrations enable the Northern Lights-CLC system to be marketed for clinical use in China, the European Union and in other countries around the world that accept the Certification of Free Sale issued from an EU Competent Authority.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13"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We regularly review the following key business metrics to evaluate our business, measure our performance, identify trends affecting our business, formulate financial projections and make strategic decisions. We believe that the following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metrics are representative of our current business; however, we anticipate these will change or may be substituted for additional or different metrics as our business grows.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
        </w:trPr>
        <w:tc>
          <w:tcPr>
            <w:tcW w:w="34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239"/>
        </w:trPr>
        <w:tc>
          <w:tcPr>
            <w:tcW w:w="34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0"/>
                <w:szCs w:val="20"/>
                <w:color w:val="auto"/>
              </w:rPr>
            </w:pPr>
          </w:p>
        </w:tc>
        <w:tc>
          <w:tcPr>
            <w:tcW w:w="1000" w:type="dxa"/>
            <w:vAlign w:val="bottom"/>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280" w:type="dxa"/>
            <w:vAlign w:val="bottom"/>
          </w:tcPr>
          <w:p>
            <w:pPr>
              <w:spacing w:after="0"/>
              <w:rPr>
                <w:sz w:val="20"/>
                <w:szCs w:val="20"/>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Dollar Change</w:t>
            </w:r>
          </w:p>
        </w:tc>
      </w:tr>
      <w:tr>
        <w:trPr>
          <w:trHeight w:val="212"/>
        </w:trPr>
        <w:tc>
          <w:tcPr>
            <w:tcW w:w="3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 mix</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3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sales channel</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33,469</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34,549</w:t>
            </w:r>
          </w:p>
        </w:tc>
        <w:tc>
          <w:tcPr>
            <w:tcW w:w="80" w:type="dxa"/>
            <w:vAlign w:val="bottom"/>
          </w:tcPr>
          <w:p>
            <w:pPr>
              <w:spacing w:after="0"/>
              <w:rPr>
                <w:sz w:val="20"/>
                <w:szCs w:val="20"/>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63,439</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68,869</w:t>
            </w:r>
          </w:p>
        </w:tc>
        <w:tc>
          <w:tcPr>
            <w:tcW w:w="10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r>
      <w:tr>
        <w:trPr>
          <w:trHeight w:val="252"/>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channel</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45"/>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45,602</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87,059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2"/>
        </w:trPr>
        <w:tc>
          <w:tcPr>
            <w:tcW w:w="3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mix</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2"/>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Academia and government*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07"/>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Biotechnology, pharmaceutical,</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2"/>
        </w:trPr>
        <w:tc>
          <w:tcPr>
            <w:tcW w:w="3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distributor and contract research</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r>
      <w:tr>
        <w:trPr>
          <w:trHeight w:val="238"/>
        </w:trPr>
        <w:tc>
          <w:tcPr>
            <w:tcW w:w="34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organizations*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76"/>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Distributors typically sell to end customers identified in other customer categories.</w:t>
      </w:r>
    </w:p>
    <w:p>
      <w:pPr>
        <w:spacing w:after="0" w:line="107" w:lineRule="exact"/>
        <w:rPr>
          <w:sz w:val="20"/>
          <w:szCs w:val="20"/>
          <w:color w:val="auto"/>
        </w:rPr>
      </w:pPr>
    </w:p>
    <w:p>
      <w:pPr>
        <w:jc w:val="both"/>
        <w:ind w:firstLine="477"/>
        <w:spacing w:after="0" w:line="262" w:lineRule="auto"/>
        <w:rPr>
          <w:sz w:val="20"/>
          <w:szCs w:val="20"/>
          <w:color w:val="auto"/>
        </w:rPr>
      </w:pPr>
      <w:r>
        <w:rPr>
          <w:rFonts w:ascii="Times New Roman" w:cs="Times New Roman" w:eastAsia="Times New Roman" w:hAnsi="Times New Roman"/>
          <w:sz w:val="14"/>
          <w:szCs w:val="14"/>
          <w:color w:val="auto"/>
        </w:rPr>
        <w:t>*Subsequent to the issuance of the June 30, 2024 interim financial statements, management identified a misclassification error in the Company's historical interim financial statements for the second quarter of fiscal year 2024 relating to a $14.2 million misclassification in the disaggregation of revenue by customer mix for the six months ended June 30, 2024. This misclassification impacts only the previously issued historical interim financial statements for the second quarter of fiscal year 2024. There is no net impact on the total revenue for the three and six months ended June 30, 2024. The Company corrected the previously presented amounts for the six months ended June 30, 2024, and concluded the error was not material to the previously issued interim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Events and Uncertainties</w:t>
      </w:r>
    </w:p>
    <w:p>
      <w:pPr>
        <w:spacing w:after="0" w:line="2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business, results of operation and financial condition are dependent on both domestic and global macroeconomic conditions.</w:t>
      </w:r>
    </w:p>
    <w:p>
      <w:pPr>
        <w:spacing w:after="0" w:line="231" w:lineRule="exact"/>
        <w:rPr>
          <w:sz w:val="20"/>
          <w:szCs w:val="20"/>
          <w:color w:val="auto"/>
        </w:rPr>
      </w:pPr>
    </w:p>
    <w:p>
      <w:pPr>
        <w:ind w:firstLine="477"/>
        <w:spacing w:after="0" w:line="234" w:lineRule="auto"/>
        <w:rPr>
          <w:sz w:val="20"/>
          <w:szCs w:val="20"/>
          <w:color w:val="auto"/>
        </w:rPr>
      </w:pPr>
      <w:r>
        <w:rPr>
          <w:rFonts w:ascii="Times New Roman" w:cs="Times New Roman" w:eastAsia="Times New Roman" w:hAnsi="Times New Roman"/>
          <w:sz w:val="18"/>
          <w:szCs w:val="18"/>
          <w:color w:val="auto"/>
        </w:rPr>
        <w:t>Recent inflation trends may adversely affect our business and corresponding financial position and cash flows. Inflationary factors, such as increases in the cost of materials and supplies, labor and benefit costs and overhead costs may adversely affect our operating results. Although we do not believe that inflation has had a material impact on our financial position or results of operations to date, we may experience increases in the near future (especially if the rate of inflation increases) on our operating costs, including our labor costs and research and development costs, due to inflationary pressures as well as supply chain constraints, consequences associated with future public health crises, the ongoing conflict between Russia and Ukraine, conflict in the Middle East or liquidity concerns at, and failure of, banks and other financial institutions.</w:t>
      </w:r>
    </w:p>
    <w:p>
      <w:pPr>
        <w:spacing w:after="0" w:line="222"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Certain of our pharmaceutical and biotech customers based in the United States have been impacted by the difficult fundraising environment for small companies and generally high interest rates. We believe these factors contributed to longer sales cycles, which adversely impacted our operating results for the three months ended June 30, 2025 and may adversely affect our operating results in the future.</w:t>
      </w:r>
    </w:p>
    <w:p>
      <w:pPr>
        <w:spacing w:after="0" w:line="190"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7"/>
          <w:szCs w:val="17"/>
          <w:color w:val="auto"/>
        </w:rPr>
        <w:t>The Trump administration has made and continues to signal additional changes to existing U.S. trade policies, including imposing and announcing plans for tariffs on all U.S. trading partners including China, and renegotiating or potentially terminating existing bilateral and multi-lateral trade agreements. In response, certain foreign governments have announced or implemented retaliatory tariffs against U.S. goods and other non-tariff protectionist measures, such as procurement preferences or informal disincentives to engage with, purchase from or invest in U.S. entities, which may limit our ability to compete internationally and attract non-U.S. investment, employees, customers and suppliers. Although we cannot predict the ultimate extent to which the United States or other countries will impose quotas, duties, reciprocal tariffs, taxes, or other similar restrictions upon the import or export of our products, nor can we predict future trade policy or the terms of any renegotiated trade agreements and their impact on our business, the Trump administration’s imposition of tariffs as well as threatened and actual retaliatory tariffs against U.S. goods may have a negative impact on our revenue and costs in the future.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0" w:firstLine="477"/>
        <w:spacing w:after="0" w:line="244" w:lineRule="auto"/>
        <w:rPr>
          <w:sz w:val="20"/>
          <w:szCs w:val="20"/>
          <w:color w:val="auto"/>
        </w:rPr>
      </w:pPr>
      <w:r>
        <w:rPr>
          <w:rFonts w:ascii="Times New Roman" w:cs="Times New Roman" w:eastAsia="Times New Roman" w:hAnsi="Times New Roman"/>
          <w:sz w:val="18"/>
          <w:szCs w:val="18"/>
          <w:color w:val="auto"/>
        </w:rPr>
        <w:t>In addition, the new license and export controls announced by the U.S. government in January 2025 that impact exports of certain products and technology, including high-parameter and spectral flow cytometers and cell sorters and certain mass spectrometry equipment to certain countries, including China, may have a negative impact on our sales, manufacturing and research and development activities.</w:t>
      </w:r>
    </w:p>
    <w:p>
      <w:pPr>
        <w:spacing w:after="0" w:line="218"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Finally, changes in the U.S. National Institutes of Health (“NIH”) policy with respect to grants for academic research, specifically, the reduction in indirect cost reimbursement, has impacted and may continue to impact our revenue from academic and government customers in the near term.</w:t>
      </w:r>
    </w:p>
    <w:p>
      <w:pPr>
        <w:spacing w:after="0" w:line="177" w:lineRule="exact"/>
        <w:rPr>
          <w:sz w:val="20"/>
          <w:szCs w:val="20"/>
          <w:color w:val="auto"/>
        </w:rPr>
      </w:pPr>
    </w:p>
    <w:p>
      <w:pPr>
        <w:ind w:right="80" w:firstLine="477"/>
        <w:spacing w:after="0" w:line="259" w:lineRule="auto"/>
        <w:rPr>
          <w:sz w:val="20"/>
          <w:szCs w:val="20"/>
          <w:color w:val="auto"/>
        </w:rPr>
      </w:pPr>
      <w:r>
        <w:rPr>
          <w:rFonts w:ascii="Times New Roman" w:cs="Times New Roman" w:eastAsia="Times New Roman" w:hAnsi="Times New Roman"/>
          <w:sz w:val="18"/>
          <w:szCs w:val="18"/>
          <w:color w:val="auto"/>
        </w:rPr>
        <w:t>For a further discussion of trends, events, uncertainties and other factors that could impact our operating results, see the section titled “Risk Factors” in Item 1A of Part II in this Quarterly Report on Form 10-Q.</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Total revenue, net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currently generate our total revenue, net from product revenue and service revenue.</w:t>
      </w:r>
    </w:p>
    <w:p>
      <w:pPr>
        <w:spacing w:after="0" w:line="109" w:lineRule="exact"/>
        <w:rPr>
          <w:sz w:val="20"/>
          <w:szCs w:val="20"/>
          <w:color w:val="auto"/>
        </w:rPr>
      </w:pPr>
    </w:p>
    <w:p>
      <w:pPr>
        <w:jc w:val="both"/>
        <w:ind w:firstLine="477"/>
        <w:spacing w:after="0" w:line="256" w:lineRule="auto"/>
        <w:rPr>
          <w:sz w:val="20"/>
          <w:szCs w:val="20"/>
          <w:color w:val="auto"/>
        </w:rPr>
      </w:pPr>
      <w:r>
        <w:rPr>
          <w:rFonts w:ascii="Times New Roman" w:cs="Times New Roman" w:eastAsia="Times New Roman" w:hAnsi="Times New Roman"/>
          <w:sz w:val="18"/>
          <w:szCs w:val="18"/>
          <w:i w:val="1"/>
          <w:iCs w:val="1"/>
          <w:color w:val="auto"/>
        </w:rPr>
        <w:t>Product</w:t>
      </w:r>
      <w:r>
        <w:rPr>
          <w:rFonts w:ascii="Times New Roman" w:cs="Times New Roman" w:eastAsia="Times New Roman" w:hAnsi="Times New Roman"/>
          <w:sz w:val="18"/>
          <w:szCs w:val="18"/>
          <w:color w:val="auto"/>
        </w:rPr>
        <w:t>. Our product revenue primarily consists of sales of our instruments, including the Cytek Aurora, Northern Lights, Cytek Aurora Evo, Aurora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CS, Amnis and Guava systems, instrument accessories, such as loaders, and consumables, such as reagents. We offer multiple versions of our FSP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72" w:lineRule="exact"/>
        <w:rPr>
          <w:sz w:val="20"/>
          <w:szCs w:val="20"/>
          <w:color w:val="auto"/>
        </w:rPr>
      </w:pPr>
    </w:p>
    <w:p>
      <w:pPr>
        <w:jc w:val="both"/>
        <w:ind w:firstLine="477"/>
        <w:spacing w:after="0" w:line="261" w:lineRule="auto"/>
        <w:rPr>
          <w:sz w:val="20"/>
          <w:szCs w:val="20"/>
          <w:color w:val="auto"/>
        </w:rPr>
      </w:pP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Our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70"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We expect our revenue to increase in absolute dollars as we expand our sales organization and sales territories, broaden our customer base, and expand awareness of our products with new and existing customers. Our revenue was $45.6 million and $46.6 million for the three months ended June 30, 2025 and 2024, respectively, and $87.1 million and $91.5 million for the six months ended June 30, 2025 and 2024, respectively.</w:t>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Total cost of sales, gross profit and gross margin</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total cost of sales is comprised of product cost of sales and service cost of sales.</w:t>
      </w:r>
    </w:p>
    <w:p>
      <w:pPr>
        <w:spacing w:after="0" w:line="109" w:lineRule="exact"/>
        <w:rPr>
          <w:sz w:val="20"/>
          <w:szCs w:val="20"/>
          <w:color w:val="auto"/>
        </w:rPr>
      </w:pPr>
    </w:p>
    <w:p>
      <w:pPr>
        <w:jc w:val="both"/>
        <w:ind w:firstLine="47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Cost of sales associated with our products primarily consist of manufacturing-related costs incurred in the production process, inventory write-downs, warranty costs, third party royalty costs, personnel and related costs, costs of component materials, overhead, packaging and delivery and depreciation expense.</w:t>
      </w:r>
    </w:p>
    <w:p>
      <w:pPr>
        <w:spacing w:after="0" w:line="68" w:lineRule="exact"/>
        <w:rPr>
          <w:sz w:val="20"/>
          <w:szCs w:val="20"/>
          <w:color w:val="auto"/>
        </w:rPr>
      </w:pPr>
    </w:p>
    <w:p>
      <w:pPr>
        <w:jc w:val="both"/>
        <w:ind w:firstLine="477"/>
        <w:spacing w:after="0" w:line="276" w:lineRule="auto"/>
        <w:rPr>
          <w:sz w:val="20"/>
          <w:szCs w:val="20"/>
          <w:color w:val="auto"/>
        </w:rPr>
      </w:pP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Cost of sales associated with our services primarily consists of personnel and related costs, expenses related to product replacements,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updates and qualification validation of our products and depreciation expense.</w:t>
      </w:r>
    </w:p>
    <w:p>
      <w:pPr>
        <w:spacing w:after="0" w:line="57"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We expect our total cost of sales to increase in absolute dollars in future periods, corresponding to our anticipated growth in revenue and employee headcount to support our manufacturing, operations, field service team and support organizations.</w:t>
      </w:r>
    </w:p>
    <w:p>
      <w:pPr>
        <w:spacing w:after="0" w:line="58"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5" w:lineRule="exact"/>
        <w:rPr>
          <w:sz w:val="20"/>
          <w:szCs w:val="20"/>
          <w:color w:val="auto"/>
        </w:rPr>
      </w:pPr>
    </w:p>
    <w:p>
      <w:pPr>
        <w:jc w:val="both"/>
        <w:ind w:right="20" w:firstLine="477"/>
        <w:spacing w:after="0" w:line="274" w:lineRule="auto"/>
        <w:rPr>
          <w:sz w:val="20"/>
          <w:szCs w:val="20"/>
          <w:color w:val="auto"/>
        </w:rPr>
      </w:pPr>
      <w:r>
        <w:rPr>
          <w:rFonts w:ascii="Times New Roman" w:cs="Times New Roman" w:eastAsia="Times New Roman" w:hAnsi="Times New Roman"/>
          <w:sz w:val="18"/>
          <w:szCs w:val="18"/>
          <w:color w:val="auto"/>
        </w:rPr>
        <w:t>Our operating expenses are primarily comprised of research and development, sales and marketing, and general and administrative expenses, depreciation and amortization, and related overhead.</w:t>
      </w:r>
    </w:p>
    <w:p>
      <w:pPr>
        <w:spacing w:after="0" w:line="56" w:lineRule="exact"/>
        <w:rPr>
          <w:sz w:val="20"/>
          <w:szCs w:val="20"/>
          <w:color w:val="auto"/>
        </w:rPr>
      </w:pPr>
    </w:p>
    <w:p>
      <w:pPr>
        <w:jc w:val="both"/>
        <w:ind w:right="20" w:firstLine="477"/>
        <w:spacing w:after="0" w:line="276"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Our research and development expenses primarily consist of salaries, benefits, stock-based compensation costs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our research and development department, independent contractor costs, laboratory supplies, equipment maintenance and materials expenses.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efforts. Research and development expense may increase in absolute dollars in future periods due to our continuing investment in product development.</w:t>
      </w:r>
    </w:p>
    <w:p>
      <w:pPr>
        <w:spacing w:after="0" w:line="56" w:lineRule="exact"/>
        <w:rPr>
          <w:sz w:val="20"/>
          <w:szCs w:val="20"/>
          <w:color w:val="auto"/>
        </w:rPr>
      </w:pPr>
    </w:p>
    <w:p>
      <w:pPr>
        <w:jc w:val="both"/>
        <w:ind w:firstLine="477"/>
        <w:spacing w:after="0" w:line="261"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Our sales and marketing expenses consist primarily of salaries, benefits, and stock-based compensation costs for employees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department, sales commissions, marketing material costs, travel expenses and costs related to trade shows, trainings and various workshops. Sales and marketing expense may increase in absolute dollars in future periods.</w:t>
      </w:r>
    </w:p>
    <w:p>
      <w:pPr>
        <w:spacing w:after="0" w:line="68" w:lineRule="exact"/>
        <w:rPr>
          <w:sz w:val="20"/>
          <w:szCs w:val="20"/>
          <w:color w:val="auto"/>
        </w:rPr>
      </w:pPr>
    </w:p>
    <w:p>
      <w:pPr>
        <w:jc w:val="both"/>
        <w:ind w:firstLine="477"/>
        <w:spacing w:after="0" w:line="256"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primarily consist of salaries, benefits, and stock-based compensation costs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our executive, accounting and finance, legal and human resource functions, as well as professional services fees, such as consulting, audit, tax, legal, general corporate costs and allocated overhead expenses. We are focused on controlling our general and administrative expenses; however, these may increase in absolute dollars in future periods.</w:t>
      </w:r>
    </w:p>
    <w:p>
      <w:pPr>
        <w:spacing w:after="0" w:line="74"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We expect these expenses to vary from period to period as a percentage of revenue. As a result, our historical results of operations may not be indicative of our results of operations in future periods.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3" w:lineRule="exact"/>
        <w:rPr>
          <w:sz w:val="20"/>
          <w:szCs w:val="20"/>
          <w:color w:val="auto"/>
        </w:rPr>
      </w:pPr>
    </w:p>
    <w:p>
      <w:pPr>
        <w:jc w:val="both"/>
        <w:ind w:firstLine="477"/>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accretion of the present value of the litigation settlement liability. See Note 11 to our unaudited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consolidated financial statements included elsewhere in this Quarterly Report on Form 10-Q for further details regarding the settlement.</w:t>
      </w:r>
    </w:p>
    <w:p>
      <w:pPr>
        <w:spacing w:after="0" w:line="55" w:lineRule="exact"/>
        <w:rPr>
          <w:sz w:val="20"/>
          <w:szCs w:val="20"/>
          <w:color w:val="auto"/>
        </w:rPr>
      </w:pPr>
    </w:p>
    <w:p>
      <w:pPr>
        <w:jc w:val="both"/>
        <w:ind w:firstLine="477"/>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Our interest income consists primarily of interest earned on our cash and cash equivalents which are invested in cash deposits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market funds.</w:t>
      </w:r>
    </w:p>
    <w:p>
      <w:pPr>
        <w:spacing w:after="0" w:line="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Our other income (expense), net consists primarily of foreign exchange gains and losses.</w:t>
      </w:r>
    </w:p>
    <w:p>
      <w:pPr>
        <w:spacing w:after="0" w:line="1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5"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Our (benefit from) provision for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115"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unaudited interim consolidated financial statements and related notes included elsewhere in this Quarterly Report on Form 10-Q.</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and comprehensive loss data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0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Pr>
          <w:p>
            <w:pPr>
              <w:spacing w:after="0"/>
              <w:rPr>
                <w:sz w:val="18"/>
                <w:szCs w:val="18"/>
                <w:color w:val="auto"/>
              </w:rPr>
            </w:pPr>
          </w:p>
        </w:tc>
        <w:tc>
          <w:tcPr>
            <w:tcW w:w="322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4"/>
        </w:trPr>
        <w:tc>
          <w:tcPr>
            <w:tcW w:w="3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31,415</w:t>
            </w:r>
          </w:p>
        </w:tc>
        <w:tc>
          <w:tcPr>
            <w:tcW w:w="100" w:type="dxa"/>
            <w:vAlign w:val="bottom"/>
          </w:tcPr>
          <w:p>
            <w:pPr>
              <w:spacing w:after="0"/>
              <w:rPr>
                <w:sz w:val="21"/>
                <w:szCs w:val="21"/>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34,576</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59,525</w:t>
            </w:r>
          </w:p>
        </w:tc>
        <w:tc>
          <w:tcPr>
            <w:tcW w:w="100" w:type="dxa"/>
            <w:vAlign w:val="bottom"/>
          </w:tcPr>
          <w:p>
            <w:pPr>
              <w:spacing w:after="0"/>
              <w:rPr>
                <w:sz w:val="21"/>
                <w:szCs w:val="21"/>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68,698</w:t>
            </w:r>
          </w:p>
        </w:tc>
        <w:tc>
          <w:tcPr>
            <w:tcW w:w="0" w:type="dxa"/>
            <w:vAlign w:val="bottom"/>
          </w:tcPr>
          <w:p>
            <w:pPr>
              <w:spacing w:after="0"/>
              <w:rPr>
                <w:sz w:val="1"/>
                <w:szCs w:val="1"/>
                <w:color w:val="auto"/>
              </w:rPr>
            </w:pPr>
          </w:p>
        </w:tc>
      </w:tr>
      <w:tr>
        <w:trPr>
          <w:trHeight w:val="252"/>
        </w:trPr>
        <w:tc>
          <w:tcPr>
            <w:tcW w:w="3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w:t>
            </w:r>
          </w:p>
        </w:tc>
        <w:tc>
          <w:tcPr>
            <w:tcW w:w="0" w:type="dxa"/>
            <w:vAlign w:val="bottom"/>
          </w:tcPr>
          <w:p>
            <w:pPr>
              <w:spacing w:after="0"/>
              <w:rPr>
                <w:sz w:val="1"/>
                <w:szCs w:val="1"/>
                <w:color w:val="auto"/>
              </w:rPr>
            </w:pPr>
          </w:p>
        </w:tc>
      </w:tr>
      <w:tr>
        <w:trPr>
          <w:trHeight w:val="239"/>
        </w:trPr>
        <w:tc>
          <w:tcPr>
            <w:tcW w:w="38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net</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87,059</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0" w:type="dxa"/>
            <w:vAlign w:val="bottom"/>
          </w:tcPr>
          <w:p>
            <w:pPr>
              <w:spacing w:after="0"/>
              <w:rPr>
                <w:sz w:val="1"/>
                <w:szCs w:val="1"/>
                <w:color w:val="auto"/>
              </w:rPr>
            </w:pPr>
          </w:p>
        </w:tc>
      </w:tr>
      <w:tr>
        <w:trPr>
          <w:trHeight w:val="23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32,554</w:t>
            </w:r>
          </w:p>
        </w:tc>
        <w:tc>
          <w:tcPr>
            <w:tcW w:w="0" w:type="dxa"/>
            <w:vAlign w:val="bottom"/>
          </w:tcPr>
          <w:p>
            <w:pPr>
              <w:spacing w:after="0"/>
              <w:rPr>
                <w:sz w:val="1"/>
                <w:szCs w:val="1"/>
                <w:color w:val="auto"/>
              </w:rPr>
            </w:pPr>
          </w:p>
        </w:tc>
      </w:tr>
      <w:tr>
        <w:trPr>
          <w:trHeight w:val="252"/>
        </w:trPr>
        <w:tc>
          <w:tcPr>
            <w:tcW w:w="3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0" w:type="dxa"/>
            <w:vAlign w:val="bottom"/>
          </w:tcPr>
          <w:p>
            <w:pPr>
              <w:spacing w:after="0"/>
              <w:rPr>
                <w:sz w:val="1"/>
                <w:szCs w:val="1"/>
                <w:color w:val="auto"/>
              </w:rPr>
            </w:pPr>
          </w:p>
        </w:tc>
      </w:tr>
      <w:tr>
        <w:trPr>
          <w:trHeight w:val="239"/>
        </w:trPr>
        <w:tc>
          <w:tcPr>
            <w:tcW w:w="38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cost of sales</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43,028</w:t>
            </w:r>
          </w:p>
        </w:tc>
        <w:tc>
          <w:tcPr>
            <w:tcW w:w="0" w:type="dxa"/>
            <w:vAlign w:val="bottom"/>
          </w:tcPr>
          <w:p>
            <w:pPr>
              <w:spacing w:after="0"/>
              <w:rPr>
                <w:sz w:val="1"/>
                <w:szCs w:val="1"/>
                <w:color w:val="auto"/>
              </w:rPr>
            </w:pPr>
          </w:p>
        </w:tc>
      </w:tr>
      <w:tr>
        <w:trPr>
          <w:trHeight w:val="251"/>
        </w:trPr>
        <w:tc>
          <w:tcPr>
            <w:tcW w:w="3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48,449</w:t>
            </w:r>
          </w:p>
        </w:tc>
        <w:tc>
          <w:tcPr>
            <w:tcW w:w="0" w:type="dxa"/>
            <w:vAlign w:val="bottom"/>
          </w:tcPr>
          <w:p>
            <w:pPr>
              <w:spacing w:after="0"/>
              <w:rPr>
                <w:sz w:val="1"/>
                <w:szCs w:val="1"/>
                <w:color w:val="auto"/>
              </w:rPr>
            </w:pPr>
          </w:p>
        </w:tc>
      </w:tr>
      <w:tr>
        <w:trPr>
          <w:trHeight w:val="24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0" w:type="dxa"/>
            <w:vAlign w:val="bottom"/>
          </w:tcPr>
          <w:p>
            <w:pPr>
              <w:spacing w:after="0"/>
              <w:rPr>
                <w:sz w:val="1"/>
                <w:szCs w:val="1"/>
                <w:color w:val="auto"/>
              </w:rPr>
            </w:pPr>
          </w:p>
        </w:tc>
      </w:tr>
      <w:tr>
        <w:trPr>
          <w:trHeight w:val="252"/>
        </w:trPr>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0" w:type="dxa"/>
            <w:vAlign w:val="bottom"/>
          </w:tcPr>
          <w:p>
            <w:pPr>
              <w:spacing w:after="0"/>
              <w:rPr>
                <w:sz w:val="1"/>
                <w:szCs w:val="1"/>
                <w:color w:val="auto"/>
              </w:rPr>
            </w:pPr>
          </w:p>
        </w:tc>
      </w:tr>
      <w:tr>
        <w:trPr>
          <w:trHeight w:val="252"/>
        </w:trPr>
        <w:tc>
          <w:tcPr>
            <w:tcW w:w="3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23,102</w:t>
            </w:r>
          </w:p>
        </w:tc>
        <w:tc>
          <w:tcPr>
            <w:tcW w:w="0" w:type="dxa"/>
            <w:vAlign w:val="bottom"/>
          </w:tcPr>
          <w:p>
            <w:pPr>
              <w:spacing w:after="0"/>
              <w:rPr>
                <w:sz w:val="1"/>
                <w:szCs w:val="1"/>
                <w:color w:val="auto"/>
              </w:rPr>
            </w:pPr>
          </w:p>
        </w:tc>
      </w:tr>
      <w:tr>
        <w:trPr>
          <w:trHeight w:val="239"/>
        </w:trPr>
        <w:tc>
          <w:tcPr>
            <w:tcW w:w="38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67,709</w:t>
            </w:r>
          </w:p>
        </w:tc>
        <w:tc>
          <w:tcPr>
            <w:tcW w:w="0" w:type="dxa"/>
            <w:vAlign w:val="bottom"/>
          </w:tcPr>
          <w:p>
            <w:pPr>
              <w:spacing w:after="0"/>
              <w:rPr>
                <w:sz w:val="1"/>
                <w:szCs w:val="1"/>
                <w:color w:val="auto"/>
              </w:rPr>
            </w:pPr>
          </w:p>
        </w:tc>
      </w:tr>
      <w:tr>
        <w:trPr>
          <w:trHeight w:val="251"/>
        </w:trPr>
        <w:tc>
          <w:tcPr>
            <w:tcW w:w="3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0" w:type="dxa"/>
            <w:vAlign w:val="bottom"/>
          </w:tcPr>
          <w:p>
            <w:pPr>
              <w:spacing w:after="0"/>
              <w:rPr>
                <w:sz w:val="1"/>
                <w:szCs w:val="1"/>
                <w:color w:val="auto"/>
              </w:rPr>
            </w:pPr>
          </w:p>
        </w:tc>
      </w:tr>
      <w:tr>
        <w:trPr>
          <w:trHeight w:val="24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52"/>
        </w:trPr>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52"/>
        </w:trPr>
        <w:tc>
          <w:tcPr>
            <w:tcW w:w="3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39"/>
        </w:trPr>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0" w:type="dxa"/>
            <w:vAlign w:val="bottom"/>
          </w:tcPr>
          <w:p>
            <w:pPr>
              <w:spacing w:after="0"/>
              <w:rPr>
                <w:sz w:val="1"/>
                <w:szCs w:val="1"/>
                <w:color w:val="auto"/>
              </w:rPr>
            </w:pPr>
          </w:p>
        </w:tc>
      </w:tr>
      <w:tr>
        <w:trPr>
          <w:trHeight w:val="251"/>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0" w:type="dxa"/>
            <w:vAlign w:val="bottom"/>
          </w:tcPr>
          <w:p>
            <w:pPr>
              <w:spacing w:after="0"/>
              <w:rPr>
                <w:sz w:val="1"/>
                <w:szCs w:val="1"/>
                <w:color w:val="auto"/>
              </w:rPr>
            </w:pPr>
          </w:p>
        </w:tc>
      </w:tr>
      <w:tr>
        <w:trPr>
          <w:trHeight w:val="252"/>
        </w:trPr>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310"/>
        </w:trPr>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0" w:type="dxa"/>
            <w:vAlign w:val="bottom"/>
          </w:tcPr>
          <w:p>
            <w:pPr>
              <w:spacing w:after="0"/>
              <w:rPr>
                <w:sz w:val="1"/>
                <w:szCs w:val="1"/>
                <w:color w:val="auto"/>
              </w:rPr>
            </w:pPr>
          </w:p>
        </w:tc>
      </w:tr>
      <w:tr>
        <w:trPr>
          <w:trHeight w:val="219"/>
        </w:trPr>
        <w:tc>
          <w:tcPr>
            <w:tcW w:w="3880" w:type="dxa"/>
            <w:vAlign w:val="bottom"/>
            <w:tcBorders>
              <w:top w:val="single" w:sz="8" w:color="CCEEFF"/>
            </w:tcBorders>
            <w:gridSpan w:val="2"/>
          </w:tcPr>
          <w:p>
            <w:pPr>
              <w:ind w:left="20"/>
              <w:spacing w:after="0" w:line="192" w:lineRule="exact"/>
              <w:rPr>
                <w:sz w:val="20"/>
                <w:szCs w:val="20"/>
                <w:color w:val="auto"/>
              </w:rPr>
            </w:pPr>
            <w:r>
              <w:rPr>
                <w:rFonts w:ascii="Times New Roman" w:cs="Times New Roman" w:eastAsia="Times New Roman" w:hAnsi="Times New Roman"/>
                <w:sz w:val="18"/>
                <w:szCs w:val="18"/>
                <w:color w:val="auto"/>
              </w:rPr>
              <w:t>Net loss, basic and diluted</w:t>
            </w: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880" w:type="dxa"/>
            <w:vAlign w:val="bottom"/>
            <w:gridSpan w:val="2"/>
            <w:vMerge w:val="continue"/>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8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Weighted-average shares used in calculating net loss</w:t>
            </w:r>
          </w:p>
        </w:tc>
        <w:tc>
          <w:tcPr>
            <w:tcW w:w="4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126,934,294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131,440,486</w:t>
            </w:r>
          </w:p>
        </w:tc>
        <w:tc>
          <w:tcPr>
            <w:tcW w:w="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127,632,999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131,180,734</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basic</w:t>
            </w: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gridSpan w:val="2"/>
            <w:vMerge w:val="restart"/>
          </w:tcPr>
          <w:p>
            <w:pPr>
              <w:ind w:left="20"/>
              <w:spacing w:after="0" w:line="194" w:lineRule="exact"/>
              <w:rPr>
                <w:sz w:val="20"/>
                <w:szCs w:val="20"/>
                <w:color w:val="auto"/>
              </w:rPr>
            </w:pPr>
            <w:r>
              <w:rPr>
                <w:rFonts w:ascii="Times New Roman" w:cs="Times New Roman" w:eastAsia="Times New Roman" w:hAnsi="Times New Roman"/>
                <w:sz w:val="18"/>
                <w:szCs w:val="18"/>
                <w:color w:val="auto"/>
              </w:rPr>
              <w:t>Weighted-average shares used in calculating net loss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88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 share, diluted</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126,934,294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131,440,486</w:t>
            </w:r>
          </w:p>
        </w:tc>
        <w:tc>
          <w:tcPr>
            <w:tcW w:w="100" w:type="dxa"/>
            <w:vAlign w:val="bottom"/>
          </w:tcPr>
          <w:p>
            <w:pPr>
              <w:spacing w:after="0"/>
              <w:rPr>
                <w:sz w:val="20"/>
                <w:szCs w:val="20"/>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127,632,999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131,180,734</w:t>
            </w:r>
          </w:p>
        </w:tc>
        <w:tc>
          <w:tcPr>
            <w:tcW w:w="0" w:type="dxa"/>
            <w:vAlign w:val="bottom"/>
          </w:tcPr>
          <w:p>
            <w:pPr>
              <w:spacing w:after="0"/>
              <w:rPr>
                <w:sz w:val="1"/>
                <w:szCs w:val="1"/>
                <w:color w:val="auto"/>
              </w:rPr>
            </w:pPr>
          </w:p>
        </w:tc>
      </w:tr>
      <w:tr>
        <w:trPr>
          <w:trHeight w:val="25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tcPr>
          <w:p>
            <w:pPr>
              <w:spacing w:after="0"/>
              <w:rPr>
                <w:sz w:val="21"/>
                <w:szCs w:val="21"/>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100" w:type="dxa"/>
            <w:vAlign w:val="bottom"/>
          </w:tcPr>
          <w:p>
            <w:pPr>
              <w:spacing w:after="0"/>
              <w:rPr>
                <w:sz w:val="21"/>
                <w:szCs w:val="21"/>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0" w:type="dxa"/>
            <w:vAlign w:val="bottom"/>
          </w:tcPr>
          <w:p>
            <w:pPr>
              <w:spacing w:after="0"/>
              <w:rPr>
                <w:sz w:val="1"/>
                <w:szCs w:val="1"/>
                <w:color w:val="auto"/>
              </w:rPr>
            </w:pPr>
          </w:p>
        </w:tc>
      </w:tr>
      <w:tr>
        <w:trPr>
          <w:trHeight w:val="25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46"/>
        </w:trPr>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comprehensive loss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Total revenue, net</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0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20" w:type="dxa"/>
            <w:vAlign w:val="bottom"/>
          </w:tcPr>
          <w:p>
            <w:pPr>
              <w:spacing w:after="0"/>
              <w:rPr>
                <w:sz w:val="16"/>
                <w:szCs w:val="16"/>
                <w:color w:val="auto"/>
              </w:rPr>
            </w:pPr>
          </w:p>
        </w:tc>
        <w:tc>
          <w:tcPr>
            <w:tcW w:w="122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360" w:type="dxa"/>
            <w:vAlign w:val="bottom"/>
            <w:vMerge w:val="continue"/>
          </w:tcPr>
          <w:p>
            <w:pPr>
              <w:spacing w:after="0"/>
              <w:rPr>
                <w:sz w:val="15"/>
                <w:szCs w:val="15"/>
                <w:color w:val="auto"/>
              </w:rPr>
            </w:pPr>
          </w:p>
        </w:tc>
        <w:tc>
          <w:tcPr>
            <w:tcW w:w="9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9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084060" cy="168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84060" cy="16827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31,415</w:t>
            </w:r>
          </w:p>
        </w:tc>
        <w:tc>
          <w:tcPr>
            <w:tcW w:w="80" w:type="dxa"/>
            <w:vAlign w:val="bottom"/>
          </w:tcPr>
          <w:p>
            <w:pPr>
              <w:spacing w:after="0"/>
              <w:rPr>
                <w:sz w:val="20"/>
                <w:szCs w:val="20"/>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34,576</w:t>
            </w:r>
          </w:p>
        </w:tc>
        <w:tc>
          <w:tcPr>
            <w:tcW w:w="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(3,161)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0"/>
                <w:szCs w:val="20"/>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59,525</w:t>
            </w:r>
          </w:p>
        </w:tc>
        <w:tc>
          <w:tcPr>
            <w:tcW w:w="100" w:type="dxa"/>
            <w:vAlign w:val="bottom"/>
          </w:tcPr>
          <w:p>
            <w:pPr>
              <w:spacing w:after="0"/>
              <w:rPr>
                <w:sz w:val="20"/>
                <w:szCs w:val="20"/>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68,698</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(9,173)</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58"/>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14,187</w:t>
            </w:r>
          </w:p>
        </w:tc>
        <w:tc>
          <w:tcPr>
            <w:tcW w:w="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12,041</w:t>
            </w:r>
          </w:p>
        </w:tc>
        <w:tc>
          <w:tcPr>
            <w:tcW w:w="3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2,146</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27,534</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22,779</w:t>
            </w:r>
          </w:p>
        </w:tc>
        <w:tc>
          <w:tcPr>
            <w:tcW w:w="3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4,755</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206"/>
        </w:trPr>
        <w:tc>
          <w:tcPr>
            <w:tcW w:w="338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Total revenue, net</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45,602</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46,617</w:t>
            </w:r>
          </w:p>
        </w:tc>
        <w:tc>
          <w:tcPr>
            <w:tcW w:w="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87,059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91,477</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(4,418)</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Total revenue, net decreased by $1.0 million to $45.6 million, or 2%, for the three months ended June 30, 2025 as compared to the three months ended June 30, 2024. Total revenue, net decreased by $4.4 million to $87.1 million, or 5%, for the six months ended June 30, 2025 as compared to the six months ended June 30, 2024.</w:t>
      </w:r>
    </w:p>
    <w:p>
      <w:pPr>
        <w:spacing w:after="0" w:line="70"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Product revenue decreased by $3.2 million to $31.4 million, or 9%, for the three months ended June 30, 2025, as compared to the three months ended June 30, 2024. The lower revenue for the three months ended June 30, 2025 was primarily due to lower revenue in EMEA and APAC. Product revenue decreased by $9.2 million to $59.5 million, or 13%, for the six months ended June 30, 2025, as compared to the six months ended June 30, 2024. The lower revenue for the six months ended June 30, 2025 was primarily due to lower revenue in EMEA and the United States, offset partially by growth in the APAC market.</w:t>
      </w:r>
    </w:p>
    <w:p>
      <w:pPr>
        <w:spacing w:after="0" w:line="76"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Service revenue increased $2.1 million to $14.2 million, or 18%, and $4.8 million to $27.5 million, or 21%, for the three and six months ended June 30, 2025, respectively, as compared to the three and six months ended June 30, 2024. The increase was primarily due to continued growth of the installed base with the related increase in service contracts and maintenance activity.</w:t>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Total cost of sales, gross profit and gross margin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right"/>
              <w:ind w:right="169"/>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5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jc w:val="right"/>
              <w:ind w:right="229"/>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 except percentages)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00" w:type="dxa"/>
            <w:vAlign w:val="bottom"/>
          </w:tcPr>
          <w:p>
            <w:pPr>
              <w:jc w:val="right"/>
              <w:ind w:right="312"/>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20" w:type="dxa"/>
            <w:vAlign w:val="bottom"/>
          </w:tcPr>
          <w:p>
            <w:pPr>
              <w:jc w:val="right"/>
              <w:ind w:right="332"/>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19"/>
        </w:trPr>
        <w:tc>
          <w:tcPr>
            <w:tcW w:w="30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Product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14,921</w:t>
            </w:r>
          </w:p>
        </w:tc>
        <w:tc>
          <w:tcPr>
            <w:tcW w:w="100" w:type="dxa"/>
            <w:vAlign w:val="bottom"/>
          </w:tcPr>
          <w:p>
            <w:pPr>
              <w:spacing w:after="0"/>
              <w:rPr>
                <w:sz w:val="18"/>
                <w:szCs w:val="18"/>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15,808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8"/>
                <w:szCs w:val="18"/>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30,450</w:t>
            </w:r>
          </w:p>
        </w:tc>
        <w:tc>
          <w:tcPr>
            <w:tcW w:w="100" w:type="dxa"/>
            <w:vAlign w:val="bottom"/>
          </w:tcPr>
          <w:p>
            <w:pPr>
              <w:spacing w:after="0"/>
              <w:rPr>
                <w:sz w:val="18"/>
                <w:szCs w:val="18"/>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32,554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4"/>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1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Service</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6,814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5,373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12,585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10,474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9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21,735</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21,181</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43,035</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43,028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23,867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25,436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44,024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48,449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Total cost of sales increased by $0.6 million to $21.7 million, or 3%, for the three months ended June 30, 2025 as compared to the three months ended June 30, 2024. Total cost of sales was flat at $43.0 million for the six months ended June 30, 2025 as compared to the six months ended June 30, 2024. The increase in cost of sales for the three months ended June 30, 2025 was driven primarily by the increase in service cost of sales associated with higher parts and labor costs required to support higher service revenue. The higher service cost of sales was offset partially by lower product cost of sale primarily related to lower product revenue in the three months ended June 30, 2025.</w:t>
      </w:r>
    </w:p>
    <w:p>
      <w:pPr>
        <w:spacing w:after="0" w:line="76"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Total gross profit margin was 52% and 55% of total revenue for the three months ended June 30, 2025 and 2024, respectively, and 51% and 53% for the six months ended June 30, 2025 and 2024, respectively. Gross profit margin declined due to higher cost of sales driven by the factors described above. Gross profit margin depends on many factors, including market conditions that might affect our pricing; services; product mix changes between instrument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configurations; excess and obsolete inventories; our cost structure for manufacturing operations relative to volume, freight costs and product support.</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100" w:type="dxa"/>
            <w:vAlign w:val="bottom"/>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68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10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680" w:type="dxa"/>
            <w:vAlign w:val="bottom"/>
          </w:tcPr>
          <w:p>
            <w:pPr>
              <w:spacing w:after="0"/>
              <w:rPr>
                <w:sz w:val="14"/>
                <w:szCs w:val="14"/>
                <w:color w:val="auto"/>
              </w:rPr>
            </w:pPr>
          </w:p>
        </w:tc>
        <w:tc>
          <w:tcPr>
            <w:tcW w:w="1200" w:type="dxa"/>
            <w:vAlign w:val="bottom"/>
          </w:tcPr>
          <w:p>
            <w:pPr>
              <w:jc w:val="right"/>
              <w:ind w:right="678"/>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30"/>
        </w:trPr>
        <w:tc>
          <w:tcPr>
            <w:tcW w:w="3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9"/>
        </w:trPr>
        <w:tc>
          <w:tcPr>
            <w:tcW w:w="3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 except percentages)</w:t>
            </w: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160" w:type="dxa"/>
            <w:vAlign w:val="bottom"/>
          </w:tcPr>
          <w:p>
            <w:pPr>
              <w:jc w:val="right"/>
              <w:ind w:right="338"/>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5"/>
                <w:szCs w:val="15"/>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0" w:type="dxa"/>
            <w:vAlign w:val="bottom"/>
          </w:tcPr>
          <w:p>
            <w:pPr>
              <w:jc w:val="right"/>
              <w:ind w:right="338"/>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084060" cy="160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4060" cy="16002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Product: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31,415</w:t>
            </w:r>
          </w:p>
        </w:tc>
        <w:tc>
          <w:tcPr>
            <w:tcW w:w="80" w:type="dxa"/>
            <w:vAlign w:val="bottom"/>
          </w:tcPr>
          <w:p>
            <w:pPr>
              <w:spacing w:after="0"/>
              <w:rPr>
                <w:sz w:val="18"/>
                <w:szCs w:val="18"/>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34,576</w:t>
            </w:r>
          </w:p>
        </w:tc>
        <w:tc>
          <w:tcPr>
            <w:tcW w:w="100" w:type="dxa"/>
            <w:vAlign w:val="bottom"/>
          </w:tcPr>
          <w:p>
            <w:pPr>
              <w:spacing w:after="0"/>
              <w:rPr>
                <w:sz w:val="18"/>
                <w:szCs w:val="18"/>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8"/>
                <w:szCs w:val="18"/>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59,525</w:t>
            </w:r>
          </w:p>
        </w:tc>
        <w:tc>
          <w:tcPr>
            <w:tcW w:w="10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68,698</w:t>
            </w:r>
          </w:p>
        </w:tc>
        <w:tc>
          <w:tcPr>
            <w:tcW w:w="100" w:type="dxa"/>
            <w:vAlign w:val="bottom"/>
          </w:tcPr>
          <w:p>
            <w:pPr>
              <w:spacing w:after="0"/>
              <w:rPr>
                <w:sz w:val="18"/>
                <w:szCs w:val="18"/>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
        </w:trPr>
        <w:tc>
          <w:tcPr>
            <w:tcW w:w="3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9"/>
        </w:trPr>
        <w:tc>
          <w:tcPr>
            <w:tcW w:w="3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14,921</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15,808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30,450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32,554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4"/>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gross profit</w:t>
            </w:r>
          </w:p>
        </w:tc>
        <w:tc>
          <w:tcPr>
            <w:tcW w:w="9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16,494</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18,768</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29,075</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36,144</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(7,069)</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4"/>
        </w:trPr>
        <w:tc>
          <w:tcPr>
            <w:tcW w:w="3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65"/>
        </w:trPr>
        <w:tc>
          <w:tcPr>
            <w:tcW w:w="3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19"/>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14"/>
        </w:trPr>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14,187</w:t>
            </w:r>
          </w:p>
        </w:tc>
        <w:tc>
          <w:tcPr>
            <w:tcW w:w="80" w:type="dxa"/>
            <w:vAlign w:val="bottom"/>
          </w:tcPr>
          <w:p>
            <w:pPr>
              <w:spacing w:after="0"/>
              <w:rPr>
                <w:sz w:val="18"/>
                <w:szCs w:val="18"/>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12,041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8"/>
                <w:szCs w:val="18"/>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27,534</w:t>
            </w:r>
          </w:p>
        </w:tc>
        <w:tc>
          <w:tcPr>
            <w:tcW w:w="10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22,779</w:t>
            </w:r>
          </w:p>
        </w:tc>
        <w:tc>
          <w:tcPr>
            <w:tcW w:w="100" w:type="dxa"/>
            <w:vAlign w:val="bottom"/>
          </w:tcPr>
          <w:p>
            <w:pPr>
              <w:spacing w:after="0"/>
              <w:rPr>
                <w:sz w:val="18"/>
                <w:szCs w:val="18"/>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24"/>
        </w:trPr>
        <w:tc>
          <w:tcPr>
            <w:tcW w:w="3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9"/>
        </w:trPr>
        <w:tc>
          <w:tcPr>
            <w:tcW w:w="3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6,814</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5,373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12,585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10,474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8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gross profit</w:t>
            </w:r>
          </w:p>
        </w:tc>
        <w:tc>
          <w:tcPr>
            <w:tcW w:w="9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7,373</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6,668</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14,949</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12,305</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2,644</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22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
        </w:trPr>
        <w:tc>
          <w:tcPr>
            <w:tcW w:w="3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81" w:lineRule="exact"/>
        <w:rPr>
          <w:sz w:val="20"/>
          <w:szCs w:val="20"/>
          <w:color w:val="auto"/>
        </w:rPr>
      </w:pPr>
    </w:p>
    <w:p>
      <w:pPr>
        <w:ind w:right="120" w:firstLine="477"/>
        <w:spacing w:after="0" w:line="253" w:lineRule="auto"/>
        <w:rPr>
          <w:sz w:val="20"/>
          <w:szCs w:val="20"/>
          <w:color w:val="auto"/>
        </w:rPr>
      </w:pPr>
      <w:r>
        <w:rPr>
          <w:rFonts w:ascii="Times New Roman" w:cs="Times New Roman" w:eastAsia="Times New Roman" w:hAnsi="Times New Roman"/>
          <w:sz w:val="18"/>
          <w:szCs w:val="18"/>
          <w:color w:val="auto"/>
        </w:rPr>
        <w:t>Product revenue for the three and six months ended June 30, 2025 decreased by 9% and 13%, respectively, as compared to the three and six months ended June 30, 2024. Product cost of sales for the three and six months ended June 30, 2025 decreased by 6% and 6%, respectively, as compared to the same period in 2024. Product gross profit for the three and six months ended June 30, 2025 decreased 12% and 20%, respectively, as compared to the three and six months ended June 30, 2024. The lower product gross profit margins in the three and six months ended June 30, 2025 compared to the three and six months ended June 30, 2024 were driven primarily by lower product revenue resulting in lower fixed cost absorption.</w:t>
      </w:r>
    </w:p>
    <w:p>
      <w:pPr>
        <w:spacing w:after="0" w:line="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Service revenue for the three and six months ended June 30, 2025 increased 18% and 21%, respectively, as compared to the three and six months ended</w:t>
      </w:r>
    </w:p>
    <w:p>
      <w:pPr>
        <w:spacing w:after="0" w:line="5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June 30, 2024. Service cost of sales for the three and six months ended June 30, 2025 increased by 27% and 20%, respectively, as compared to the same period in 2024. Service gross profit for the three and six months ended June 30, 2025 increased 11% and 21%, respectively, as compared to the three and six months ended June 30, 2024. In the three months ended June 30, 2025, service gross margins declined compared to the three months ended June 30, 2024 due to higher service materials costs.</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6"/>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18,550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$8.8 million and $18.6 million for the three and six months ended June 30, 2025, respectively, as compared to $10.0 million and $19.8 million for the three and six months ended June 30, 2024, respectively. The decrease in research and development expenses for both the three and six months ended June 30, 2025 compared to research and development expenses for the three and six months ended June 30, 2024 was primarily due to lower headcount and engineering expenses.</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1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12,134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477"/>
        <w:spacing w:after="0" w:line="320" w:lineRule="auto"/>
        <w:rPr>
          <w:sz w:val="20"/>
          <w:szCs w:val="20"/>
          <w:color w:val="auto"/>
        </w:rPr>
      </w:pPr>
      <w:r>
        <w:rPr>
          <w:rFonts w:ascii="Times New Roman" w:cs="Times New Roman" w:eastAsia="Times New Roman" w:hAnsi="Times New Roman"/>
          <w:sz w:val="18"/>
          <w:szCs w:val="18"/>
          <w:color w:val="auto"/>
        </w:rPr>
        <w:t>Sales and marketing expenses were $12.1 million and $24.6 million for the three and six months ended June 30, 2025, respectively, as compared to $12.3 million and $24.8 million for the three and six months ended June 30, 2024,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1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13,531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16 %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bl>
    <w:p>
      <w:pPr>
        <w:spacing w:after="0" w:line="353"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were $13.5 million and $26.4 million for the three and six months ended June 30, 2025, respectively, as compared to $11.7 million and $23.1 million for the three and six months ended June 30, 2024, respectively. The increase of $1.8 million and $3.3 million in general and administrative expenses for the three and six months ended June 30, 2025 as compared to the three and six months ended June 30, 2024 was primarily due to ongoing patent litigation expenses incurred in 2025.</w:t>
      </w:r>
    </w:p>
    <w:p>
      <w:pPr>
        <w:spacing w:after="0" w:line="75"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While we are focused on controlling our general and administrative expenses, these may increase in absolute dollars in future periods to provide the infrastructure necessary to support the growth of the business.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30,</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1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209 %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24"/>
        </w:trPr>
        <w:tc>
          <w:tcPr>
            <w:tcW w:w="3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Interest expense was $0.4 million and $0.7 million for the three and six months ended June 30, 2025, respectively, as compared to $0.1 million and $0.6 million for the three and six months ended June 30, 2024, respectively. The increase in interest expense was mainly due to the adjustment to the settlement liability related to the settlement agreement with Becton, Dickinson and Company (“BD”). See Note 11 to our unaudited interim consolidated financial statements included elsewhere in this Quarterly Report on Form 10-Q for further details.</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11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Interest income was $0.6 million and $1.1 million for the three and six months ended June 30, 2025, respectively, as compared to $1.4 million and $2.8 million for the three and six months ended June 30, 2024, respectively. The decrease in interest income was the result of lower average balance of cash and cash equivalents and short-term investments as compared to the three and six months ended June 30, 2024 due to the transfer of funds from cash accounts to marketable securities accounts, the income from which is classified as investment income, included in Other income, net, rather than interest income, and a lower interest rate environment.</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11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6185 %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717 %</w:t>
            </w:r>
          </w:p>
        </w:tc>
        <w:tc>
          <w:tcPr>
            <w:tcW w:w="0" w:type="dxa"/>
            <w:vAlign w:val="bottom"/>
          </w:tcPr>
          <w:p>
            <w:pPr>
              <w:spacing w:after="0"/>
              <w:rPr>
                <w:sz w:val="1"/>
                <w:szCs w:val="1"/>
                <w:color w:val="auto"/>
              </w:rPr>
            </w:pPr>
          </w:p>
        </w:tc>
      </w:tr>
      <w:tr>
        <w:trPr>
          <w:trHeight w:val="24"/>
        </w:trPr>
        <w:tc>
          <w:tcPr>
            <w:tcW w:w="3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Other income, net, was $3.7 million and $7.2 million for the three and six months ended June 30, 2025, respectively, as compared to other income, net of $0.1 million and $0.9 million for the three and six months ended June 30, 2024, respectively. The increase in other income was primarily driven by an increase in realized and unrealized foreign exchange gains and movement of cash from interest bearing accounts to investment accounts.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11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3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24"/>
        </w:trPr>
        <w:tc>
          <w:tcPr>
            <w:tcW w:w="3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20" w:firstLine="477"/>
        <w:spacing w:after="0" w:line="250" w:lineRule="auto"/>
        <w:rPr>
          <w:sz w:val="20"/>
          <w:szCs w:val="20"/>
          <w:color w:val="auto"/>
        </w:rPr>
      </w:pPr>
      <w:r>
        <w:rPr>
          <w:rFonts w:ascii="Times New Roman" w:cs="Times New Roman" w:eastAsia="Times New Roman" w:hAnsi="Times New Roman"/>
          <w:sz w:val="18"/>
          <w:szCs w:val="18"/>
          <w:color w:val="auto"/>
        </w:rPr>
        <w:t>Benefit from income taxes was $1.2 million and $1.1 million for the three and six months ended June 30, 2025, respectively, as compared to an income taxes expense of $3.2 million and $0.4 million for the three and six months ended June 30, 2024, respectively. The net decrease of $4.4 million for the three months ended June 30, 2025 was primarily due to higher tax expense in the quarter ended June 30, 2024, which was driven by reversal of a tax benefit from the first quarter of 2024, which did not reoccur in the current quarter, and a higher effective tax rate due to the geographic mix of worldwide profit and losses. Benefit from income tax expense was $1.1 million for the six months ended June 30, 2025, as compared to an income taxes expense of $0.4 million for the six months ended June 30, 2024. The net decrease of $1.5 million for the six months ended June 30, 2025 was primarily due to a higher effective tax rate due to the geographic mix of worldwide profit and losses.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5"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To date, our primary sources of capital have been through sales of our securities and revenue from the sale of our products and services. As of June 30, 2025 and December 31, 2024, we had approximately $262.0 million and $277.9 million, respectively, in cash and cash equivalents and short term investments, which were primarily held in U.S. short-term bank deposit accounts, money market funds, U.S. Treasury notes, Federal agency security notes, and short term commercial paper.</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Funding and material cash requirements</w:t>
      </w:r>
    </w:p>
    <w:p>
      <w:pPr>
        <w:spacing w:after="0" w:line="115"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spacing w:after="0" w:line="81"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We currently anticipate making additional capital expenditures during the next 12 months, which is expected to primarily include equipment to be used for manufacturing and investment in research and development.</w:t>
      </w:r>
    </w:p>
    <w:p>
      <w:pPr>
        <w:spacing w:after="0" w:line="58"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In addition, we lease certain office facilities under operating lease arrangements that expire on various dates through fiscal year 2029. Under the terms of the leases, we are responsible for certain expenses related to operations, maintenance, repairs and management fees. Future minimum lease payments under non-cancelable operating leases totaled $22.1 million as of June 30, 2025.</w:t>
      </w:r>
    </w:p>
    <w:p>
      <w:pPr>
        <w:spacing w:after="0" w:line="70"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5"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our securities. In July 2021, we completed our IPO, which resulted in net proceeds to us of approximately $215.7 million. We have also benefited from operating cash flows from the sale of our products and services.</w:t>
      </w:r>
    </w:p>
    <w:p>
      <w:pPr>
        <w:spacing w:after="0" w:line="58"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On August 26, 2022, we entered into a sales agreement (the “Sales Agreement”) with Piper Sandler &amp; Co. (“Piper”) as sales agent to sell from time to time up to $150.0 million of our common stock through an “at the market” offering program. To date, we have not made any sales of common stock pursuant to the Sales Agreement. The securities in this transaction were offered pursuant to an automatic shelf registration statement on Form S-3ASR (File No. 333-267118) that was filed with the SEC on August 26, 2022.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4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5"/>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w:t>
            </w:r>
          </w:p>
        </w:tc>
      </w:tr>
      <w:tr>
        <w:trPr>
          <w:trHeight w:val="258"/>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r>
      <w:tr>
        <w:trPr>
          <w:trHeight w:val="24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52"/>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r>
      <w:tr>
        <w:trPr>
          <w:trHeight w:val="24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w:t>
            </w:r>
          </w:p>
        </w:tc>
      </w:tr>
      <w:tr>
        <w:trPr>
          <w:trHeight w:val="26"/>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5"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2025, was $0.02 million, which included a net loss of $17.0 million, an increase in deferred income taxes of $2.4 million, and an increase in loss on investments accretion and amortization, net of $3.1 million. Additionally, there was an increase of $5.1 million in inventories and a decrease of operating lease liabilities of $2.2 million, a decrease in legal settlement liability of $0.6 million, and an increase in prepaid expenses and other assets of $0.4 million. Cash used in operating activities during the period was partially offset by the non-cash provision for stock-based compensation expense, depreciation and amortization, amortization of right-of-use assets, and excess and obsolete inventory of $13.4 million, $3.8 million, $2.1 million, and $0.3 million, respectively. Additionally, trade accounts receivable decreased by $7.1 million due to seasonality, with our first quarter typically being lower than our fourth quarter, an increase in deferred revenue of $1.6 million, and an increase in trade accounts payable of $1.2 million.</w:t>
      </w:r>
    </w:p>
    <w:p>
      <w:pPr>
        <w:spacing w:after="0" w:line="79"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2024 was $10.2 million due to the non-cash provision for stock-based compensation expense, depreciation and amortization, excess and obsolete inventory and amortization of right-of-use assets of $12.8 million, $3.5 million, $1.0 million, and $1.4 million, respectively; partially offset by a gain on investments, accretion and amortization, net of $2.4 million. Additionally, there was a decrease of inventories of $9.2 million and a decrease of trade accounts receivable of $10.2 million due to seasonality with our first quarter typically being lower than our fourth quarter due to marketing campaign closing activity. These were partially offset by usage of cash which included a net loss of $16.6 million and an increase in accrued expenses and other liabilities of $9.4 million, and an increase in prepaid expenses and other assets of $0.5 million.</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5"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2025 was $7.0 million driven by purchase of marketable securities of $141.4 million, and purchase of property and equipment of approximately $2.5 million, partially offset by proceeds from maturities of marketable securities of $136.9 million.</w:t>
      </w:r>
    </w:p>
    <w:p>
      <w:pPr>
        <w:spacing w:after="0" w:line="70"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2024 was $3.7 million driven by purchases of marketable securities of $114.0 million, and the purchase of fixed assets and intangibles of approximately $1.6 million. This was partially offset by the proceeds from maturities of marketable securities of $112.0 million.</w:t>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5"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2025 was $14.1 million, driven by the payments for repurchase of shares of $15.1 million and repayment of loan of $1.7 million, partially offset by the proceeds from a line of credit of $2.1 million.</w:t>
      </w:r>
    </w:p>
    <w:p>
      <w:pPr>
        <w:spacing w:after="0" w:line="58"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2024 was $0.1 million, driven by the payments for the repurchase of share of $2.7 million. This was partially offset by the proceeds from a line of credit of $1.4 million and the proceeds from the issuance of common stock under employee stock plans of $0.7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3" w:lineRule="exact"/>
        <w:rPr>
          <w:sz w:val="20"/>
          <w:szCs w:val="20"/>
          <w:color w:val="auto"/>
        </w:rPr>
      </w:pPr>
    </w:p>
    <w:p>
      <w:pPr>
        <w:jc w:val="both"/>
        <w:ind w:firstLine="491"/>
        <w:spacing w:after="0" w:line="274" w:lineRule="auto"/>
        <w:rPr>
          <w:sz w:val="20"/>
          <w:szCs w:val="20"/>
          <w:color w:val="auto"/>
        </w:rPr>
      </w:pPr>
      <w:r>
        <w:rPr>
          <w:rFonts w:ascii="Times New Roman" w:cs="Times New Roman" w:eastAsia="Times New Roman" w:hAnsi="Times New Roman"/>
          <w:sz w:val="18"/>
          <w:szCs w:val="18"/>
          <w:color w:val="auto"/>
        </w:rPr>
        <w:t>During the six months ended June 30, 2025, there were no material changes to our contractual obligations and commitments from those described under “Management’s Discussion and Analysis of Financial Condition” which is contained in our Form 10-K and filed with the SEC on February 28,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13"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 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are different assumptions and conditions. A summary of our critical accounting policies is presented in our audited financial statements and notes thereto as of and for the year ended December 31, 2024 included in our Annual Report on Form 10-K filed with the SEC on February 28, 2025. There were no material changes to our critical accounting policies during the three months ended June 30, 2025.</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1" w:lineRule="exact"/>
        <w:rPr>
          <w:sz w:val="20"/>
          <w:szCs w:val="20"/>
          <w:color w:val="auto"/>
        </w:rPr>
      </w:pPr>
    </w:p>
    <w:p>
      <w:pPr>
        <w:jc w:val="both"/>
        <w:ind w:firstLine="477"/>
        <w:spacing w:after="0" w:line="261"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interim consolidated financial statements included in Part I, Item 1, of this Quarterly Report on Form 10-Q, which information is incorporated herein by reference.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3" w:lineRule="exact"/>
        <w:rPr>
          <w:sz w:val="20"/>
          <w:szCs w:val="20"/>
          <w:color w:val="auto"/>
        </w:rPr>
      </w:pPr>
    </w:p>
    <w:p>
      <w:pPr>
        <w:jc w:val="both"/>
        <w:ind w:firstLine="477"/>
        <w:spacing w:after="0" w:line="304" w:lineRule="auto"/>
        <w:rPr>
          <w:sz w:val="20"/>
          <w:szCs w:val="20"/>
          <w:color w:val="auto"/>
        </w:rPr>
      </w:pPr>
      <w:r>
        <w:rPr>
          <w:rFonts w:ascii="Times New Roman" w:cs="Times New Roman" w:eastAsia="Times New Roman" w:hAnsi="Times New Roman"/>
          <w:sz w:val="17"/>
          <w:szCs w:val="17"/>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5"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condition represents the potential loss arising from adverse changes in interest rates or exchange rates. As of June 30, 2025, we had approximately $262 million in cash and cash equivalents and short-term investments, which were primarily held in U.S. short-term bank deposit accounts, money market funds, U.S. Treasury notes, Federal agency security notes, and short-term commercial paper. The primary objective of our investment is to preserve principal and provide liquidity. These money market funds and bank deposits generate interest income at variable rates.</w:t>
      </w:r>
    </w:p>
    <w:p>
      <w:pPr>
        <w:spacing w:after="0" w:line="76"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We therefore do not believe we are exposed to, nor do we anticipate being in the near future exposed to, material risk due to changes in interest rates because of the short-term nature of our cash and cash equivalents.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5"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p>
    <w:p>
      <w:pPr>
        <w:spacing w:after="0" w:line="70"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spacing w:after="0" w:line="75" w:lineRule="exact"/>
        <w:rPr>
          <w:sz w:val="20"/>
          <w:szCs w:val="20"/>
          <w:color w:val="auto"/>
        </w:rPr>
      </w:pPr>
    </w:p>
    <w:p>
      <w:pPr>
        <w:jc w:val="both"/>
        <w:ind w:right="20" w:firstLine="477"/>
        <w:spacing w:after="0" w:line="274" w:lineRule="auto"/>
        <w:rPr>
          <w:sz w:val="20"/>
          <w:szCs w:val="20"/>
          <w:color w:val="auto"/>
        </w:rPr>
      </w:pPr>
      <w:r>
        <w:rPr>
          <w:rFonts w:ascii="Times New Roman" w:cs="Times New Roman" w:eastAsia="Times New Roman" w:hAnsi="Times New Roman"/>
          <w:sz w:val="18"/>
          <w:szCs w:val="18"/>
          <w:color w:val="auto"/>
        </w:rPr>
        <w:t>We do not believe that either inflation or foreign currency risk had a material effect on our business, financial condition, or results of operations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5"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Quarterly Report on Form 10-Q.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a result of the material weaknesses in our internal controls, our disclosure controls and procedures were not effective as of June 30, 2025.</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w:t>
      </w:r>
    </w:p>
    <w:p>
      <w:pPr>
        <w:spacing w:after="0" w:line="115"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In connection with our financial statement close process for the year ended December 31, 2024, we identified deficiencies in the control environment and control activities components of the Committee of Sponsoring Organizations (“COSO”) framework that constitute material weaknesses, either individually or in the aggregate.</w:t>
      </w:r>
    </w:p>
    <w:p>
      <w:pPr>
        <w:spacing w:after="0" w:line="70" w:lineRule="exact"/>
        <w:rPr>
          <w:sz w:val="20"/>
          <w:szCs w:val="20"/>
          <w:color w:val="auto"/>
        </w:rPr>
      </w:pPr>
    </w:p>
    <w:p>
      <w:pPr>
        <w:jc w:val="both"/>
        <w:ind w:left="960" w:hanging="476"/>
        <w:spacing w:after="0" w:line="255"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environment – Management did not maintain an effective control environment based on the criteria established in the COSO framework and identified deficiencies in the principles associated with the control environment of the COSO framework. Specifically, the Company’s resources within its accounting and IT function require additional time to perform their assigned responsibilities for a sufficient period of time to evidence an effective control environment.</w:t>
      </w:r>
    </w:p>
    <w:p>
      <w:pPr>
        <w:spacing w:after="0" w:line="75" w:lineRule="exact"/>
        <w:rPr>
          <w:rFonts w:ascii="Times New Roman" w:cs="Times New Roman" w:eastAsia="Times New Roman" w:hAnsi="Times New Roman"/>
          <w:sz w:val="18"/>
          <w:szCs w:val="18"/>
          <w:color w:val="auto"/>
        </w:rPr>
      </w:pPr>
    </w:p>
    <w:p>
      <w:pPr>
        <w:jc w:val="both"/>
        <w:ind w:left="960" w:hanging="476"/>
        <w:spacing w:after="0" w:line="243"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activities – Management did not design and implement effective control activities based on the criteria established in the COSO framework and identified deficiencies in the principles associated with the control activities component of the COSO framework. Specifically, these related to: (i) selecting and developing control activities that contribute to the mitigation of risks and support achievement of objectives;</w:t>
      </w:r>
    </w:p>
    <w:p>
      <w:pPr>
        <w:spacing w:after="0" w:line="1" w:lineRule="exact"/>
        <w:rPr>
          <w:rFonts w:ascii="Times New Roman" w:cs="Times New Roman" w:eastAsia="Times New Roman" w:hAnsi="Times New Roman"/>
          <w:sz w:val="18"/>
          <w:szCs w:val="18"/>
          <w:color w:val="auto"/>
        </w:rPr>
      </w:pPr>
    </w:p>
    <w:p>
      <w:pPr>
        <w:jc w:val="both"/>
        <w:ind w:left="960" w:firstLine="1"/>
        <w:spacing w:after="0" w:line="241" w:lineRule="auto"/>
        <w:tabs>
          <w:tab w:leader="none" w:pos="124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w:t>
      </w:r>
    </w:p>
    <w:p>
      <w:pPr>
        <w:spacing w:after="0" w:line="73"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The following material weaknesses were contributing factors: (i) inadequate general information technology controls (“GITCs”) in the areas of access security and program change-management over certain information technology systems that support the Company’s financial reporting processes. Some of our business process controls (automated and manual) are dependent on the affected GITCs; they too were deemed ineffective because they could have been adversely impacted; and (ii) ineffective design and/or review procedures for journal entries and balance sheet account reconciliations.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and Status</w:t>
      </w:r>
    </w:p>
    <w:p>
      <w:pPr>
        <w:spacing w:after="0" w:line="115"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We remain committed to remediating the control deficiencies that constituted the above material weaknesses by continuing to enhance our internal control over financial reporting. Management has put in place measures aimed at addressing these deficiencies to ensure the material weaknesses are remediated. such that these controls are designed, implemented and operating effectively. Throughout the six months ended June 30, 2025, we have executed, and we will continue to execute the following steps intended to remediate the material weaknesses described above and strengthen our internal control over financial reporting:</w:t>
      </w:r>
    </w:p>
    <w:p>
      <w:pPr>
        <w:spacing w:after="0" w:line="76" w:lineRule="exact"/>
        <w:rPr>
          <w:sz w:val="20"/>
          <w:szCs w:val="20"/>
          <w:color w:val="auto"/>
        </w:rPr>
      </w:pPr>
    </w:p>
    <w:p>
      <w:pPr>
        <w:jc w:val="both"/>
        <w:ind w:left="960" w:hanging="476"/>
        <w:spacing w:after="0" w:line="252"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augmented our workforce with qualified personnel in both our accounting and information technology functions. We have appointed personnel that are qualified to assume responsibility for the design and operation of internal control over financial reporting and monitor the progress for remediation.</w:t>
      </w:r>
    </w:p>
    <w:p>
      <w:pPr>
        <w:spacing w:after="0" w:line="64" w:lineRule="exact"/>
        <w:rPr>
          <w:rFonts w:ascii="Times New Roman" w:cs="Times New Roman" w:eastAsia="Times New Roman" w:hAnsi="Times New Roman"/>
          <w:sz w:val="18"/>
          <w:szCs w:val="18"/>
          <w:color w:val="auto"/>
        </w:rPr>
      </w:pPr>
    </w:p>
    <w:p>
      <w:pPr>
        <w:ind w:left="960" w:hanging="476"/>
        <w:spacing w:after="0" w:line="259"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revise and improve the design of our controls, implement reviews and monitor the effectiveness of our internal control environment with external consultants with subject matter expertise, including GITCs.</w:t>
      </w:r>
    </w:p>
    <w:p>
      <w:pPr>
        <w:spacing w:after="0" w:line="70"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an ongoing process to revise and implement new controls, update documentation.</w:t>
      </w:r>
    </w:p>
    <w:p>
      <w:pPr>
        <w:spacing w:after="0" w:line="9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expand education and training, enforce accountability, and strengthen supervisory reviews by our management.</w:t>
      </w:r>
    </w:p>
    <w:p>
      <w:pPr>
        <w:spacing w:after="0" w:line="9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focus on control execution and monitoring internal controls within our revenue and inventory processes.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60" w:hanging="476"/>
        <w:spacing w:after="0" w:line="259"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further strengthen GITCs related to financial accounting and reporting systems including implementing monitoring controls as appropriate. We invested in redesigning of our IT systems in 2024 through early 2025 to get those systems in compliance.</w:t>
      </w:r>
    </w:p>
    <w:p>
      <w:pPr>
        <w:spacing w:after="0" w:line="71" w:lineRule="exact"/>
        <w:rPr>
          <w:sz w:val="20"/>
          <w:szCs w:val="20"/>
          <w:color w:val="auto"/>
        </w:rPr>
      </w:pPr>
    </w:p>
    <w:p>
      <w:pPr>
        <w:jc w:val="both"/>
        <w:ind w:firstLine="477"/>
        <w:spacing w:after="0" w:line="241" w:lineRule="auto"/>
        <w:rPr>
          <w:sz w:val="20"/>
          <w:szCs w:val="20"/>
          <w:color w:val="auto"/>
        </w:rPr>
      </w:pPr>
      <w:r>
        <w:rPr>
          <w:rFonts w:ascii="Times New Roman" w:cs="Times New Roman" w:eastAsia="Times New Roman" w:hAnsi="Times New Roman"/>
          <w:sz w:val="18"/>
          <w:szCs w:val="18"/>
          <w:color w:val="auto"/>
        </w:rPr>
        <w:t>We plan to continue to devote significant time and attention to remediate the above material weaknesses as soon as reasonably practicable. As we continue to evaluate our controls, we will make the changes described above as well as any others needed to enhance our control environment and remediate the material weaknesses. We believe these actions will be sufficient to remediate the identified material weaknesses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5"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We are taking actions to remediate the material weaknesses relating to our internal control over financial reporting. Other than the changes intended to remediate the material weaknesses noted above, there was no change in our internal control over financial reporting that occurred during the quarter ended June 30, 2025 that materially affected, or were reasonably likely to materially affect, our internal control over financial reporting.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3" w:lineRule="exact"/>
        <w:rPr>
          <w:sz w:val="20"/>
          <w:szCs w:val="20"/>
          <w:color w:val="auto"/>
        </w:rPr>
      </w:pPr>
    </w:p>
    <w:p>
      <w:pPr>
        <w:ind w:right="220" w:firstLine="477"/>
        <w:spacing w:after="0" w:line="274" w:lineRule="auto"/>
        <w:rPr>
          <w:sz w:val="20"/>
          <w:szCs w:val="20"/>
          <w:color w:val="auto"/>
        </w:rPr>
      </w:pPr>
      <w:r>
        <w:rPr>
          <w:rFonts w:ascii="Times New Roman" w:cs="Times New Roman" w:eastAsia="Times New Roman" w:hAnsi="Times New Roman"/>
          <w:sz w:val="18"/>
          <w:szCs w:val="18"/>
          <w:color w:val="auto"/>
        </w:rPr>
        <w:t>From time to time, we are involved in legal proceedings and claims. See Note 18 to our unaudited interim consolidated financial statements included elsewhere in this Quarterly Report on Form 10-Q for information regarding ongoing legal proceedings.</w:t>
      </w:r>
    </w:p>
    <w:p>
      <w:pPr>
        <w:spacing w:after="0" w:line="200" w:lineRule="exact"/>
        <w:rPr>
          <w:sz w:val="20"/>
          <w:szCs w:val="20"/>
          <w:color w:val="auto"/>
        </w:rPr>
      </w:pPr>
    </w:p>
    <w:p>
      <w:pPr>
        <w:spacing w:after="0" w:line="20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1"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Quarterly Report on Form 10-Q.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13"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w:t>
      </w:r>
    </w:p>
    <w:p>
      <w:pPr>
        <w:spacing w:after="0" w:line="76" w:lineRule="exact"/>
        <w:rPr>
          <w:sz w:val="20"/>
          <w:szCs w:val="20"/>
          <w:color w:val="auto"/>
        </w:rPr>
      </w:pPr>
    </w:p>
    <w:p>
      <w:pPr>
        <w:ind w:left="960" w:hanging="476"/>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58" w:lineRule="exact"/>
        <w:rPr>
          <w:rFonts w:ascii="Times New Roman" w:cs="Times New Roman" w:eastAsia="Times New Roman" w:hAnsi="Times New Roman"/>
          <w:sz w:val="18"/>
          <w:szCs w:val="18"/>
          <w:color w:val="auto"/>
        </w:rPr>
      </w:pPr>
    </w:p>
    <w:p>
      <w:pPr>
        <w:jc w:val="both"/>
        <w:ind w:left="960" w:hanging="476"/>
        <w:spacing w:after="0" w:line="252"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a limited number of product offerings. Our revenue has been primarily generated from sales of our core Cytek Aurora, Northern Lights and Aurora cell sorter (“Aurora CS”) systems, which require a substantial sales cycle and are prone to quarterly fluctuations in revenue.</w:t>
      </w:r>
    </w:p>
    <w:p>
      <w:pPr>
        <w:spacing w:after="0" w:line="64" w:lineRule="exact"/>
        <w:rPr>
          <w:rFonts w:ascii="Times New Roman" w:cs="Times New Roman" w:eastAsia="Times New Roman" w:hAnsi="Times New Roman"/>
          <w:sz w:val="18"/>
          <w:szCs w:val="18"/>
          <w:color w:val="auto"/>
        </w:rPr>
      </w:pPr>
    </w:p>
    <w:p>
      <w:pPr>
        <w:jc w:val="both"/>
        <w:ind w:left="960" w:hanging="476"/>
        <w:spacing w:after="0" w:line="245"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single source suppliers and, in some cases, sole source suppliers, for certain components and materials used in our systems and, other than our agreement with Coherent NA, Inc. (“Coherent”), we do not currently have long-term supply contracts with our sole and single source suppliers of key components. As a result, we may not be able to find replacements or immediately transition to alternative suppliers, which could have an adverse effect on our business, financial condition and results of operations.</w:t>
      </w:r>
    </w:p>
    <w:p>
      <w:pPr>
        <w:spacing w:after="0" w:line="83"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will be harmed if we are unable to accurately forecast customer demand for our products and manage our inventory.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60" w:hanging="476"/>
        <w:spacing w:after="0" w:line="259"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 and expansion of our international business expose us to business, regulatory, political, operational, financial and economic risks associated with doing business outside of the United States.</w:t>
      </w:r>
    </w:p>
    <w:p>
      <w:pPr>
        <w:spacing w:after="0" w:line="189" w:lineRule="exact"/>
        <w:rPr>
          <w:rFonts w:ascii="Times New Roman" w:cs="Times New Roman" w:eastAsia="Times New Roman" w:hAnsi="Times New Roman"/>
          <w:sz w:val="18"/>
          <w:szCs w:val="18"/>
          <w:color w:val="auto"/>
        </w:rPr>
      </w:pPr>
    </w:p>
    <w:p>
      <w:pPr>
        <w:ind w:left="960" w:hanging="476"/>
        <w:spacing w:after="0" w:line="259"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or other government trade policies may materially adversely affect our business and results of operations, including by reducing demand for our products.</w:t>
      </w:r>
    </w:p>
    <w:p>
      <w:pPr>
        <w:spacing w:after="0" w:line="70" w:lineRule="exact"/>
        <w:rPr>
          <w:rFonts w:ascii="Times New Roman" w:cs="Times New Roman" w:eastAsia="Times New Roman" w:hAnsi="Times New Roman"/>
          <w:sz w:val="18"/>
          <w:szCs w:val="18"/>
          <w:color w:val="auto"/>
        </w:rPr>
      </w:pPr>
    </w:p>
    <w:p>
      <w:pPr>
        <w:ind w:left="960" w:hanging="476"/>
        <w:spacing w:after="0" w:line="259"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controls and sanctions programs that could impair our ability to compete in international markets due to licensing requirements and subject us to liability if we are not in compliance with applicable laws.</w:t>
      </w:r>
    </w:p>
    <w:p>
      <w:pPr>
        <w:spacing w:after="0" w:line="57" w:lineRule="exact"/>
        <w:rPr>
          <w:rFonts w:ascii="Times New Roman" w:cs="Times New Roman" w:eastAsia="Times New Roman" w:hAnsi="Times New Roman"/>
          <w:sz w:val="18"/>
          <w:szCs w:val="18"/>
          <w:color w:val="auto"/>
        </w:rPr>
      </w:pPr>
    </w:p>
    <w:p>
      <w:pPr>
        <w:ind w:left="960" w:hanging="476"/>
        <w:spacing w:after="0" w:line="259" w:lineRule="auto"/>
        <w:tabs>
          <w:tab w:leader="none" w:pos="9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limited experience manufacturing our products, and if we are unable to manufacture our products in high-quality commercial quantities successfully and consistently to meet demand, our growth will be limited.</w:t>
      </w:r>
    </w:p>
    <w:p>
      <w:pPr>
        <w:spacing w:after="0" w:line="70" w:lineRule="exact"/>
        <w:rPr>
          <w:rFonts w:ascii="Times New Roman" w:cs="Times New Roman" w:eastAsia="Times New Roman" w:hAnsi="Times New Roman"/>
          <w:sz w:val="18"/>
          <w:szCs w:val="18"/>
          <w:b w:val="1"/>
          <w:bCs w:val="1"/>
          <w:i w:val="1"/>
          <w:iCs w:val="1"/>
          <w:color w:val="auto"/>
        </w:rPr>
      </w:pPr>
    </w:p>
    <w:p>
      <w:pPr>
        <w:ind w:left="960" w:hanging="476"/>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is dependent upon our ability to increase penetration in our existing markets and expand into adjacent markets.</w:t>
      </w:r>
    </w:p>
    <w:p>
      <w:pPr>
        <w:spacing w:after="0" w:line="98" w:lineRule="exact"/>
        <w:rPr>
          <w:rFonts w:ascii="Times New Roman" w:cs="Times New Roman" w:eastAsia="Times New Roman" w:hAnsi="Times New Roman"/>
          <w:sz w:val="18"/>
          <w:szCs w:val="18"/>
          <w:color w:val="auto"/>
        </w:rPr>
      </w:pPr>
    </w:p>
    <w:p>
      <w:pPr>
        <w:jc w:val="both"/>
        <w:ind w:left="960" w:hanging="476"/>
        <w:spacing w:after="0" w:line="245"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adoption of our products by academic and government institutions, clinical research organizations (“CROs”), pharmaceutical companies and clinical laboratories for their research and development activities focused on cell analysis. If academic and government institutions, CROs, pharmaceutical companies and clinical laboratories are unwilling to change current practices to adopt our products, it will negatively affect our business, financial condition, prospects and results of operations.</w:t>
      </w:r>
    </w:p>
    <w:p>
      <w:pPr>
        <w:spacing w:after="0" w:line="70"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44" w:lineRule="exact"/>
        <w:rPr>
          <w:rFonts w:ascii="Times New Roman" w:cs="Times New Roman" w:eastAsia="Times New Roman" w:hAnsi="Times New Roman"/>
          <w:sz w:val="18"/>
          <w:szCs w:val="18"/>
          <w:color w:val="auto"/>
        </w:rPr>
      </w:pPr>
    </w:p>
    <w:p>
      <w:pPr>
        <w:jc w:val="both"/>
        <w:ind w:left="960" w:hanging="476"/>
        <w:spacing w:after="0" w:line="252"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64" w:lineRule="exact"/>
        <w:rPr>
          <w:rFonts w:ascii="Times New Roman" w:cs="Times New Roman" w:eastAsia="Times New Roman" w:hAnsi="Times New Roman"/>
          <w:sz w:val="18"/>
          <w:szCs w:val="18"/>
          <w:color w:val="auto"/>
        </w:rPr>
      </w:pPr>
    </w:p>
    <w:p>
      <w:pPr>
        <w:ind w:left="960" w:hanging="476"/>
        <w:spacing w:after="0" w:line="259"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70" w:lineRule="exact"/>
        <w:rPr>
          <w:rFonts w:ascii="Times New Roman" w:cs="Times New Roman" w:eastAsia="Times New Roman" w:hAnsi="Times New Roman"/>
          <w:sz w:val="18"/>
          <w:szCs w:val="18"/>
          <w:color w:val="auto"/>
        </w:rPr>
      </w:pPr>
    </w:p>
    <w:p>
      <w:pPr>
        <w:ind w:left="960" w:hanging="476"/>
        <w:spacing w:after="0" w:line="259"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develop and successfully introduce new and enhanced products that meet the needs of our customers.</w:t>
      </w:r>
    </w:p>
    <w:p>
      <w:pPr>
        <w:spacing w:after="0" w:line="57" w:lineRule="exact"/>
        <w:rPr>
          <w:rFonts w:ascii="Times New Roman" w:cs="Times New Roman" w:eastAsia="Times New Roman" w:hAnsi="Times New Roman"/>
          <w:sz w:val="18"/>
          <w:szCs w:val="18"/>
          <w:color w:val="auto"/>
        </w:rPr>
      </w:pPr>
    </w:p>
    <w:p>
      <w:pPr>
        <w:jc w:val="both"/>
        <w:ind w:left="960" w:hanging="476"/>
        <w:spacing w:after="0" w:line="252"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64"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development involves a lengthy and complex process, and we may be unable to develop or commercialize products on a timely basis, or at all.</w:t>
      </w:r>
    </w:p>
    <w:p>
      <w:pPr>
        <w:spacing w:after="0" w:line="44" w:lineRule="exact"/>
        <w:rPr>
          <w:rFonts w:ascii="Times New Roman" w:cs="Times New Roman" w:eastAsia="Times New Roman" w:hAnsi="Times New Roman"/>
          <w:sz w:val="18"/>
          <w:szCs w:val="18"/>
          <w:color w:val="auto"/>
        </w:rPr>
      </w:pPr>
    </w:p>
    <w:p>
      <w:pPr>
        <w:jc w:val="both"/>
        <w:ind w:left="960" w:hanging="476"/>
        <w:spacing w:after="0" w:line="252"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64" w:lineRule="exact"/>
        <w:rPr>
          <w:rFonts w:ascii="Times New Roman" w:cs="Times New Roman" w:eastAsia="Times New Roman" w:hAnsi="Times New Roman"/>
          <w:sz w:val="18"/>
          <w:szCs w:val="18"/>
          <w:color w:val="auto"/>
        </w:rPr>
      </w:pPr>
    </w:p>
    <w:p>
      <w:pPr>
        <w:ind w:left="960" w:hanging="476"/>
        <w:spacing w:after="0" w:line="259"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70" w:lineRule="exact"/>
        <w:rPr>
          <w:rFonts w:ascii="Times New Roman" w:cs="Times New Roman" w:eastAsia="Times New Roman" w:hAnsi="Times New Roman"/>
          <w:sz w:val="18"/>
          <w:szCs w:val="18"/>
          <w:color w:val="auto"/>
        </w:rPr>
      </w:pPr>
    </w:p>
    <w:p>
      <w:pPr>
        <w:ind w:left="960" w:hanging="476"/>
        <w:spacing w:after="0" w:line="259"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57" w:lineRule="exact"/>
        <w:rPr>
          <w:rFonts w:ascii="Times New Roman" w:cs="Times New Roman" w:eastAsia="Times New Roman" w:hAnsi="Times New Roman"/>
          <w:sz w:val="18"/>
          <w:szCs w:val="18"/>
          <w:color w:val="auto"/>
        </w:rPr>
      </w:pPr>
    </w:p>
    <w:p>
      <w:pPr>
        <w:ind w:left="960" w:right="20" w:hanging="476"/>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44" w:lineRule="exact"/>
        <w:rPr>
          <w:rFonts w:ascii="Times New Roman" w:cs="Times New Roman" w:eastAsia="Times New Roman" w:hAnsi="Times New Roman"/>
          <w:sz w:val="18"/>
          <w:szCs w:val="18"/>
          <w:color w:val="auto"/>
        </w:rPr>
      </w:pPr>
    </w:p>
    <w:p>
      <w:pPr>
        <w:ind w:left="960" w:hanging="476"/>
        <w:spacing w:after="0" w:line="259"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960" w:hanging="476"/>
        <w:spacing w:after="0" w:line="252"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64"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existing operations, develop our products and/or expand our operations.</w:t>
      </w:r>
    </w:p>
    <w:p>
      <w:pPr>
        <w:spacing w:after="0" w:line="98"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44" w:lineRule="exact"/>
        <w:rPr>
          <w:rFonts w:ascii="Times New Roman" w:cs="Times New Roman" w:eastAsia="Times New Roman" w:hAnsi="Times New Roman"/>
          <w:sz w:val="18"/>
          <w:szCs w:val="18"/>
          <w:color w:val="auto"/>
        </w:rPr>
      </w:pPr>
    </w:p>
    <w:p>
      <w:pPr>
        <w:jc w:val="both"/>
        <w:ind w:left="960" w:hanging="476"/>
        <w:spacing w:after="0" w:line="252"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become subject to more onerous regulation by the U.S. Food and Drug Administration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64" w:lineRule="exact"/>
        <w:rPr>
          <w:rFonts w:ascii="Times New Roman" w:cs="Times New Roman" w:eastAsia="Times New Roman" w:hAnsi="Times New Roman"/>
          <w:sz w:val="18"/>
          <w:szCs w:val="18"/>
          <w:color w:val="auto"/>
        </w:rPr>
      </w:pPr>
    </w:p>
    <w:p>
      <w:pPr>
        <w:ind w:left="960" w:hanging="476"/>
        <w:spacing w:after="0" w:line="259"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70" w:lineRule="exact"/>
        <w:rPr>
          <w:rFonts w:ascii="Times New Roman" w:cs="Times New Roman" w:eastAsia="Times New Roman" w:hAnsi="Times New Roman"/>
          <w:sz w:val="18"/>
          <w:szCs w:val="18"/>
          <w:color w:val="auto"/>
        </w:rPr>
      </w:pPr>
    </w:p>
    <w:p>
      <w:pPr>
        <w:jc w:val="both"/>
        <w:ind w:left="960" w:hanging="476"/>
        <w:spacing w:after="0" w:line="244"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85" w:lineRule="exact"/>
        <w:rPr>
          <w:rFonts w:ascii="Times New Roman" w:cs="Times New Roman" w:eastAsia="Times New Roman" w:hAnsi="Times New Roman"/>
          <w:sz w:val="18"/>
          <w:szCs w:val="18"/>
          <w:color w:val="auto"/>
        </w:rPr>
      </w:pPr>
    </w:p>
    <w:p>
      <w:pPr>
        <w:jc w:val="both"/>
        <w:ind w:left="960" w:hanging="476"/>
        <w:spacing w:after="0" w:line="239"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ownership of our common stock among our executive officers, directors, principal stockholders and their respective affiliates may prevent new investors from influencing significant corporate decisions. Based on shares outstanding as of June 30, 2025, our executive officers, directors, holders of 5% or more of our common stock and their respective affiliates (based on filings with the U.S. Securities and Exchange Commission (the “SEC”)), in the aggregate, own approximately 39.3% of our common stock. These stockholders, acting together, will be able to significantly influence all matters requiring stockholder approval, including the election and removal of directors and any merger or other significant corporate transaction.</w:t>
      </w:r>
    </w:p>
    <w:p>
      <w:pPr>
        <w:spacing w:after="0" w:line="89" w:lineRule="exact"/>
        <w:rPr>
          <w:rFonts w:ascii="Times New Roman" w:cs="Times New Roman" w:eastAsia="Times New Roman" w:hAnsi="Times New Roman"/>
          <w:sz w:val="18"/>
          <w:szCs w:val="18"/>
          <w:color w:val="auto"/>
        </w:rPr>
      </w:pPr>
    </w:p>
    <w:p>
      <w:pPr>
        <w:jc w:val="both"/>
        <w:ind w:left="960" w:hanging="476"/>
        <w:spacing w:after="0" w:line="245"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costs of our products and services, limit their use or adoption, and otherwise negatively affect our operating results and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53"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We have a limited operating history and may encounter unforeseen expenses, difficulties, complications, delays and other known and unknown obstacles. We launched our first core commercial product, the Cytek Aurora system, in June 2017. Our Cytek Northern Lights system was commercially launched in October 2018, our Cytek Aurora CS system was first commercially shipped in June 2021, and we launched our Cytek Aurora Evo system in May 2025. Our limited commercial and operating history makes it difficult to evaluate our current business and predict our future performance. Although we have experienced significant revenue growth in prior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spacing w:after="0" w:line="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a limited number of product offerings. Our revenue has been primarily generated from sales of our core Cytek Aurora, Northern Lights and Aurora CS systems, which require a substantial sales cycle and are prone to quarterly fluctuations in revenue.</w:t>
      </w:r>
    </w:p>
    <w:p>
      <w:pPr>
        <w:spacing w:after="0" w:line="53"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Sales of the Cytek Aurora, Northern Lights and Aurora CS systems together accounted for a substantial portion of our revenue for the periods presented in this Quarterly Report on Form 10-Q. We expect that, for at least the foreseeable future, sales of our Cytek Aurora, Northern Lights and Aurora CS systems will continue to account for a substantial portion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of our revenue. The sales cycle for our instruments is slow and can take up to six months or longer to complete. As a result of this lengthy and unpredictable sales cycle, we will be prone to quarterly fluctuations in our revenue as sales of the Cytek Aurora, Northern Lights and Aurora CS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81"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69" w:lineRule="exact"/>
        <w:rPr>
          <w:sz w:val="20"/>
          <w:szCs w:val="20"/>
          <w:color w:val="auto"/>
        </w:rPr>
      </w:pPr>
    </w:p>
    <w:p>
      <w:pPr>
        <w:jc w:val="both"/>
        <w:ind w:firstLine="477"/>
        <w:spacing w:after="0" w:line="263" w:lineRule="auto"/>
        <w:rPr>
          <w:sz w:val="20"/>
          <w:szCs w:val="20"/>
          <w:color w:val="auto"/>
        </w:rPr>
      </w:pPr>
      <w:r>
        <w:rPr>
          <w:rFonts w:ascii="Times New Roman" w:cs="Times New Roman" w:eastAsia="Times New Roman" w:hAnsi="Times New Roman"/>
          <w:sz w:val="17"/>
          <w:szCs w:val="17"/>
          <w:color w:val="auto"/>
        </w:rPr>
        <w:t>We have sourced and will continue to source certain components of the Cytek Aurora, Cytek Northern Lights, Cytek Aurora CS and Cytek Aurora Evo systems from a limited number of suppliers and, in some cases, sole source suppliers. Key components in our products that are supplied by sole or single source suppliers include certain lasers and semiconductors that are used in our optical, electrical and fluidic subassemblies. On August 25, 2021, we and Cytek (Wuxi) Biosciences Co., Ltd, our Wuxi, China subsidiary (“Cytek Wuxi”), entered into a Supply Agreement (the “Coherent Agreement”) with Coherent. Pursuant to the Coherent Agreement, Coherent has agreed to sell and supply to us and Cytek Wuxi, on a non-exclusive basis, laser products manufactured by Coherent. We and Cytek Wuxi provide Coherent with rolling forecasts of our and Cytek Wuxi’s anticipated orders, which are non-binding. Purchase orders submitted by us and Cytek Wuxi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w:t>
      </w:r>
    </w:p>
    <w:p>
      <w:pPr>
        <w:spacing w:after="0" w:line="79"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79"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Supply interruptions have in the past arisen and could arise in the future as a result of infectious disease outbreaks, shortages of raw materials, labor disputes or weather conditions affecting products or shipments, transportation disruptions, adjustments to our inventory levels or other factors within and beyond our control, and such supply interruption risk is increased by the limited number of 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harmed if we are unable to accurately forecast customer demand for our products and manage our inventory.</w:t>
      </w:r>
    </w:p>
    <w:p>
      <w:pPr>
        <w:spacing w:after="0" w:line="115"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infectious disease outbreaks, seasonal demands, regulatory matters, inflation or weakening of general economic conditions.</w:t>
      </w:r>
    </w:p>
    <w:p>
      <w:pPr>
        <w:spacing w:after="0" w:line="81"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19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International operations and expansion of our international business expose us to business, regulatory, political, operational, financial and economic risks associated with doing business outside of the United States.</w:t>
      </w:r>
    </w:p>
    <w:p>
      <w:pPr>
        <w:spacing w:after="0" w:line="53" w:lineRule="exact"/>
        <w:rPr>
          <w:sz w:val="20"/>
          <w:szCs w:val="20"/>
          <w:color w:val="auto"/>
        </w:rPr>
      </w:pPr>
    </w:p>
    <w:p>
      <w:pPr>
        <w:jc w:val="both"/>
        <w:ind w:firstLine="477"/>
        <w:spacing w:after="0" w:line="245" w:lineRule="auto"/>
        <w:rPr>
          <w:sz w:val="20"/>
          <w:szCs w:val="20"/>
          <w:color w:val="auto"/>
        </w:rPr>
      </w:pPr>
      <w:r>
        <w:rPr>
          <w:rFonts w:ascii="Times New Roman" w:cs="Times New Roman" w:eastAsia="Times New Roman" w:hAnsi="Times New Roman"/>
          <w:sz w:val="18"/>
          <w:szCs w:val="18"/>
          <w:color w:val="auto"/>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the United States, China and Singapore. Doing business internationally involves a number of risks, including:</w:t>
      </w:r>
    </w:p>
    <w:p>
      <w:pPr>
        <w:spacing w:after="0" w:line="70" w:lineRule="exact"/>
        <w:rPr>
          <w:sz w:val="20"/>
          <w:szCs w:val="20"/>
          <w:color w:val="auto"/>
        </w:rPr>
      </w:pPr>
    </w:p>
    <w:p>
      <w:pPr>
        <w:ind w:left="960" w:hanging="476"/>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44"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distributors to obtain approvals to conduct our business in various countries;</w:t>
      </w:r>
    </w:p>
    <w:p>
      <w:pPr>
        <w:spacing w:after="0" w:line="9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intellectual property rights;</w:t>
      </w:r>
    </w:p>
    <w:p>
      <w:pPr>
        <w:spacing w:after="0" w:line="111" w:lineRule="exact"/>
        <w:rPr>
          <w:rFonts w:ascii="Times New Roman" w:cs="Times New Roman" w:eastAsia="Times New Roman" w:hAnsi="Times New Roman"/>
          <w:sz w:val="18"/>
          <w:szCs w:val="18"/>
          <w:color w:val="auto"/>
        </w:rPr>
      </w:pPr>
    </w:p>
    <w:p>
      <w:pPr>
        <w:ind w:left="960" w:hanging="476"/>
        <w:spacing w:after="0" w:line="259"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enforcing our intellectual property and defending against third-party intellectual property claims;</w:t>
      </w:r>
    </w:p>
    <w:p>
      <w:pPr>
        <w:spacing w:after="0" w:line="57"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systems and parts and components for our products, as well as transportation delays;</w:t>
      </w:r>
    </w:p>
    <w:p>
      <w:pPr>
        <w:spacing w:after="0" w:line="9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 that limit the ability of marketing, presales, sales, services and support teams to service customers;</w:t>
      </w:r>
    </w:p>
    <w:p>
      <w:pPr>
        <w:spacing w:after="0" w:line="98"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44"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that could result in tariffs and other protective measures;</w:t>
      </w:r>
    </w:p>
    <w:p>
      <w:pPr>
        <w:spacing w:after="0" w:line="98"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such as the ongoing war in Ukraine, conflict in the Middle East, outbreak of disease, boycotts, curtailment of trade and other business restrictions;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60" w:hanging="476"/>
        <w:spacing w:after="0" w:line="259"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(the “FCPA”), its books and records provisions, or its anti-bribery provisions.</w:t>
      </w:r>
    </w:p>
    <w:p>
      <w:pPr>
        <w:spacing w:after="0" w:line="71" w:lineRule="exact"/>
        <w:rPr>
          <w:sz w:val="20"/>
          <w:szCs w:val="20"/>
          <w:color w:val="auto"/>
        </w:rPr>
      </w:pPr>
    </w:p>
    <w:p>
      <w:pPr>
        <w:jc w:val="both"/>
        <w:ind w:firstLine="477"/>
        <w:spacing w:after="0" w:line="241"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 For more information, please see “Risks Related to Government Regulation and Our Industry” below.</w:t>
      </w:r>
    </w:p>
    <w:p>
      <w:pPr>
        <w:spacing w:after="0" w:line="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Tariffs or other government trade policies may materially adversely affect our business and results of operations, including by reducing demand for our products.</w:t>
      </w:r>
    </w:p>
    <w:p>
      <w:pPr>
        <w:spacing w:after="0" w:line="53" w:lineRule="exact"/>
        <w:rPr>
          <w:sz w:val="20"/>
          <w:szCs w:val="20"/>
          <w:color w:val="auto"/>
        </w:rPr>
      </w:pPr>
    </w:p>
    <w:p>
      <w:pPr>
        <w:jc w:val="both"/>
        <w:ind w:firstLine="637"/>
        <w:spacing w:after="0" w:line="248" w:lineRule="auto"/>
        <w:rPr>
          <w:sz w:val="20"/>
          <w:szCs w:val="20"/>
          <w:color w:val="auto"/>
        </w:rPr>
      </w:pPr>
      <w:r>
        <w:rPr>
          <w:rFonts w:ascii="Times New Roman" w:cs="Times New Roman" w:eastAsia="Times New Roman" w:hAnsi="Times New Roman"/>
          <w:sz w:val="18"/>
          <w:szCs w:val="18"/>
          <w:color w:val="auto"/>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 response, certain foreign governments have announced or implemented retaliatory tariffs against U.S. goods and other non-tariff protectionist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These developments have created a dynamic and unpredictable trade landscape, which may adversely impact our business, results of operations, financial condition and prospects.</w:t>
      </w:r>
    </w:p>
    <w:p>
      <w:pPr>
        <w:spacing w:after="0" w:line="85" w:lineRule="exact"/>
        <w:rPr>
          <w:sz w:val="20"/>
          <w:szCs w:val="20"/>
          <w:color w:val="auto"/>
        </w:rPr>
      </w:pPr>
    </w:p>
    <w:p>
      <w:pPr>
        <w:jc w:val="both"/>
        <w:ind w:firstLine="637"/>
        <w:spacing w:after="0" w:line="248" w:lineRule="auto"/>
        <w:rPr>
          <w:sz w:val="20"/>
          <w:szCs w:val="20"/>
          <w:color w:val="auto"/>
        </w:rPr>
      </w:pPr>
      <w:r>
        <w:rPr>
          <w:rFonts w:ascii="Times New Roman" w:cs="Times New Roman" w:eastAsia="Times New Roman" w:hAnsi="Times New Roman"/>
          <w:sz w:val="18"/>
          <w:szCs w:val="18"/>
          <w:color w:val="auto"/>
        </w:rPr>
        <w:t>The imposition of tariffs and trade restrictions as a result of international trade disputes or changes in trade policies may adversely affect our sales and profitability. For example, our components are subject to the most recent tariffs, which may increase our manufacturing costs and could make our products less competitive than those of our competitors whose inputs are not subject to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In addition, certain Chinese biotechnology companies and contract manufacturing organizations may become subject to trade restrictions, sanctions, other regulatory requirements, or proposed legislation by the U.S. government, which could restrict or even prohibit our ability to work with such entities, thereby potentially disrupting the supply of material to our Wuxi facility. Such disruption could have adverse effects on the development of our product candidates and our business operations.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82"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w:t>
      </w:r>
    </w:p>
    <w:p>
      <w:pPr>
        <w:spacing w:after="0" w:line="58" w:lineRule="exact"/>
        <w:rPr>
          <w:sz w:val="20"/>
          <w:szCs w:val="20"/>
          <w:color w:val="auto"/>
        </w:rPr>
      </w:pPr>
    </w:p>
    <w:p>
      <w:pPr>
        <w:jc w:val="both"/>
        <w:ind w:firstLine="637"/>
        <w:spacing w:after="0" w:line="253"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to access the capital markets or other financing sources, results of operations, financial condition and prospects. In addition, tariffs and other trade developments have and may continue to heighten the risks related to the other risk factors described in this Quarterly Report on Form 10-Q.</w:t>
      </w:r>
    </w:p>
    <w:p>
      <w:pPr>
        <w:spacing w:after="0" w:line="1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sanctions programs that could impair our ability to compete in international markets due to licensing requirements and subject us to liability if we are not in compliance with applicable laws.</w:t>
      </w:r>
    </w:p>
    <w:p>
      <w:pPr>
        <w:spacing w:after="0" w:line="68" w:lineRule="exact"/>
        <w:rPr>
          <w:sz w:val="20"/>
          <w:szCs w:val="20"/>
          <w:color w:val="auto"/>
        </w:rPr>
      </w:pPr>
    </w:p>
    <w:p>
      <w:pPr>
        <w:jc w:val="both"/>
        <w:ind w:firstLine="477"/>
        <w:spacing w:after="0" w:line="239" w:lineRule="auto"/>
        <w:rPr>
          <w:sz w:val="20"/>
          <w:szCs w:val="20"/>
          <w:color w:val="auto"/>
        </w:rPr>
      </w:pPr>
      <w:r>
        <w:rPr>
          <w:rFonts w:ascii="Times New Roman" w:cs="Times New Roman" w:eastAsia="Times New Roman" w:hAnsi="Times New Roman"/>
          <w:sz w:val="18"/>
          <w:szCs w:val="18"/>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76" w:lineRule="exact"/>
        <w:rPr>
          <w:sz w:val="20"/>
          <w:szCs w:val="20"/>
          <w:color w:val="auto"/>
        </w:rPr>
      </w:pPr>
    </w:p>
    <w:p>
      <w:pPr>
        <w:jc w:val="both"/>
        <w:ind w:firstLine="477"/>
        <w:spacing w:after="0" w:line="242" w:lineRule="auto"/>
        <w:rPr>
          <w:sz w:val="20"/>
          <w:szCs w:val="20"/>
          <w:color w:val="auto"/>
        </w:rPr>
      </w:pPr>
      <w:r>
        <w:rPr>
          <w:rFonts w:ascii="Times New Roman" w:cs="Times New Roman" w:eastAsia="Times New Roman" w:hAnsi="Times New Roman"/>
          <w:sz w:val="18"/>
          <w:szCs w:val="18"/>
          <w:color w:val="auto"/>
        </w:rPr>
        <w:t>On January 15, 2025, the U.S. government announced new license requirements that impact exports of certain products and technology, including high-parameter and spectral flow cytometers and cell sorters and certain mass spectrometry equipment to certain countries, including China, which may have a significant negative impact on our sales, manufacturing and research and development activities. The impact of the new license requirements is difficult to quantify, and it may be challenging for us to manage our international operations and accurately forecast our operating results due to these requirements. For more information, please see “Our results of operations will be harmed if we are unable to accurately forecast customer demand for our products and manage our inventory” above.</w:t>
      </w:r>
    </w:p>
    <w:p>
      <w:pPr>
        <w:spacing w:after="0" w:line="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manufacturing our products and if we are unable to manufacture our products in high-quality commercial quantities successfully and consistently to meet demand, our growth will be limited.</w:t>
      </w:r>
    </w:p>
    <w:p>
      <w:pPr>
        <w:spacing w:after="0" w:line="53"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We have limited experience manufacturing our products. We currently manufacture instruments and reagents at our manufacturing facilities in Fremont, California and Wuxi, China, instruments at our facilities in Seattle, Washington and Singapore,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p>
    <w:p>
      <w:pPr>
        <w:spacing w:after="0" w:line="76"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p>
    <w:p>
      <w:pPr>
        <w:spacing w:after="0" w:line="76" w:lineRule="exact"/>
        <w:rPr>
          <w:sz w:val="20"/>
          <w:szCs w:val="20"/>
          <w:color w:val="auto"/>
        </w:rPr>
      </w:pPr>
    </w:p>
    <w:p>
      <w:pPr>
        <w:jc w:val="both"/>
        <w:ind w:firstLine="477"/>
        <w:spacing w:after="0" w:line="263" w:lineRule="auto"/>
        <w:rPr>
          <w:sz w:val="20"/>
          <w:szCs w:val="20"/>
          <w:color w:val="auto"/>
        </w:rPr>
      </w:pPr>
      <w:r>
        <w:rPr>
          <w:rFonts w:ascii="Times New Roman" w:cs="Times New Roman" w:eastAsia="Times New Roman" w:hAnsi="Times New Roman"/>
          <w:sz w:val="17"/>
          <w:szCs w:val="17"/>
          <w:color w:val="auto"/>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p>
    <w:p>
      <w:pPr>
        <w:spacing w:after="0" w:line="56" w:lineRule="exact"/>
        <w:rPr>
          <w:sz w:val="20"/>
          <w:szCs w:val="20"/>
          <w:color w:val="auto"/>
        </w:rPr>
      </w:pPr>
    </w:p>
    <w:p>
      <w:pPr>
        <w:jc w:val="both"/>
        <w:ind w:firstLine="477"/>
        <w:spacing w:after="0" w:line="252" w:lineRule="auto"/>
        <w:rPr>
          <w:sz w:val="20"/>
          <w:szCs w:val="20"/>
          <w:color w:val="auto"/>
        </w:rPr>
      </w:pPr>
      <w:r>
        <w:rPr>
          <w:rFonts w:ascii="Times New Roman" w:cs="Times New Roman" w:eastAsia="Times New Roman" w:hAnsi="Times New Roman"/>
          <w:sz w:val="18"/>
          <w:szCs w:val="18"/>
          <w:color w:val="auto"/>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is dependent upon our ability to increase penetration in our existing markets and expand into adjacent markets.</w:t>
      </w:r>
    </w:p>
    <w:p>
      <w:pPr>
        <w:spacing w:after="0" w:line="115"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Our customer base includes academic and government institutions, pharmaceutical and biotechnology companies, clinical research organizations and clinical laboratories focused on cell analysis. Approximately 48% and 43% of our revenue came from sales to academic and government-owned institutions and 52% and 57% of our revenue came from</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to pharmaceutical and biotechnology companies, distributors and CROs in the three months ended June 30, 2025 and 2024,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75" w:lineRule="exact"/>
        <w:rPr>
          <w:sz w:val="20"/>
          <w:szCs w:val="20"/>
          <w:color w:val="auto"/>
        </w:rPr>
      </w:pPr>
    </w:p>
    <w:p>
      <w:pPr>
        <w:jc w:val="both"/>
        <w:ind w:firstLine="477"/>
        <w:spacing w:after="0" w:line="266" w:lineRule="auto"/>
        <w:rPr>
          <w:sz w:val="20"/>
          <w:szCs w:val="20"/>
          <w:color w:val="auto"/>
        </w:rPr>
      </w:pPr>
      <w:r>
        <w:rPr>
          <w:rFonts w:ascii="Times New Roman" w:cs="Times New Roman" w:eastAsia="Times New Roman" w:hAnsi="Times New Roman"/>
          <w:sz w:val="17"/>
          <w:szCs w:val="17"/>
          <w:color w:val="auto"/>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or approval of a pre-market approval application from the FDA. Our failure to further expand in adjacent markets and attract new customers could adversely affect our ability to improve our operating results.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adoption of our products by academic and government institutions, CROs, pharmaceutical companies and clinical laboratories for their research and development activities focused on cell analysis. If academic and government institutions, CROs, pharmaceutical companies and clinical laboratories are unwilling to change current practices to adopt our products, it will negatively affect our business, financial condition, prospects and results of operations.</w:t>
      </w:r>
    </w:p>
    <w:p>
      <w:pPr>
        <w:spacing w:after="0" w:line="73"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Our primary strategy to grow our revenue is to take a stepwise approach to market our products across key stakeholders in flow cytometry and cell analysis, such as academic and government institutions, CROs, pharmaceutical companies and clinical laboratories. While the number of customers using our products has increased in recent years, many academic and government institutions, CROs, pharmaceutical companies and clinical laboratories have not yet adopted our products, and such institutions and companies may choose not to adopt our products for a number of reasons, including:</w:t>
      </w:r>
    </w:p>
    <w:p>
      <w:pPr>
        <w:spacing w:after="0" w:line="75" w:lineRule="exact"/>
        <w:rPr>
          <w:sz w:val="20"/>
          <w:szCs w:val="20"/>
          <w:color w:val="auto"/>
        </w:rPr>
      </w:pPr>
    </w:p>
    <w:p>
      <w:pPr>
        <w:ind w:left="960" w:hanging="476"/>
        <w:spacing w:after="0" w:line="274" w:lineRule="auto"/>
        <w:tabs>
          <w:tab w:leader="none" w:pos="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recruiting or training of talented sales force in existing and new markets to facilitate outreach and further adoption and awareness of our products;</w:t>
      </w:r>
    </w:p>
    <w:p>
      <w:pPr>
        <w:spacing w:after="0" w:line="5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for cell analysis;</w:t>
      </w:r>
    </w:p>
    <w:p>
      <w:pPr>
        <w:spacing w:after="0" w:line="9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inadequacy of evidence supporting benefits or cost-effectiveness of our products over existing alternatives;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risks generally associated with the use of new products and processes;</w:t>
      </w:r>
    </w:p>
    <w:p>
      <w:pPr>
        <w:spacing w:after="0" w:line="9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training required to use new products;</w:t>
      </w:r>
    </w:p>
    <w:p>
      <w:pPr>
        <w:spacing w:after="0" w:line="9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or delay in the research and development activities using our products;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products and alternatives; and</w:t>
      </w:r>
    </w:p>
    <w:p>
      <w:pPr>
        <w:spacing w:after="0" w:line="9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other novel alternative products for cell analysis.</w:t>
      </w:r>
    </w:p>
    <w:p>
      <w:pPr>
        <w:spacing w:after="0" w:line="98"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We believe that educating notable industry key opinion leaders, representatives of academic and government institutions, CROs, pharmaceutical companies and clinical laboratories about the merits and benefits of our products for flow cytometry and cell analysis is one of the key elements to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p>
    <w:p>
      <w:pPr>
        <w:spacing w:after="0" w:line="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53"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Approximately 48% and 43% of our revenue came from sales to academic and government-owned institutions in the three months ended June 30, 2025 and 2024,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w:t>
      </w:r>
    </w:p>
    <w:p>
      <w:pPr>
        <w:ind w:left="960" w:right="20" w:hanging="476"/>
        <w:spacing w:after="0" w:line="238"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including any reductions in funding to the U.S. National Institutes of Health (“NIH”);</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60" w:hanging="476"/>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hospitals and related institutions, including changes in the amount of funds allocated to different areas of research or changes that have the effect of increasing the length of the funding process;</w:t>
      </w:r>
    </w:p>
    <w:p>
      <w:pPr>
        <w:spacing w:after="0" w:line="5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the political climate;</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scientists’ and customers’ opinions of the utility of new products or services;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offerings or pricing;</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 such as ours.</w:t>
      </w:r>
    </w:p>
    <w:p>
      <w:pPr>
        <w:spacing w:after="0" w:line="111" w:lineRule="exact"/>
        <w:rPr>
          <w:sz w:val="20"/>
          <w:szCs w:val="20"/>
          <w:color w:val="auto"/>
        </w:rPr>
      </w:pPr>
    </w:p>
    <w:p>
      <w:pPr>
        <w:jc w:val="both"/>
        <w:ind w:firstLine="477"/>
        <w:spacing w:after="0" w:line="247" w:lineRule="auto"/>
        <w:rPr>
          <w:sz w:val="20"/>
          <w:szCs w:val="20"/>
          <w:color w:val="auto"/>
        </w:rPr>
      </w:pPr>
      <w:r>
        <w:rPr>
          <w:rFonts w:ascii="Times New Roman" w:cs="Times New Roman" w:eastAsia="Times New Roman" w:hAnsi="Times New Roman"/>
          <w:sz w:val="18"/>
          <w:szCs w:val="18"/>
          <w:color w:val="auto"/>
        </w:rPr>
        <w:t>In addition, various state, federal and foreign agencies that have traditionally provided grants and other funding for basic research, research and development, and clinical testing have been and may be subject to further stringent budgetary constraints that could result in spending reductions, reduced grant making, reduced allocations or budget cutbacks, including as a result of negative or worsening conditions in the general economy, which could jeopardize the ability of these customers, or the customers to whom they provide funding, to purchase our solutions. Recent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U.S., and threatening access to federal agency contracts and other funding awards based on companies’ otherwise lawful corporate policies and choice of counsel. For example, the Trump Administration is seeking to reduce research funding by the NIH for medical research. If the funding is reduced for studies related to the medical indications on which we are focused or on which researchers were or may have been considering applying for federal grants, our research and development initiatives could be delayed or otherwise affected. There is no guarantee that NIH appropriations will not decrease or halt in the future. A decrease in the amount of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spacing w:after="0" w:line="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53" w:lineRule="exact"/>
        <w:rPr>
          <w:sz w:val="20"/>
          <w:szCs w:val="20"/>
          <w:color w:val="auto"/>
        </w:rPr>
      </w:pPr>
    </w:p>
    <w:p>
      <w:pPr>
        <w:jc w:val="both"/>
        <w:ind w:firstLine="477"/>
        <w:spacing w:after="0" w:line="271" w:lineRule="auto"/>
        <w:rPr>
          <w:sz w:val="20"/>
          <w:szCs w:val="20"/>
          <w:color w:val="auto"/>
        </w:rPr>
      </w:pPr>
      <w:r>
        <w:rPr>
          <w:rFonts w:ascii="Times New Roman" w:cs="Times New Roman" w:eastAsia="Times New Roman" w:hAnsi="Times New Roman"/>
          <w:sz w:val="17"/>
          <w:szCs w:val="17"/>
          <w:color w:val="auto"/>
        </w:rPr>
        <w:t>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p>
    <w:p>
      <w:pPr>
        <w:spacing w:after="0" w:line="64"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53"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We face significant competition in the cell analysis and life sciences tools markets. We currently compete with both established and early stage life sciences and in vitro diagnostics companies that design, manufacture and market flow cytometry instruments, accessories,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Standard BioTools Inc.,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competitors and potential competitors may enjoy a number of competitive advantages over us, including:</w:t>
      </w:r>
    </w:p>
    <w:p>
      <w:pPr>
        <w:spacing w:after="0" w:line="111" w:lineRule="exact"/>
        <w:rPr>
          <w:sz w:val="20"/>
          <w:szCs w:val="20"/>
          <w:color w:val="auto"/>
        </w:rPr>
      </w:pPr>
    </w:p>
    <w:p>
      <w:pPr>
        <w:ind w:left="960" w:hanging="47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 bases;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brand recognition and market penetration;</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resources and capabilities;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technological and research and development resources;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quality assurance and regulatory staff;</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intellectual property portfolios;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system reliability and robustness;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selling and marketing capabilities; and</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11"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and successfully introduce new and enhanced products that meet the needs of our customers.</w:t>
      </w:r>
    </w:p>
    <w:p>
      <w:pPr>
        <w:spacing w:after="0" w:line="115"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Our current products include instruments, accessories, consumables and services to advance high-content and high-sensitivity cell analysis.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w:t>
      </w:r>
    </w:p>
    <w:p>
      <w:pPr>
        <w:spacing w:after="0" w:line="75"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w:t>
      </w:r>
    </w:p>
    <w:p>
      <w:pPr>
        <w:spacing w:after="0" w:line="76"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successfully developed and introduced, will be accepted by customers. If customers do not adopt our new products, services and technologies, our results of operations may suffer and, as a result, the market price of our common stock may decline.</w:t>
      </w:r>
    </w:p>
    <w:p>
      <w:pPr>
        <w:spacing w:after="0" w:line="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69"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accessories,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or adequately predict our customers’ needs or otherwise fail to obtain desired levels of market acceptance, our business may suffer and our operating results could be adversely affected.</w:t>
      </w:r>
    </w:p>
    <w:p>
      <w:pPr>
        <w:spacing w:after="0" w:line="84"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Full Spectrum Profiling (“FSP”) solutions, it could slow or stop our business growth and negatively impact our business, financial condition, results of operations and prospects.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product development involves a lengthy and complex process and we may be unable to develop or commercialize products on a timely basis, or at all.</w:t>
      </w:r>
    </w:p>
    <w:p>
      <w:pPr>
        <w:spacing w:after="0" w:line="127"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w:t>
      </w:r>
    </w:p>
    <w:p>
      <w:pPr>
        <w:spacing w:after="0" w:line="75" w:lineRule="exact"/>
        <w:rPr>
          <w:sz w:val="20"/>
          <w:szCs w:val="20"/>
          <w:color w:val="auto"/>
        </w:rPr>
      </w:pPr>
    </w:p>
    <w:p>
      <w:pPr>
        <w:ind w:left="960" w:hanging="476"/>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necessary regulatory approval;</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engineering and manufacturing processes to accommodate different products;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enter into agreements with new suppliers; and</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w:t>
      </w:r>
    </w:p>
    <w:p>
      <w:pPr>
        <w:spacing w:after="0" w:line="111"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58"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69" w:lineRule="exact"/>
        <w:rPr>
          <w:sz w:val="20"/>
          <w:szCs w:val="20"/>
          <w:color w:val="auto"/>
        </w:rPr>
      </w:pPr>
    </w:p>
    <w:p>
      <w:pPr>
        <w:jc w:val="both"/>
        <w:ind w:firstLine="477"/>
        <w:spacing w:after="0" w:line="266" w:lineRule="auto"/>
        <w:rPr>
          <w:sz w:val="20"/>
          <w:szCs w:val="20"/>
          <w:color w:val="auto"/>
        </w:rPr>
      </w:pPr>
      <w:r>
        <w:rPr>
          <w:rFonts w:ascii="Times New Roman" w:cs="Times New Roman" w:eastAsia="Times New Roman" w:hAnsi="Times New Roman"/>
          <w:sz w:val="17"/>
          <w:szCs w:val="17"/>
          <w:color w:val="auto"/>
        </w:rPr>
        <w:t>Our success depends on our ability to provide reliable, high-quality products that enable high-content and high-sensitivity cell analysis through flexible, efficient and cost-effective solutions. Our instruments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customers may discover defects in our products after the products have been fully installed and operated. In addition, some of our products include</w:t>
      </w:r>
    </w:p>
    <w:p>
      <w:pPr>
        <w:spacing w:after="0" w:line="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components from other vendors, which may contain latent defects. As a result, should problems occur, it may be difficult to identify the source of the problem. If we are unable to identify and fix defects or other problems, we could experience, among other things:</w:t>
      </w:r>
    </w:p>
    <w:p>
      <w:pPr>
        <w:spacing w:after="0" w:line="58" w:lineRule="exact"/>
        <w:rPr>
          <w:sz w:val="20"/>
          <w:szCs w:val="20"/>
          <w:color w:val="auto"/>
        </w:rPr>
      </w:pPr>
    </w:p>
    <w:p>
      <w:pPr>
        <w:ind w:left="960" w:hanging="476"/>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 orders;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warranty expenses;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development, engineering and manufacturing resources;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by governmental authorities; and</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actions by our customers.</w:t>
      </w:r>
    </w:p>
    <w:p>
      <w:pPr>
        <w:spacing w:after="0" w:line="111"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76"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76"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June 30, 2025, we had accrued approximately $1.7 million in expenses relating to product warranty accruals. Substantial amounts of warranty claims could have an adverse effect on our business, financial condition and results of operations.</w:t>
      </w:r>
    </w:p>
    <w:p>
      <w:pPr>
        <w:spacing w:after="0" w:line="79"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53"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From time to time, we may pursue acquisitions of businesses and assets. For example, in February 2023, we entered into an asset purchase agreement with Luminex Corporation (“Luminex”) and acquired certain assets related to the flow cytometry and imaging business unit of Luminex (the “FCI Acquisition”). We may choose to further expand our business by acquiring additional businesses or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We may not be able to integrate acquisitions successfully into our existing business, and in certain cases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spacing w:after="0" w:line="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53"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Seattle, Washington; Wuxi, China; and Singapore require global shipping services which are subject to certain factors outside of our control, such as increased costs due to fuel surcharges or otherwise, delays passing through customs and disruptions to global shipping routes. We experienced shipping delays and difficulties due to the COVID-19 pandemic and may again experience such delays or difficulties due to future pandemics,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spacing w:after="0" w:line="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53"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Our future sales will depend, in large part, on our ability to develop and substantially expand our sales infrastructure, particularly as we enter into new markets, roll 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 biotechnology companies, CROs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p>
    <w:p>
      <w:pPr>
        <w:spacing w:after="0" w:line="83"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p>
    <w:p>
      <w:pPr>
        <w:spacing w:after="0" w:line="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53"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We rely on a significant base of peer-reviewed publications to showcase and validate the importance and application of our technology in academic and clinical research settings. As of June 30, 2025, there have been more than 2,800 peer-reviewed articles published since our first commercial launch in 2017,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p>
    <w:p>
      <w:pPr>
        <w:spacing w:after="0" w:line="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53"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76"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Competition for skilled personnel in our market is intense.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p>
    <w:p>
      <w:pPr>
        <w:spacing w:after="0" w:line="81"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76"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has significantly appreciated in value, or if the exercise prices of the options that they hold are significantly below the market price of our common stock.</w:t>
      </w:r>
    </w:p>
    <w:p>
      <w:pPr>
        <w:spacing w:after="0" w:line="76"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increased the size of our organization and expect to further increase it in the future, and we may experience difficulties in managing our growth.</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the anticipated growth of our business, our future revenue and operating results may be harmed.</w:t>
      </w:r>
    </w:p>
    <w:p>
      <w:pPr>
        <w:spacing w:after="0" w:line="92"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As of June 30, 2025, we had 688 full-time employees. As our sales and marketing strategies develop, we expect to need additional managerial, operational, sales, marketing, financial and other personnel. Future growth would impose significant added responsibilities on members of management, including:</w:t>
      </w:r>
    </w:p>
    <w:p>
      <w:pPr>
        <w:spacing w:after="0" w:line="70" w:lineRule="exact"/>
        <w:rPr>
          <w:sz w:val="20"/>
          <w:szCs w:val="20"/>
          <w:color w:val="auto"/>
        </w:rPr>
      </w:pPr>
    </w:p>
    <w:p>
      <w:pPr>
        <w:ind w:left="960" w:hanging="476"/>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1" w:lineRule="exact"/>
        <w:rPr>
          <w:rFonts w:ascii="Times New Roman" w:cs="Times New Roman" w:eastAsia="Times New Roman" w:hAnsi="Times New Roman"/>
          <w:sz w:val="18"/>
          <w:szCs w:val="18"/>
          <w:color w:val="auto"/>
        </w:rPr>
      </w:pPr>
    </w:p>
    <w:p>
      <w:pPr>
        <w:ind w:left="960" w:right="20" w:hanging="476"/>
        <w:spacing w:after="0" w:line="274"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contractors and other third parties; and</w:t>
      </w:r>
    </w:p>
    <w:p>
      <w:pPr>
        <w:spacing w:after="0" w:line="5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11" w:lineRule="exact"/>
        <w:rPr>
          <w:sz w:val="20"/>
          <w:szCs w:val="20"/>
          <w:color w:val="auto"/>
        </w:rPr>
      </w:pPr>
    </w:p>
    <w:p>
      <w:pPr>
        <w:jc w:val="both"/>
        <w:ind w:firstLine="477"/>
        <w:spacing w:after="0" w:line="265" w:lineRule="auto"/>
        <w:rPr>
          <w:sz w:val="20"/>
          <w:szCs w:val="20"/>
          <w:color w:val="auto"/>
        </w:rPr>
      </w:pPr>
      <w:r>
        <w:rPr>
          <w:rFonts w:ascii="Times New Roman" w:cs="Times New Roman" w:eastAsia="Times New Roman" w:hAnsi="Times New Roman"/>
          <w:sz w:val="17"/>
          <w:szCs w:val="17"/>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information technology, finance, legal, human resources,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69"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In connection with our financial statement close process for the year ended December 31, 2024, we identified deficiencies in the control environment and control activities components of the Committee of Sponsoring Organizations (“COSO”) framework that constitute material weaknesses, either individually or in the aggregate. These included deficiencies in the control environment, as well as deficiencies related to control activities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 See the section titled “Item 4. Controls and Procedures” for additional information.</w:t>
      </w:r>
    </w:p>
    <w:p>
      <w:pPr>
        <w:spacing w:after="0" w:line="83"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These deficiencies could result in additional material misstatements to our consolidated financial statements that could not be prevented or detected on a timely basis.</w:t>
      </w:r>
    </w:p>
    <w:p>
      <w:pPr>
        <w:spacing w:after="0" w:line="70"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We cannot be certain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We currently do not have an internal audit group, and we will need to hire additional accounting and finance staff and consultants with appropriate public company experience and technical accounting knowledge to remediate the control deficiencies.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For example, we required additional time to complete our financial closing procedures and ensure appropriate accounting of various intercompany transactions and accruals at the end of the quarter ended September 30, 2023. In addition, we required additional time to complete our financial closing procedures as of the end of period ending December 31, 2023 due to a lack of internal accounting resources, resulting in a delay in obtaining and compiling</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required information. Accordingly, we were not able to complete the preparation, review and filing of our Quarterly Report on Form 10-Q for the quarter ended September 30, 2023, and our Annual Report on Form 10-K for the year ended December 31, 2023, within the prescribed time period without unreasonable effort or expense. Such filings were timely made on or prior to the prescribed due date pursuant to Form 12b-25, with adjustments to certain line items in the financial statements with respect to such Annual Report.</w:t>
      </w:r>
    </w:p>
    <w:p>
      <w:pPr>
        <w:spacing w:after="0" w:line="75"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our products and/or expand our operations.</w:t>
      </w:r>
    </w:p>
    <w:p>
      <w:pPr>
        <w:spacing w:after="0" w:line="115"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p>
    <w:p>
      <w:pPr>
        <w:spacing w:after="0" w:line="75"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some of which are beyond our control, including:</w:t>
      </w:r>
    </w:p>
    <w:p>
      <w:pPr>
        <w:spacing w:after="0" w:line="111" w:lineRule="exact"/>
        <w:rPr>
          <w:sz w:val="20"/>
          <w:szCs w:val="20"/>
          <w:color w:val="auto"/>
        </w:rPr>
      </w:pPr>
    </w:p>
    <w:p>
      <w:pPr>
        <w:ind w:left="960" w:hanging="476"/>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revenue growth;</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operations, including our sales and marketing efforts;</w:t>
      </w:r>
    </w:p>
    <w:p>
      <w:pPr>
        <w:spacing w:after="0" w:line="111"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launching and commercializing new products, and the cost of the sales and marketing activities associated with, establishing adoption of our products;</w:t>
      </w:r>
    </w:p>
    <w:p>
      <w:pPr>
        <w:spacing w:after="0" w:line="5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in research and development;</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products;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product recall that may occur;</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domestic and international expansion;</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and enforcing our intellectual property rights; and</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collaborative, licensing and other arrangements that we may establish.</w:t>
      </w:r>
    </w:p>
    <w:p>
      <w:pPr>
        <w:spacing w:after="0" w:line="111" w:lineRule="exact"/>
        <w:rPr>
          <w:sz w:val="20"/>
          <w:szCs w:val="20"/>
          <w:color w:val="auto"/>
        </w:rPr>
      </w:pPr>
    </w:p>
    <w:p>
      <w:pPr>
        <w:jc w:val="both"/>
        <w:ind w:firstLine="477"/>
        <w:spacing w:after="0" w:line="267" w:lineRule="auto"/>
        <w:rPr>
          <w:sz w:val="20"/>
          <w:szCs w:val="20"/>
          <w:color w:val="auto"/>
        </w:rPr>
      </w:pPr>
      <w:r>
        <w:rPr>
          <w:rFonts w:ascii="Times New Roman" w:cs="Times New Roman" w:eastAsia="Times New Roman" w:hAnsi="Times New Roman"/>
          <w:sz w:val="17"/>
          <w:szCs w:val="17"/>
          <w:color w:val="auto"/>
        </w:rPr>
        <w:t>Additional funding may not be available on acceptable terms, or at all. Weakness and volatility in the capital markets and the economy in general could limit our access to the capital markets and increase our cost of borrowing.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w:t>
      </w:r>
    </w:p>
    <w:p>
      <w:pPr>
        <w:spacing w:after="0" w:line="70"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In addition, our ability to raise additional funds may be adversely impacted by potential worsening global economic conditions and the disruptions to, and volatility in, the credit and financial markets in the United States and worldwide resulting from geopolitical tensions, such as the ongoing war in Ukraine, conflict in the Middle East, government actions implemented as a result of either of the foregoing, as well as tensions with and economic uncertainty in China, inflation, rising interest rates and liquidity concerns at, and failures of, banks and other financial institutions. The global economy, including credit and financial markets, has experienced extreme volatility and disruptions, including severely diminished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p>
    <w:p>
      <w:pPr>
        <w:spacing w:after="0" w:line="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3"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58" w:lineRule="exact"/>
        <w:rPr>
          <w:sz w:val="20"/>
          <w:szCs w:val="20"/>
          <w:color w:val="auto"/>
        </w:rPr>
      </w:pPr>
    </w:p>
    <w:p>
      <w:pPr>
        <w:ind w:left="960" w:hanging="476"/>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products, which may vary significantly;</w:t>
      </w:r>
    </w:p>
    <w:p>
      <w:pPr>
        <w:spacing w:after="0" w:line="111"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manufacturing, regulatory approval and commercialization activities relating to our products, which may change from time to time;</w:t>
      </w:r>
    </w:p>
    <w:p>
      <w:pPr>
        <w:spacing w:after="0" w:line="5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seasonality and customer mix of the cell analysis market;</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efforts and expenses;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productivity of our sales force;</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distribution partners in selling our products;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in the media or publications of our products or competitive products;</w:t>
      </w:r>
    </w:p>
    <w:p>
      <w:pPr>
        <w:spacing w:after="0" w:line="111"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which may vary depending on the quantity of production and the terms of our arrangements with our suppliers;</w:t>
      </w:r>
    </w:p>
    <w:p>
      <w:pPr>
        <w:spacing w:after="0" w:line="57"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the introduction of new products or enhancements or technologies by us or others in the cell analysis market and competition-related pricing pressures;</w:t>
      </w:r>
    </w:p>
    <w:p>
      <w:pPr>
        <w:spacing w:after="0" w:line="5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 or applications;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1"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the industry in which we do business, including those related to widespread health crises;</w:t>
      </w:r>
    </w:p>
    <w:p>
      <w:pPr>
        <w:spacing w:after="0" w:line="5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financial crises and economic downturns, including those caused by widespread public health crises;</w:t>
      </w:r>
    </w:p>
    <w:p>
      <w:pPr>
        <w:spacing w:after="0" w:line="111"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including changes in inflation, interest rates, foreign currency rates, liquidity concerns at, and failures of, banks and other financial institutions and the potential effect of such factors on revenues and expenses; and</w:t>
      </w:r>
    </w:p>
    <w:p>
      <w:pPr>
        <w:spacing w:after="0" w:line="58"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58"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products may be smaller than we estimate.</w:t>
      </w:r>
    </w:p>
    <w:p>
      <w:pPr>
        <w:spacing w:after="0" w:line="115"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 xml:space="preserve">Within the life sciences technology market, flow cytometry technologies currently provide solutions largely within cell proliferation, cell counting, cell identification, cell quality control and single-cell applications. However, we believe that the enhanced capabilities of our FSP platform have the potential to capture an increasingly greater share of the broader cell analysis market.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p>
    <w:p>
      <w:pPr>
        <w:spacing w:after="0" w:line="86"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total addressable market for our products is even more difficult to predict.</w:t>
      </w:r>
    </w:p>
    <w:p>
      <w:pPr>
        <w:spacing w:after="0" w:line="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53"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76" w:lineRule="exact"/>
        <w:rPr>
          <w:sz w:val="20"/>
          <w:szCs w:val="20"/>
          <w:color w:val="auto"/>
        </w:rPr>
      </w:pPr>
    </w:p>
    <w:p>
      <w:pPr>
        <w:ind w:left="960" w:hanging="476"/>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costs;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products or new products;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business reputation;</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withdrawals from the market;</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or</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existing agreements by our partners and potential partners failing to partner with us.</w:t>
      </w:r>
    </w:p>
    <w:p>
      <w:pPr>
        <w:spacing w:after="0" w:line="111"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70"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harm our business.</w:t>
      </w:r>
    </w:p>
    <w:p>
      <w:pPr>
        <w:spacing w:after="0" w:line="115"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See Note 18 to our consolidated financial statements included elsewhere in this Quarterly Report on Form 10-Q for information regarding ongoing legal proceedings.</w:t>
      </w:r>
    </w:p>
    <w:p>
      <w:pPr>
        <w:spacing w:after="0" w:line="76" w:lineRule="exact"/>
        <w:rPr>
          <w:sz w:val="20"/>
          <w:szCs w:val="20"/>
          <w:color w:val="auto"/>
        </w:rPr>
      </w:pPr>
    </w:p>
    <w:p>
      <w:pPr>
        <w:jc w:val="both"/>
        <w:ind w:firstLine="477"/>
        <w:spacing w:after="0" w:line="242" w:lineRule="auto"/>
        <w:rPr>
          <w:sz w:val="20"/>
          <w:szCs w:val="20"/>
          <w:color w:val="auto"/>
        </w:rPr>
      </w:pPr>
      <w:r>
        <w:rPr>
          <w:rFonts w:ascii="Times New Roman" w:cs="Times New Roman" w:eastAsia="Times New Roman" w:hAnsi="Times New Roman"/>
          <w:sz w:val="18"/>
          <w:szCs w:val="18"/>
          <w:color w:val="auto"/>
        </w:rPr>
        <w:t>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7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b w:val="1"/>
          <w:bCs w:val="1"/>
          <w:i w:val="1"/>
          <w:iCs w:val="1"/>
          <w:color w:val="auto"/>
        </w:rPr>
        <w:t>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50"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collect, use, store, safeguard, disclose, share, transfer, secure and otherwise process (collectively, “Process” or “Processing”) proprietary, confidential and sensitive data, including personal information (such as key-coded data, health information and other special categories of personal information), intellectual property, trade secrets and proprietary business information owned or controlled by ourselves, our customers and other parties (collectively, “Sensitive Information”). We rely upon third parties (such as service providers) for our data processing–related activities and share or receive Sensitive Information with or from third parties.</w:t>
      </w:r>
    </w:p>
    <w:p>
      <w:pPr>
        <w:spacing w:after="0" w:line="76" w:lineRule="exact"/>
        <w:rPr>
          <w:sz w:val="20"/>
          <w:szCs w:val="20"/>
          <w:color w:val="auto"/>
        </w:rPr>
      </w:pPr>
    </w:p>
    <w:p>
      <w:pPr>
        <w:jc w:val="both"/>
        <w:ind w:firstLine="477"/>
        <w:spacing w:after="0" w:line="247" w:lineRule="auto"/>
        <w:rPr>
          <w:sz w:val="20"/>
          <w:szCs w:val="20"/>
          <w:color w:val="auto"/>
        </w:rPr>
      </w:pPr>
      <w:r>
        <w:rPr>
          <w:rFonts w:ascii="Times New Roman" w:cs="Times New Roman" w:eastAsia="Times New Roman" w:hAnsi="Times New Roman"/>
          <w:sz w:val="18"/>
          <w:szCs w:val="18"/>
          <w:color w:val="auto"/>
        </w:rPr>
        <w:t>We face a variety of evolving threats, which have in the past and could in the future cause security incidents.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becoming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cyber-attacks, that could materially disrupt our systems and operations, supply chain, and ability to produce, sell and distribute our goods and services.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(“AI ”), and other similar threats. In particular, severe ransomware attacks, including those perpetrated by organized criminal threat actors, nation-states, and nation-state-supported actors, are becoming increasingly prevalent and severe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Additionally, employees working from home, while in transit and in public locations, pose increased risks to our information technology systems and data when utilizing network connections, computers, and devices outside our premises or network.</w:t>
      </w:r>
    </w:p>
    <w:p>
      <w:pPr>
        <w:spacing w:after="0" w:line="91"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It may be, and in certain cases has been,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477"/>
        <w:spacing w:after="0" w:line="267" w:lineRule="auto"/>
        <w:rPr>
          <w:sz w:val="20"/>
          <w:szCs w:val="20"/>
          <w:color w:val="auto"/>
        </w:rPr>
      </w:pPr>
      <w:r>
        <w:rPr>
          <w:rFonts w:ascii="Times New Roman" w:cs="Times New Roman" w:eastAsia="Times New Roman" w:hAnsi="Times New Roman"/>
          <w:sz w:val="17"/>
          <w:szCs w:val="17"/>
          <w:color w:val="auto"/>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 Our sensitive information or sensitive information of our customers could also be leaked, disclosed, or revealed as a result of or in connection with our employees’, personnel’s, or vendors’ use of generative AI technologies. 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discover security issues that were not found during due diligence of such acquired or integrated entities, and it may be difficult to integrate companies into our information technology environment and security program.</w:t>
      </w:r>
    </w:p>
    <w:p>
      <w:pPr>
        <w:spacing w:after="0" w:line="70"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We rely on third parties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spacing w:after="0" w:line="79"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with whom we work), but have not, and we may not in the future, detect, mitigate,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spacing w:after="0" w:line="76"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(and have in the past caused) a security incident or other interruption that could result, and in certain cases in the past has resulted,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products and services. We expend significant resources and may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83"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of security incidents, including affected individuals, customers, regulators and investors, or to take other actions, such as providing credit monitoring and identity theft protections services. Such disclosures and related actions can be costly, and the disclosures or the failure to comply with applicable requirements could lead to adverse consequences. 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data (including personal information); litigation (including class claims); indemnification obligations; negative publicity; reputational harm; monetary fund diversions; diversion of management’s attention; interruptions in our operations (including availability of data); financial loss; and other similar harms. Security incidents and attendant material consequences may cause customers to stop using our products and services, deter new customers from purchasing our products and services, and negatively impact our ability to grow and operate our business.</w:t>
      </w:r>
    </w:p>
    <w:p>
      <w:pPr>
        <w:spacing w:after="0" w:line="81"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Further,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15"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79"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We manufacture our products at our manufacturing facilities located in Fremont and San Diego, California; Seattle, Washington; Wuxi, China; and Singapore;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15"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spacing w:after="0" w:line="88"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Operating as a public company may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p>
    <w:p>
      <w:pPr>
        <w:spacing w:after="0" w:line="69" w:lineRule="exact"/>
        <w:rPr>
          <w:sz w:val="20"/>
          <w:szCs w:val="20"/>
          <w:color w:val="auto"/>
        </w:rPr>
      </w:pPr>
    </w:p>
    <w:p>
      <w:pPr>
        <w:jc w:val="both"/>
        <w:ind w:right="20" w:firstLine="477"/>
        <w:spacing w:after="0" w:line="274" w:lineRule="auto"/>
        <w:rPr>
          <w:sz w:val="20"/>
          <w:szCs w:val="20"/>
          <w:color w:val="auto"/>
        </w:rPr>
      </w:pPr>
      <w:r>
        <w:rPr>
          <w:rFonts w:ascii="Times New Roman" w:cs="Times New Roman" w:eastAsia="Times New Roman" w:hAnsi="Times New Roman"/>
          <w:sz w:val="18"/>
          <w:szCs w:val="18"/>
          <w:color w:val="auto"/>
        </w:rPr>
        <w:t>Our research and development and manufacturing processes involve the controlled use of hazardous materials, including flammables, toxics, corrosives and biologics. Our research operations produce hazardous biological and chemical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w:t>
      </w:r>
    </w:p>
    <w:p>
      <w:pPr>
        <w:spacing w:after="0" w:line="81"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In addition, because our product contains metals and electronic components which are purchased from third-party vendors, we are required under rules promulgated by the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(the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w:t>
      </w:r>
    </w:p>
    <w:p>
      <w:pPr>
        <w:spacing w:after="0" w:line="86"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currency exchange risk.</w:t>
      </w:r>
    </w:p>
    <w:p>
      <w:pPr>
        <w:spacing w:after="0" w:line="115" w:lineRule="exact"/>
        <w:rPr>
          <w:sz w:val="20"/>
          <w:szCs w:val="20"/>
          <w:color w:val="auto"/>
        </w:rPr>
      </w:pPr>
    </w:p>
    <w:p>
      <w:pPr>
        <w:jc w:val="both"/>
        <w:ind w:firstLine="477"/>
        <w:spacing w:after="0" w:line="269" w:lineRule="auto"/>
        <w:rPr>
          <w:sz w:val="20"/>
          <w:szCs w:val="20"/>
          <w:color w:val="auto"/>
        </w:rPr>
      </w:pPr>
      <w:r>
        <w:rPr>
          <w:rFonts w:ascii="Times New Roman" w:cs="Times New Roman" w:eastAsia="Times New Roman" w:hAnsi="Times New Roman"/>
          <w:sz w:val="17"/>
          <w:szCs w:val="17"/>
          <w:color w:val="auto"/>
        </w:rPr>
        <w:t>A substantial amount of our revenues is derived from international operations, and we anticipate that a significant portion of our sales will continue to come from outside the United States in the future.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Our Industry</w:t>
      </w:r>
    </w:p>
    <w:p>
      <w:pPr>
        <w:spacing w:after="0" w:line="2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69"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Currently, our Northern Lights CLC system is available for clinical use in only China and the European Union. Our Cytek Aurora, Cytek Northern Lights and Cytek Aurora Evo systems are otherwise available to customers as research use 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w:t>
      </w:r>
    </w:p>
    <w:p>
      <w:pPr>
        <w:spacing w:after="0" w:line="70" w:lineRule="exact"/>
        <w:rPr>
          <w:sz w:val="20"/>
          <w:szCs w:val="20"/>
          <w:color w:val="auto"/>
        </w:rPr>
      </w:pPr>
    </w:p>
    <w:p>
      <w:pPr>
        <w:jc w:val="both"/>
        <w:ind w:firstLine="477"/>
        <w:spacing w:after="0" w:line="247" w:lineRule="auto"/>
        <w:rPr>
          <w:sz w:val="20"/>
          <w:szCs w:val="20"/>
          <w:color w:val="auto"/>
        </w:rPr>
      </w:pPr>
      <w:r>
        <w:rPr>
          <w:rFonts w:ascii="Times New Roman" w:cs="Times New Roman" w:eastAsia="Times New Roman" w:hAnsi="Times New Roman"/>
          <w:sz w:val="18"/>
          <w:szCs w:val="18"/>
          <w:color w:val="auto"/>
        </w:rPr>
        <w:t>As part of our growth strategy, we plan to seek approval to offer our Cytek Aurora and Northern Lights systems for clinical use in the United States and/or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p>
    <w:p>
      <w:pPr>
        <w:spacing w:after="0" w:line="9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53"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83" w:lineRule="exact"/>
        <w:rPr>
          <w:sz w:val="20"/>
          <w:szCs w:val="20"/>
          <w:color w:val="auto"/>
        </w:rPr>
      </w:pPr>
    </w:p>
    <w:p>
      <w:pPr>
        <w:ind w:left="960" w:hanging="476"/>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or refunds;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PMA approval of new products or modified products;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510(k) clearances on PMA approvals that have already been granted;</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11"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70"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Later discovery of previously unknown problems with our products, including manufacturing problems, or failure to comply with regulatory requirements such as the QSR, may result in changes to labeling, restrictions on such products or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70"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p>
    <w:p>
      <w:pPr>
        <w:spacing w:after="0" w:line="53" w:lineRule="exact"/>
        <w:rPr>
          <w:sz w:val="20"/>
          <w:szCs w:val="20"/>
          <w:color w:val="auto"/>
        </w:rPr>
      </w:pPr>
    </w:p>
    <w:p>
      <w:pPr>
        <w:jc w:val="both"/>
        <w:ind w:firstLine="477"/>
        <w:spacing w:after="0" w:line="265" w:lineRule="auto"/>
        <w:rPr>
          <w:sz w:val="20"/>
          <w:szCs w:val="20"/>
          <w:color w:val="auto"/>
        </w:rPr>
      </w:pPr>
      <w:r>
        <w:rPr>
          <w:rFonts w:ascii="Times New Roman" w:cs="Times New Roman" w:eastAsia="Times New Roman" w:hAnsi="Times New Roman"/>
          <w:sz w:val="17"/>
          <w:szCs w:val="17"/>
          <w:color w:val="auto"/>
        </w:rPr>
        <w:t>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w:t>
      </w:r>
    </w:p>
    <w:p>
      <w:pPr>
        <w:spacing w:after="0" w:line="70" w:lineRule="exact"/>
        <w:rPr>
          <w:sz w:val="20"/>
          <w:szCs w:val="20"/>
          <w:color w:val="auto"/>
        </w:rPr>
      </w:pPr>
    </w:p>
    <w:p>
      <w:pPr>
        <w:jc w:val="both"/>
        <w:ind w:firstLine="477"/>
        <w:spacing w:after="0" w:line="275" w:lineRule="auto"/>
        <w:rPr>
          <w:sz w:val="20"/>
          <w:szCs w:val="20"/>
          <w:color w:val="auto"/>
        </w:rPr>
      </w:pPr>
      <w:r>
        <w:rPr>
          <w:rFonts w:ascii="Times New Roman" w:cs="Times New Roman" w:eastAsia="Times New Roman" w:hAnsi="Times New Roman"/>
          <w:sz w:val="17"/>
          <w:szCs w:val="17"/>
          <w:color w:val="auto"/>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w:t>
      </w:r>
    </w:p>
    <w:p>
      <w:pPr>
        <w:spacing w:after="0" w:line="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w:t>
      </w:r>
    </w:p>
    <w:p>
      <w:pPr>
        <w:spacing w:after="0" w:line="53"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p>
    <w:p>
      <w:pPr>
        <w:spacing w:after="0" w:line="79"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arbitration demands, harm to our reputation, loss of revenue or profits, and other adverse effects on our business or prospects.</w:t>
      </w:r>
    </w:p>
    <w:p>
      <w:pPr>
        <w:spacing w:after="0" w:line="115"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In the course of our operations, we collect, receive, store, process, generate, use, transfer, disclose, make accessible, protect, secure, dispose of, transmit, and share sensitive, confidential, and proprietary information, including personal information, business data, trade secrets, intellectual property, and sensitive third-party data.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spacing w:after="0" w:line="75" w:lineRule="exact"/>
        <w:rPr>
          <w:sz w:val="20"/>
          <w:szCs w:val="20"/>
          <w:color w:val="auto"/>
        </w:rPr>
      </w:pPr>
    </w:p>
    <w:p>
      <w:pPr>
        <w:jc w:val="both"/>
        <w:ind w:firstLine="477"/>
        <w:spacing w:after="0" w:line="263" w:lineRule="auto"/>
        <w:rPr>
          <w:sz w:val="20"/>
          <w:szCs w:val="20"/>
          <w:color w:val="auto"/>
        </w:rPr>
      </w:pPr>
      <w:r>
        <w:rPr>
          <w:rFonts w:ascii="Times New Roman" w:cs="Times New Roman" w:eastAsia="Times New Roman" w:hAnsi="Times New Roman"/>
          <w:sz w:val="17"/>
          <w:szCs w:val="17"/>
          <w:color w:val="auto"/>
        </w:rPr>
        <w:t>In the United States, federal, state, and local governments have enacted numerous data privacy and security laws, including data breach notification laws, personal information privacy and security laws, and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 for statutory fines for noncompliance. For example, the California Consumer Privacy Act of 2018 (the “CCPA”) applies to personal information of consumers, business representatives, and employees, and requires businesses to provide specific disclosures in privacy notices and honor requests of California residents to exercise certain rights related to their personal information. The CCPA allows for statutory fines for noncompliance (up to $7,988 per intentional violation) and allows private litigants affected by certain data breaches to recover significant statutory damages. The CCPA and other U.S. comprehensive privacy laws exempt some data processed in the context of clinical trials, but these developments increase compliance costs and potential liability with respect to other personal information we maintain about residents in these states.</w:t>
      </w:r>
    </w:p>
    <w:p>
      <w:pPr>
        <w:spacing w:after="0" w:line="77"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Similar laws are being considered in several other states, as well as at the federal and local levels, and we expect more jurisdictions to pass similar laws in the future.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increasing legal risk and compliance costs for us and the third parties with whom we work.</w:t>
      </w:r>
    </w:p>
    <w:p>
      <w:pPr>
        <w:spacing w:after="0" w:line="75" w:lineRule="exact"/>
        <w:rPr>
          <w:sz w:val="20"/>
          <w:szCs w:val="20"/>
          <w:color w:val="auto"/>
        </w:rPr>
      </w:pPr>
    </w:p>
    <w:p>
      <w:pPr>
        <w:jc w:val="both"/>
        <w:ind w:firstLine="477"/>
        <w:spacing w:after="0" w:line="263" w:lineRule="auto"/>
        <w:rPr>
          <w:sz w:val="20"/>
          <w:szCs w:val="20"/>
          <w:color w:val="auto"/>
        </w:rPr>
      </w:pPr>
      <w:r>
        <w:rPr>
          <w:rFonts w:ascii="Times New Roman" w:cs="Times New Roman" w:eastAsia="Times New Roman" w:hAnsi="Times New Roman"/>
          <w:sz w:val="17"/>
          <w:szCs w:val="17"/>
          <w:color w:val="auto"/>
        </w:rPr>
        <w:t>Outside the United States, an increasing number of laws, regulations, and industry standards apply to data privacy and security. For example, the European Union’s General Data Protection Regulation (“EU GDPR”) and the United Kingdom’s General Data Protection Regulation (“UK GDPR”) (collectively, “GDPR”) impose strict requirements for processing the personal information of individuals located, respectively, within the European Economic Area (“EEA”) and the United Kingdom (“UK”). For example, violations of the GDPR can result in temporary or definitive bans on data processing and other corrective actions; fines of up to 20 million Euros (£17.5 million for the UK GDPR) or 4% of annual global revenue, whichever is greater; or private litigation related to processing of personal information brought by classes of data subjects or consumer protection organizations authorized at law to represent their interests. In Europe, the Network and Information Security Directive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 Other countries outside of Europe have enacted or are considering enacting similar comprehensive data privacy and security laws and regulations, which could increase the cost and complexity of delivering our services and operating our business. For example, China’s Personal Information Protection Law (“PIPL”) broadly regulates data privacy and security practices and imposes strict requirements for processing personal information. As another example, Canada has enacted the Personal Information Protection and Electronic Documents Act and Canada’s Anti-Spam Legislation, which broadly regulate the processing of personal information and impose compliance obligations and penalties comparable to those of European data privacy and security laws. Complying with these and other similar laws and regulations (to the extent applicable) causes us to incur substantial operational costs and may require us to change our business practices, and could lead to material fines, penalties and liability.</w:t>
      </w:r>
    </w:p>
    <w:p>
      <w:pPr>
        <w:spacing w:after="0" w:line="77" w:lineRule="exact"/>
        <w:rPr>
          <w:sz w:val="20"/>
          <w:szCs w:val="20"/>
          <w:color w:val="auto"/>
        </w:rPr>
      </w:pPr>
    </w:p>
    <w:p>
      <w:pPr>
        <w:jc w:val="both"/>
        <w:ind w:firstLine="477"/>
        <w:spacing w:after="0" w:line="252" w:lineRule="auto"/>
        <w:rPr>
          <w:sz w:val="20"/>
          <w:szCs w:val="20"/>
          <w:color w:val="auto"/>
        </w:rPr>
      </w:pPr>
      <w:r>
        <w:rPr>
          <w:rFonts w:ascii="Times New Roman" w:cs="Times New Roman" w:eastAsia="Times New Roman" w:hAnsi="Times New Roman"/>
          <w:sz w:val="18"/>
          <w:szCs w:val="18"/>
          <w:color w:val="auto"/>
        </w:rPr>
        <w:t>In addition, many jurisdictions have enacted data localization laws and cross-border persona information transfer laws. These laws may make it more difficult for us to transfer personal information across jurisdictions, which could impede our business. For example, absent appropriate safeguards or other circumstances, the GDPR generally restricts the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transfer of personal information to the United States and other countries that are viewed by some regulators to not generally provide an adequate level of data privacy and security. Although there are currently various mechanisms that can be used to transfer personal information from the EEA and UK to the United States in compliance with law, such as the EEA standard contractual clauses, the UK’s International Data Transfer Agreement / Addendum, and the EU-U.S. Data Privacy Framework (the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information to the United States or other countries. In addition to European restrictions on cross-border transfers of personal information, other jurisdictions have enacted or are considering similar cross-border personal information transfer laws and local personal information residency laws,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requiring us to increase our personal information processing capabilities in Europe and/or elsewhere at significant expense; increased exposure to regulatory actions; and substantial fines and penalties.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205" w:lineRule="exact"/>
        <w:rPr>
          <w:sz w:val="20"/>
          <w:szCs w:val="20"/>
          <w:color w:val="auto"/>
        </w:rPr>
      </w:pPr>
    </w:p>
    <w:p>
      <w:pPr>
        <w:jc w:val="both"/>
        <w:ind w:firstLine="477"/>
        <w:spacing w:after="0" w:line="236" w:lineRule="auto"/>
        <w:rPr>
          <w:sz w:val="20"/>
          <w:szCs w:val="20"/>
          <w:color w:val="auto"/>
        </w:rPr>
      </w:pPr>
      <w:r>
        <w:rPr>
          <w:rFonts w:ascii="Times New Roman" w:cs="Times New Roman" w:eastAsia="Times New Roman" w:hAnsi="Times New Roman"/>
          <w:sz w:val="18"/>
          <w:szCs w:val="18"/>
          <w:color w:val="auto"/>
        </w:rPr>
        <w:t>The U.S. Department of Justice has issued a rule titled “Preventing Access to U.S. Sensitive Personal Data and Government-Related Data by Countries of Concern or Covered Persons,” which places additional restrictions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207" w:lineRule="exact"/>
        <w:rPr>
          <w:sz w:val="20"/>
          <w:szCs w:val="20"/>
          <w:color w:val="auto"/>
        </w:rPr>
      </w:pPr>
    </w:p>
    <w:p>
      <w:pPr>
        <w:jc w:val="both"/>
        <w:ind w:firstLine="477"/>
        <w:spacing w:after="0" w:line="233" w:lineRule="auto"/>
        <w:rPr>
          <w:sz w:val="20"/>
          <w:szCs w:val="20"/>
          <w:color w:val="auto"/>
        </w:rPr>
      </w:pPr>
      <w:r>
        <w:rPr>
          <w:rFonts w:ascii="Times New Roman" w:cs="Times New Roman" w:eastAsia="Times New Roman" w:hAnsi="Times New Roman"/>
          <w:sz w:val="18"/>
          <w:szCs w:val="18"/>
          <w:color w:val="auto"/>
        </w:rPr>
        <w:t>Our employees and personnel use generative AI and/or automated decision-making technologies to perform their work, and the disclosure and use of personal information in AI technologies is subject to various privacy laws and other privacy obligations. Governments have passed and are likely to pass additional laws regulating AI and/or automated decision-making technologies. Our use of such technologies could result in additional compliance costs, regulatory investigations and actions, and consumer lawsuits. If we are unable to use AI and/or automated decision-making technologies, it could make our business less efficient and result in competitive disadvantages. We also use AI and machine learning (“ML”) to assist us in making certain decisions, which is regulated by certain privacy laws. Due to inaccuracies or flaws in the inputs, outputs, or logic of the AI/ML, the model could be biased and could lead us to make decisions that could bias certain individuals (or classes of individuals), and adversely impact their rights, employment, and ability to obtain certain pricing, products, services, or benefits.</w:t>
      </w:r>
    </w:p>
    <w:p>
      <w:pPr>
        <w:spacing w:after="0" w:line="90"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In addition to data privacy and security laws, privacy advocates and industry groups have proposed, and may propose in the future, standards with which we are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data privacy and security laws, such as the EU/UK GDPR and the CCPA, require us to impose specific contractual restrictions on our service providers. 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86"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Our obligations related to data privacy and security (and consumers’ data privacy and security expectations) are quickly changing in an increasingly stringent fashion and creating regulatory uncertainty. These obligations may be subject to differing applications and interpretations, which may be inconsistent or in conflict among jurisdictions. Preparing for and complying with these obligations requires us to devote significant resources (including, without limitation, financial</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and time-related resources), which may necessitate changes to our information technologies, systems, and practices and to those of any third parties with whom we work.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impact our compliance posture and business operations. If we or the third parties with whom we work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business model or operations.</w:t>
      </w:r>
    </w:p>
    <w:p>
      <w:pPr>
        <w:spacing w:after="0" w:line="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53" w:lineRule="exact"/>
        <w:rPr>
          <w:sz w:val="20"/>
          <w:szCs w:val="20"/>
          <w:color w:val="auto"/>
        </w:rPr>
      </w:pPr>
    </w:p>
    <w:p>
      <w:pPr>
        <w:jc w:val="both"/>
        <w:ind w:firstLine="477"/>
        <w:spacing w:after="0" w:line="269" w:lineRule="auto"/>
        <w:rPr>
          <w:sz w:val="20"/>
          <w:szCs w:val="20"/>
          <w:color w:val="auto"/>
        </w:rPr>
      </w:pPr>
      <w:r>
        <w:rPr>
          <w:rFonts w:ascii="Times New Roman" w:cs="Times New Roman" w:eastAsia="Times New Roman" w:hAnsi="Times New Roman"/>
          <w:sz w:val="17"/>
          <w:szCs w:val="17"/>
          <w:color w:val="auto"/>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65"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federal and state fraud and abuse and other healthcare laws and regulations, including those relating to kickbacks and false claims, we could face substantial penalties and our business operations and financial condition could be harmed.</w:t>
      </w:r>
    </w:p>
    <w:p>
      <w:pPr>
        <w:spacing w:after="0" w:line="53"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p>
    <w:p>
      <w:pPr>
        <w:spacing w:after="0" w:line="76" w:lineRule="exact"/>
        <w:rPr>
          <w:sz w:val="20"/>
          <w:szCs w:val="20"/>
          <w:color w:val="auto"/>
        </w:rPr>
      </w:pPr>
    </w:p>
    <w:p>
      <w:pPr>
        <w:jc w:val="both"/>
        <w:ind w:left="960" w:hanging="476"/>
        <w:spacing w:after="0" w:line="250"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960"/>
        <w:spacing w:after="0" w:line="249" w:lineRule="auto"/>
        <w:rPr>
          <w:sz w:val="20"/>
          <w:szCs w:val="20"/>
          <w:color w:val="auto"/>
        </w:rPr>
      </w:pPr>
      <w:r>
        <w:rPr>
          <w:rFonts w:ascii="Times New Roman" w:cs="Times New Roman" w:eastAsia="Times New Roman" w:hAnsi="Times New Roman"/>
          <w:sz w:val="18"/>
          <w:szCs w:val="18"/>
          <w:color w:val="auto"/>
        </w:rPr>
        <w:t>false or fraudulent claim for purposes of the federal civil False Claims Act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w:t>
      </w:r>
    </w:p>
    <w:p>
      <w:pPr>
        <w:spacing w:after="0" w:line="84" w:lineRule="exact"/>
        <w:rPr>
          <w:sz w:val="20"/>
          <w:szCs w:val="20"/>
          <w:color w:val="auto"/>
        </w:rPr>
      </w:pPr>
    </w:p>
    <w:p>
      <w:pPr>
        <w:jc w:val="both"/>
        <w:ind w:left="960" w:hanging="476"/>
        <w:spacing w:after="0" w:line="247"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93" w:lineRule="exact"/>
        <w:rPr>
          <w:rFonts w:ascii="Times New Roman" w:cs="Times New Roman" w:eastAsia="Times New Roman" w:hAnsi="Times New Roman"/>
          <w:sz w:val="18"/>
          <w:szCs w:val="18"/>
          <w:color w:val="auto"/>
        </w:rPr>
      </w:pPr>
    </w:p>
    <w:p>
      <w:pPr>
        <w:jc w:val="both"/>
        <w:ind w:left="960" w:hanging="476"/>
        <w:spacing w:after="0" w:line="251"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80" w:lineRule="exact"/>
        <w:rPr>
          <w:rFonts w:ascii="Times New Roman" w:cs="Times New Roman" w:eastAsia="Times New Roman" w:hAnsi="Times New Roman"/>
          <w:sz w:val="18"/>
          <w:szCs w:val="18"/>
          <w:color w:val="auto"/>
        </w:rPr>
      </w:pPr>
    </w:p>
    <w:p>
      <w:pPr>
        <w:jc w:val="both"/>
        <w:ind w:left="960" w:hanging="476"/>
        <w:spacing w:after="0" w:line="255"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w:t>
      </w:r>
    </w:p>
    <w:p>
      <w:pPr>
        <w:spacing w:after="0" w:line="75" w:lineRule="exact"/>
        <w:rPr>
          <w:rFonts w:ascii="Times New Roman" w:cs="Times New Roman" w:eastAsia="Times New Roman" w:hAnsi="Times New Roman"/>
          <w:sz w:val="18"/>
          <w:szCs w:val="18"/>
          <w:color w:val="auto"/>
        </w:rPr>
      </w:pPr>
    </w:p>
    <w:p>
      <w:pPr>
        <w:jc w:val="both"/>
        <w:ind w:left="960" w:hanging="476"/>
        <w:spacing w:after="0" w:line="253"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state laws govern the privacy and security of personal information, including the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w:t>
      </w:r>
    </w:p>
    <w:p>
      <w:pPr>
        <w:spacing w:after="0" w:line="76" w:lineRule="exact"/>
        <w:rPr>
          <w:rFonts w:ascii="Times New Roman" w:cs="Times New Roman" w:eastAsia="Times New Roman" w:hAnsi="Times New Roman"/>
          <w:sz w:val="18"/>
          <w:szCs w:val="18"/>
          <w:color w:val="auto"/>
        </w:rPr>
      </w:pPr>
    </w:p>
    <w:p>
      <w:pPr>
        <w:jc w:val="both"/>
        <w:ind w:left="960" w:hanging="476"/>
        <w:spacing w:after="0" w:line="260"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960"/>
        <w:spacing w:after="0" w:line="255" w:lineRule="auto"/>
        <w:rPr>
          <w:sz w:val="20"/>
          <w:szCs w:val="20"/>
          <w:color w:val="auto"/>
        </w:rPr>
      </w:pPr>
      <w:r>
        <w:rPr>
          <w:rFonts w:ascii="Times New Roman" w:cs="Times New Roman" w:eastAsia="Times New Roman" w:hAnsi="Times New Roman"/>
          <w:sz w:val="18"/>
          <w:szCs w:val="18"/>
          <w:color w:val="auto"/>
        </w:rPr>
        <w:t>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physician assistants, nurse practitioners, clinical nurse specialists, certified nurse anesthetists and certified nurse-midwives; and</w:t>
      </w:r>
    </w:p>
    <w:p>
      <w:pPr>
        <w:spacing w:after="0" w:line="75" w:lineRule="exact"/>
        <w:rPr>
          <w:sz w:val="20"/>
          <w:szCs w:val="20"/>
          <w:color w:val="auto"/>
        </w:rPr>
      </w:pPr>
    </w:p>
    <w:p>
      <w:pPr>
        <w:jc w:val="both"/>
        <w:ind w:left="960" w:hanging="476"/>
        <w:spacing w:after="0" w:line="250"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79" w:lineRule="exact"/>
        <w:rPr>
          <w:sz w:val="20"/>
          <w:szCs w:val="20"/>
          <w:color w:val="auto"/>
        </w:rPr>
      </w:pPr>
    </w:p>
    <w:p>
      <w:pPr>
        <w:jc w:val="both"/>
        <w:ind w:firstLine="477"/>
        <w:spacing w:after="0" w:line="275" w:lineRule="auto"/>
        <w:rPr>
          <w:sz w:val="20"/>
          <w:szCs w:val="20"/>
          <w:color w:val="auto"/>
        </w:rPr>
      </w:pPr>
      <w:r>
        <w:rPr>
          <w:rFonts w:ascii="Times New Roman" w:cs="Times New Roman" w:eastAsia="Times New Roman" w:hAnsi="Times New Roman"/>
          <w:sz w:val="17"/>
          <w:szCs w:val="17"/>
          <w:color w:val="auto"/>
        </w:rPr>
        <w:t>State and federal regulatory and enforcement agencies continue to actively investigate violations of healthcare laws and regulations, and the U.S. Congress continues to strengthen the arsenal of enforcement tools.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w:t>
      </w:r>
    </w:p>
    <w:p>
      <w:pPr>
        <w:spacing w:after="0" w:line="59" w:lineRule="exact"/>
        <w:rPr>
          <w:sz w:val="20"/>
          <w:szCs w:val="20"/>
          <w:color w:val="auto"/>
        </w:rPr>
      </w:pPr>
    </w:p>
    <w:p>
      <w:pPr>
        <w:jc w:val="both"/>
        <w:ind w:firstLine="477"/>
        <w:spacing w:after="0" w:line="275"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p>
    <w:p>
      <w:pPr>
        <w:spacing w:after="0" w:line="59"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p>
    <w:p>
      <w:pPr>
        <w:spacing w:after="0" w:line="8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p>
    <w:p>
      <w:pPr>
        <w:spacing w:after="0" w:line="53"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69"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As with other flow cytometry companies, our success depends in large part on our ability to obtain, maintain and solidify a proprietary position for our current and any future products, which will depend upon our success in obtaining effective patent protection and other intellectual property protection in the United States and other countries that cover such products, their manufacturing processes and their intended methods of use and enforcing those patent claims against infringers once granted as well as our other intellectual property rights. In some cases, we may not be able to obtain issued patent claims or other intellectual property rights covering our technologies which are sufficient to prevent third parties, such as our competitors, from utilizing our products and negating any competitive advantage we may have. Any failure to obtain or maintain patent claims and other intellectual property rights with respect to our current and any future products or other aspects of our business could harm our business, financial condition and results of operations.</w:t>
      </w:r>
    </w:p>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Changes in either the patent laws or their interpretation in the United States and other countries may diminish our ability to protect our inventions and</w:t>
      </w:r>
    </w:p>
    <w:p>
      <w:pPr>
        <w:spacing w:after="0" w:line="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to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70"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w:t>
      </w:r>
    </w:p>
    <w:p>
      <w:pPr>
        <w:spacing w:after="0" w:line="81"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Including rights acquired in connection with the FCI Acquisition, as of June 30, 2025, we own 37 issued U.S. utility patents, ten issued Japan utility patents, seven issued European utility patents, four issued China utility patents, one Canada utility patent, one India utility patent, two Australian utility patents, and three Singapore utility patents. We have 75 pending utility patent applications, including 49 utility patent applications in the United States, two international utility patent applications, ten utility patent applications in the European Union, nine utility patent applications in China, and five utility patent applications in Japan. Assuming all maintenance fees are paid, the U.S. issued patents are expected to naturally expire between years 2025 and 2038. Additionally, patents covering intellectual property relating to design specific technologies invented by our researchers in Shanghai and Wuxi, China are filed in China and owned by our China subsidiaries, respectively. As of June 30, 2025, our Shanghai subsidiary owns 12 issued utility patents and eight issued invention patents and has two pending invention patent applications, and our Wuxi subsidiary owns 42 issued patents and has seven pending invention patent applications and one pending utility patent application.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proceedings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88"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p>
    <w:p>
      <w:pPr>
        <w:spacing w:after="0" w:line="83"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p>
    <w:p>
      <w:pPr>
        <w:spacing w:after="0" w:line="83" w:lineRule="exact"/>
        <w:rPr>
          <w:sz w:val="20"/>
          <w:szCs w:val="20"/>
          <w:color w:val="auto"/>
        </w:rPr>
      </w:pPr>
    </w:p>
    <w:p>
      <w:pPr>
        <w:jc w:val="both"/>
        <w:ind w:firstLine="477"/>
        <w:spacing w:after="0" w:line="264" w:lineRule="auto"/>
        <w:rPr>
          <w:sz w:val="20"/>
          <w:szCs w:val="20"/>
          <w:color w:val="auto"/>
        </w:rPr>
      </w:pPr>
      <w:r>
        <w:rPr>
          <w:rFonts w:ascii="Times New Roman" w:cs="Times New Roman" w:eastAsia="Times New Roman" w:hAnsi="Times New Roman"/>
          <w:sz w:val="17"/>
          <w:szCs w:val="17"/>
          <w:color w:val="auto"/>
        </w:rPr>
        <w:t>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are successfully issued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w:t>
      </w:r>
    </w:p>
    <w:p>
      <w:pPr>
        <w:spacing w:after="0" w:line="70"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83"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p>
    <w:p>
      <w:pPr>
        <w:spacing w:after="0" w:line="83"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Some of our patents and patent applications may in the future be jointly 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w:t>
      </w:r>
    </w:p>
    <w:p>
      <w:pPr>
        <w:spacing w:after="0" w:line="76"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p>
    <w:p>
      <w:pPr>
        <w:spacing w:after="0" w:line="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p>
    <w:p>
      <w:pPr>
        <w:spacing w:after="0" w:line="53"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 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p>
    <w:p>
      <w:pPr>
        <w:spacing w:after="0" w:line="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rely substantially on our trademarks and trade names. If our trademarks and trade names are not adequately protected, then we may not be able to build name recognition in our markets of interest and our business may be harmed.</w:t>
      </w:r>
    </w:p>
    <w:p>
      <w:pPr>
        <w:spacing w:after="0" w:line="53"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w:t>
      </w:r>
    </w:p>
    <w:p>
      <w:pPr>
        <w:spacing w:after="0" w:line="69"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With respect to patents and patent applications, the various applicable government agencies, including the USPTO and similar agencies outside of the United States, require compliance with several procedural, documentary, fee payment and other similar provisions during the application process and the maintenance or annuity process after grant.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w:t>
      </w:r>
    </w:p>
    <w:p>
      <w:pPr>
        <w:spacing w:after="0" w:line="69"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w:t>
      </w:r>
    </w:p>
    <w:p>
      <w:pPr>
        <w:spacing w:after="0" w:line="79"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current and any future products.</w:t>
      </w:r>
    </w:p>
    <w:p>
      <w:pPr>
        <w:spacing w:after="0" w:line="115"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After March 15, 2013, under the Leahy-Smith America Invents Act, or the America Invents Act, enacted in September 2011, the United States transitioned to a first to file system in which, assuming that other requirements for patentability are met, the first applicant to file a patent application will be entitled to the patent on an invention regardless of whether a third party was the first to invent the claimed invention. A third party that files a patent application in the USPTO after March 15,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w:t>
      </w:r>
    </w:p>
    <w:p>
      <w:pPr>
        <w:spacing w:after="0" w:line="81"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p>
    <w:p>
      <w:pPr>
        <w:spacing w:after="0" w:line="70"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 against us, the joint-owners of our intellectual property, or our collaborators may prevent or delay the sale and marketing of our current and any future products.</w:t>
      </w:r>
    </w:p>
    <w:p>
      <w:pPr>
        <w:spacing w:after="0" w:line="53"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have been and, in the future, could become subject to intellectual property-related litigation and proceedings relating to our or third-party intellectual property and proprietary rights. See Note 18 to our consolidated financial statements included elsewhere in this Quarterly Report on Form 10-Q for further details regarding legal proceedings.</w:t>
      </w:r>
    </w:p>
    <w:p>
      <w:pPr>
        <w:spacing w:after="0" w:line="76" w:lineRule="exact"/>
        <w:rPr>
          <w:sz w:val="20"/>
          <w:szCs w:val="20"/>
          <w:color w:val="auto"/>
        </w:rPr>
      </w:pPr>
    </w:p>
    <w:p>
      <w:pPr>
        <w:jc w:val="both"/>
        <w:ind w:firstLine="477"/>
        <w:spacing w:after="0" w:line="241" w:lineRule="auto"/>
        <w:rPr>
          <w:sz w:val="20"/>
          <w:szCs w:val="20"/>
          <w:color w:val="auto"/>
        </w:rPr>
      </w:pPr>
      <w:r>
        <w:rPr>
          <w:rFonts w:ascii="Times New Roman" w:cs="Times New Roman" w:eastAsia="Times New Roman" w:hAnsi="Times New Roman"/>
          <w:sz w:val="18"/>
          <w:szCs w:val="18"/>
          <w:color w:val="auto"/>
        </w:rPr>
        <w:t>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w:t>
      </w:r>
    </w:p>
    <w:p>
      <w:pPr>
        <w:spacing w:after="0" w:line="88"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and laboratory equipment industries are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p>
    <w:p>
      <w:pPr>
        <w:spacing w:after="0" w:line="83"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w:t>
      </w:r>
    </w:p>
    <w:p>
      <w:pPr>
        <w:spacing w:after="0" w:line="81"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p>
    <w:p>
      <w:pPr>
        <w:spacing w:after="0" w:line="54" w:lineRule="exact"/>
        <w:rPr>
          <w:sz w:val="20"/>
          <w:szCs w:val="20"/>
          <w:color w:val="auto"/>
        </w:rPr>
      </w:pPr>
    </w:p>
    <w:p>
      <w:pPr>
        <w:jc w:val="both"/>
        <w:ind w:firstLine="477"/>
        <w:spacing w:after="0" w:line="263" w:lineRule="auto"/>
        <w:rPr>
          <w:sz w:val="20"/>
          <w:szCs w:val="20"/>
          <w:color w:val="auto"/>
        </w:rPr>
      </w:pPr>
      <w:r>
        <w:rPr>
          <w:rFonts w:ascii="Times New Roman" w:cs="Times New Roman" w:eastAsia="Times New Roman" w:hAnsi="Times New Roman"/>
          <w:sz w:val="17"/>
          <w:szCs w:val="17"/>
          <w:color w:val="auto"/>
        </w:rPr>
        <w:t>In the event that any third 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p>
    <w:p>
      <w:pPr>
        <w:spacing w:after="0" w:line="79" w:lineRule="exact"/>
        <w:rPr>
          <w:sz w:val="20"/>
          <w:szCs w:val="20"/>
          <w:color w:val="auto"/>
        </w:rPr>
      </w:pPr>
    </w:p>
    <w:p>
      <w:pPr>
        <w:jc w:val="both"/>
        <w:ind w:firstLine="477"/>
        <w:spacing w:after="0" w:line="269" w:lineRule="auto"/>
        <w:rPr>
          <w:sz w:val="20"/>
          <w:szCs w:val="20"/>
          <w:color w:val="auto"/>
        </w:rPr>
      </w:pPr>
      <w:r>
        <w:rPr>
          <w:rFonts w:ascii="Times New Roman" w:cs="Times New Roman" w:eastAsia="Times New Roman" w:hAnsi="Times New Roman"/>
          <w:sz w:val="17"/>
          <w:szCs w:val="17"/>
          <w:color w:val="auto"/>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w:t>
      </w:r>
    </w:p>
    <w:p>
      <w:pPr>
        <w:spacing w:after="0" w:line="65"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w:t>
      </w:r>
    </w:p>
    <w:p>
      <w:pPr>
        <w:spacing w:after="0" w:line="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53"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Competitors may infringe our patents, or the patents of any future licensing partners. In addition, we have been and may in the future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81"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p>
    <w:p>
      <w:pPr>
        <w:spacing w:after="0" w:line="76"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w:t>
      </w:r>
    </w:p>
    <w:p>
      <w:pPr>
        <w:spacing w:after="0" w:line="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p>
    <w:p>
      <w:pPr>
        <w:spacing w:after="0" w:line="69"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79"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15"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83"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a key information technology system, process, or site could have an adverse effect on our business.</w:t>
      </w:r>
    </w:p>
    <w:p>
      <w:pPr>
        <w:spacing w:after="0" w:line="115"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are and have been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that may be protected by applicable laws. Any such access, disclosure, or other loss of information could require substantial expenditures to remedy and could result in legal claims or proceedings, liability under laws that protect the privacy of personal information and damage to our reputation.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compromise our ability to offer our services and subject us to possible litigation.</w:t>
      </w:r>
    </w:p>
    <w:p>
      <w:pPr>
        <w:spacing w:after="0" w:line="115"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continue to be volatile, and our stockholders may not be able to resell shares of our common stock at or above the price they paid.</w:t>
      </w:r>
    </w:p>
    <w:p>
      <w:pPr>
        <w:spacing w:after="0" w:line="115"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highly volatile and may further fluctuate or decline substantially as a result of a variety of factors, some of which are beyond our control, including limited trading volume. In addition to the factors discussed in this “Risk Factors” section and elsewhere in this Quarterly Report on Form 10-Q, these factors include:</w:t>
      </w:r>
    </w:p>
    <w:p>
      <w:pPr>
        <w:spacing w:after="0" w:line="70" w:lineRule="exact"/>
        <w:rPr>
          <w:sz w:val="20"/>
          <w:szCs w:val="20"/>
          <w:color w:val="auto"/>
        </w:rPr>
      </w:pPr>
    </w:p>
    <w:p>
      <w:pPr>
        <w:ind w:left="960" w:hanging="476"/>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market adoption of our products;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 or investors;</w:t>
      </w:r>
    </w:p>
    <w:p>
      <w:pPr>
        <w:spacing w:after="0" w:line="111"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results of operations, including as a result of anticipated or unanticipated demand based on seasonal factors;</w:t>
      </w:r>
    </w:p>
    <w:p>
      <w:pPr>
        <w:spacing w:after="0" w:line="5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60" w:hanging="476"/>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associated with issues related to our products;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 by us or our stockholders, as well as the anticipation of lock-up releases;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for our products;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any of our third-party distribution partners and suppliers, including our single and sole-source suppliers;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engage additional distribution partners and establish collaborations, if needed;</w:t>
      </w:r>
    </w:p>
    <w:p>
      <w:pPr>
        <w:spacing w:after="0" w:line="111"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or news releases by other companies in our industry, including about adverse developments related to safety, effectiveness, accuracy and usability of their products, reputational concerns, regulatory compliance, and product recalls;</w:t>
      </w:r>
    </w:p>
    <w:p>
      <w:pPr>
        <w:spacing w:after="0" w:line="58"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and market conditions, including economic recessions or slowdowns, the ongoing war in Ukraine, conflict in the Middle East, and the general inflationary environment; and</w:t>
      </w:r>
    </w:p>
    <w:p>
      <w:pPr>
        <w:spacing w:after="0" w:line="5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11"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may invest or spend the funds in ways with which you do not agree and in ways that may not yield a return.</w:t>
      </w:r>
    </w:p>
    <w:p>
      <w:pPr>
        <w:spacing w:after="0" w:line="53"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w:t>
      </w:r>
    </w:p>
    <w:p>
      <w:pPr>
        <w:spacing w:after="0" w:line="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common stock or securities convertible into our common stock will result in additional dilution of the percentage of ownership of our stockholders and could cause the market price of our common stock to decline.</w:t>
      </w:r>
    </w:p>
    <w:p>
      <w:pPr>
        <w:spacing w:after="0" w:line="53"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spacing w:after="0" w:line="70"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In addition, we may offer and sell up to $150 million shares of common stock registered under our universal shelf registration statement on Form S-3 pursuant to the sales agreement (“Sales Agreement”) with Piper Sandler &amp; Co.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(“Piper”) as sales agent in one or more “at the market” offerings. To date, we have not made any sales of common stock pursuant to the Sales Agreement. The extent to which we utilize the Sales Agreement with Piper as a source of funding will depend on a number of factors, including the prevailing market price of our common stock, general market conditions and other restrictions and the extent to which we are able to secure funds from other sources.</w:t>
      </w:r>
    </w:p>
    <w:p>
      <w:pPr>
        <w:spacing w:after="0" w:line="70"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spacing w:after="0" w:line="70"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spacing w:after="0" w:line="17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executive officers, directors and principal stockholders and their respective affiliates may prevent new investors from influencing significant corporate decisions.</w:t>
      </w:r>
    </w:p>
    <w:p>
      <w:pPr>
        <w:spacing w:after="0" w:line="53"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Based on the number of shares of common stock outstanding as of June 30, 2025, our executive officers, directors, holders of 5% or more of our common stock and their respective affiliates (based on filings with the SEC), in the aggregate, own approximately 39.3%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of our shares and have held their shares for a longer period, they may be more interested in selling our company to an acquirer than other investors, or they may want us to pursue strategies that deviate from the interests of other stockholders.</w:t>
      </w:r>
    </w:p>
    <w:p>
      <w:pPr>
        <w:spacing w:after="0" w:line="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53"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15"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Securities Exchange Act of 1934, as amended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76"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3"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8" w:lineRule="exact"/>
        <w:rPr>
          <w:sz w:val="20"/>
          <w:szCs w:val="20"/>
          <w:color w:val="auto"/>
        </w:rPr>
      </w:pPr>
    </w:p>
    <w:p>
      <w:pPr>
        <w:ind w:left="960" w:hanging="476"/>
        <w:spacing w:after="0" w:line="274"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8"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60" w:hanging="476"/>
        <w:spacing w:after="0" w:line="274"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5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1" w:lineRule="exact"/>
        <w:rPr>
          <w:rFonts w:ascii="Times New Roman" w:cs="Times New Roman" w:eastAsia="Times New Roman" w:hAnsi="Times New Roman"/>
          <w:sz w:val="18"/>
          <w:szCs w:val="18"/>
          <w:color w:val="auto"/>
        </w:rPr>
      </w:pPr>
    </w:p>
    <w:p>
      <w:pPr>
        <w:jc w:val="both"/>
        <w:ind w:left="960" w:hanging="476"/>
        <w:spacing w:after="0" w:line="260"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0"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8" w:lineRule="exact"/>
        <w:rPr>
          <w:rFonts w:ascii="Times New Roman" w:cs="Times New Roman" w:eastAsia="Times New Roman" w:hAnsi="Times New Roman"/>
          <w:sz w:val="18"/>
          <w:szCs w:val="18"/>
          <w:color w:val="auto"/>
        </w:rPr>
      </w:pPr>
    </w:p>
    <w:p>
      <w:pPr>
        <w:jc w:val="both"/>
        <w:ind w:left="960" w:hanging="476"/>
        <w:spacing w:after="0" w:line="304" w:lineRule="auto"/>
        <w:tabs>
          <w:tab w:leader="none" w:pos="95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w:t>
      </w:r>
    </w:p>
    <w:p>
      <w:pPr>
        <w:spacing w:after="0" w:line="35"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change-of-control transaction or changes in our board of directors could cause the market price of our common stock to decline.</w:t>
      </w:r>
    </w:p>
    <w:p>
      <w:pPr>
        <w:spacing w:after="0" w:line="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9"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81"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81"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choice-of-forum provisions in other companies’ certificates of incorporation or bylaws has been challenged in legal proceedings, and it is possible that a court could find these types of provisions to be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9"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15"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compliance with our public company responsibilities and corporate governance practices.</w:t>
      </w:r>
    </w:p>
    <w:p>
      <w:pPr>
        <w:spacing w:after="0" w:line="53"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have devoted and will continue to devote a substantial amount of time to compliance with these requirements. Moreover, these rules and regulations increase our legal and financial compliance costs and make some activities more time-consuming and costly. The additional costs we incur as a public company could negatively affect our business, financial condition and results of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115"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common stock price and trading volume could decline.</w:t>
      </w:r>
    </w:p>
    <w:p>
      <w:pPr>
        <w:spacing w:after="0" w:line="53"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477"/>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76" w:lineRule="exact"/>
        <w:rPr>
          <w:sz w:val="20"/>
          <w:szCs w:val="20"/>
          <w:color w:val="auto"/>
        </w:rPr>
      </w:pPr>
    </w:p>
    <w:p>
      <w:pPr>
        <w:jc w:val="both"/>
        <w:ind w:firstLine="477"/>
        <w:spacing w:after="0" w:line="260" w:lineRule="auto"/>
        <w:rPr>
          <w:sz w:val="20"/>
          <w:szCs w:val="20"/>
          <w:color w:val="auto"/>
        </w:rPr>
      </w:pPr>
      <w:r>
        <w:rPr>
          <w:rFonts w:ascii="Times New Roman" w:cs="Times New Roman" w:eastAsia="Times New Roman" w:hAnsi="Times New Roman"/>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(“NOLs”) to offset future taxable income may be subject to certain limitations.</w:t>
      </w:r>
    </w:p>
    <w:p>
      <w:pPr>
        <w:spacing w:after="0" w:line="115" w:lineRule="exact"/>
        <w:rPr>
          <w:sz w:val="20"/>
          <w:szCs w:val="20"/>
          <w:color w:val="auto"/>
        </w:rPr>
      </w:pPr>
    </w:p>
    <w:p>
      <w:pPr>
        <w:jc w:val="both"/>
        <w:ind w:firstLine="477"/>
        <w:spacing w:after="0" w:line="249"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In addition, there may be other limitations under state law on our ability to utilize NOLs, including temporary suspensions or other limitations on the use of NOLs to offset taxable income. We determined that an ownership change occurred on September 7, 2018, October 23, 2020, and in connection with our initial public offering on July 23, 2021. In addition, we may in the future experience ownership changes, as a result of changes in our stock ownership (some of which are not in our control). If an ownership change occurs, our ability to utilize our NOL carryforwards and other tax attributes to reduce future tax liabilities may be limited. Many states have provisions similar to Code Section 382. Annual limitations may result in the expiration of the state net operating loss carryforwards before utilization.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11" w:lineRule="exact"/>
        <w:rPr>
          <w:sz w:val="20"/>
          <w:szCs w:val="20"/>
          <w:color w:val="auto"/>
        </w:rPr>
      </w:pPr>
    </w:p>
    <w:p>
      <w:pPr>
        <w:ind w:left="960" w:hanging="476"/>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w:t>
      </w:r>
    </w:p>
    <w:p>
      <w:pPr>
        <w:spacing w:after="0" w:line="111" w:lineRule="exact"/>
        <w:rPr>
          <w:rFonts w:ascii="Times New Roman" w:cs="Times New Roman" w:eastAsia="Times New Roman" w:hAnsi="Times New Roman"/>
          <w:sz w:val="18"/>
          <w:szCs w:val="18"/>
          <w:color w:val="auto"/>
        </w:rPr>
      </w:pPr>
    </w:p>
    <w:p>
      <w:pPr>
        <w:ind w:left="960" w:hanging="476"/>
        <w:spacing w:after="0" w:line="274"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8"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1" w:lineRule="exact"/>
        <w:rPr>
          <w:rFonts w:ascii="Times New Roman" w:cs="Times New Roman" w:eastAsia="Times New Roman" w:hAnsi="Times New Roman"/>
          <w:sz w:val="18"/>
          <w:szCs w:val="18"/>
          <w:color w:val="auto"/>
        </w:rPr>
      </w:pPr>
    </w:p>
    <w:p>
      <w:pPr>
        <w:ind w:left="960" w:hanging="476"/>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111"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and regulations may have a material adverse effect on our business, financial condition and results of operations.</w:t>
      </w:r>
    </w:p>
    <w:p>
      <w:pPr>
        <w:spacing w:after="0" w:line="115" w:lineRule="exact"/>
        <w:rPr>
          <w:sz w:val="20"/>
          <w:szCs w:val="20"/>
          <w:color w:val="auto"/>
        </w:rPr>
      </w:pPr>
    </w:p>
    <w:p>
      <w:pPr>
        <w:jc w:val="both"/>
        <w:ind w:firstLine="477"/>
        <w:spacing w:after="0" w:line="248"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For instance, legislation commonly referred to as the One Big Beautiful Bill Act (the “OBBBA”), enacted on July 4, 2025, makes significant changes to the U.S. tax laws. For example, for tax years beginning after December 31, 2024, the OBBBA restores the tax deductibility of domestic research and experimental expenditures in the year incurred, which expenses had been required under the 2017 Tax Cuts and Jobs Act to be capitalized and subsequently amortized over five years. The OBBBA did not change the tax treatment of expenses incurred in research and development activities conducted outside the United States, which expenses continue to be required to be capitalized and amortized over 15 years. We are currently evaluating the impact of the OBBBA on our consolidated financial statements, including the effects on its deferred tax assets and liabilities. The impact of the OBBBA will be reflected in our interim financial statements as of and for the three and nine months ending</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128905</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September 30, 2025, the period in which the OBBBA was enacted. We urge investors to consult with their legal and tax advisers regarding the implication of potential changes in tax laws on an investment in our common stock.</w:t>
      </w:r>
    </w:p>
    <w:p>
      <w:pPr>
        <w:spacing w:after="0" w:line="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53" w:lineRule="exact"/>
        <w:rPr>
          <w:sz w:val="20"/>
          <w:szCs w:val="20"/>
          <w:color w:val="auto"/>
        </w:rPr>
      </w:pPr>
    </w:p>
    <w:p>
      <w:pPr>
        <w:jc w:val="both"/>
        <w:ind w:firstLine="477"/>
        <w:spacing w:after="0" w:line="250" w:lineRule="auto"/>
        <w:rPr>
          <w:sz w:val="20"/>
          <w:szCs w:val="20"/>
          <w:color w:val="auto"/>
        </w:rPr>
      </w:pPr>
      <w:r>
        <w:rPr>
          <w:rFonts w:ascii="Times New Roman" w:cs="Times New Roman" w:eastAsia="Times New Roman" w:hAnsi="Times New Roman"/>
          <w:sz w:val="18"/>
          <w:szCs w:val="18"/>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the Company’s common stock repurchased during the three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w:t>
      </w:r>
    </w:p>
    <w:p>
      <w:pPr>
        <w:spacing w:after="0" w:line="117" w:lineRule="exact"/>
        <w:rPr>
          <w:sz w:val="20"/>
          <w:szCs w:val="20"/>
          <w:color w:val="auto"/>
        </w:rPr>
      </w:pPr>
    </w:p>
    <w:tbl>
      <w:tblPr>
        <w:tblLayout w:type="fixed"/>
        <w:tblInd w:w="490" w:type="dxa"/>
        <w:tblCellMar>
          <w:top w:w="0" w:type="dxa"/>
          <w:left w:w="0" w:type="dxa"/>
          <w:bottom w:w="0" w:type="dxa"/>
          <w:right w:w="0" w:type="dxa"/>
        </w:tblCellMar>
      </w:tblPr>
      <w:tr>
        <w:trPr>
          <w:trHeight w:val="172"/>
        </w:trPr>
        <w:tc>
          <w:tcPr>
            <w:tcW w:w="1640" w:type="dxa"/>
            <w:vAlign w:val="bottom"/>
            <w:tcBorders>
              <w:top w:val="single" w:sz="8" w:color="auto"/>
              <w:left w:val="single" w:sz="8" w:color="auto"/>
              <w:right w:val="single" w:sz="8" w:color="auto"/>
            </w:tcBorders>
          </w:tcPr>
          <w:p>
            <w:pPr>
              <w:spacing w:after="0"/>
              <w:rPr>
                <w:sz w:val="14"/>
                <w:szCs w:val="14"/>
                <w:color w:val="auto"/>
              </w:rPr>
            </w:pPr>
          </w:p>
        </w:tc>
        <w:tc>
          <w:tcPr>
            <w:tcW w:w="2240" w:type="dxa"/>
            <w:vAlign w:val="bottom"/>
            <w:tcBorders>
              <w:top w:val="single" w:sz="8" w:color="auto"/>
              <w:right w:val="single" w:sz="8" w:color="auto"/>
            </w:tcBorders>
            <w:vMerge w:val="restart"/>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2240" w:type="dxa"/>
            <w:vAlign w:val="bottom"/>
            <w:tcBorders>
              <w:top w:val="single" w:sz="8" w:color="auto"/>
              <w:right w:val="single" w:sz="8" w:color="auto"/>
            </w:tcBorders>
          </w:tcPr>
          <w:p>
            <w:pPr>
              <w:spacing w:after="0"/>
              <w:rPr>
                <w:sz w:val="14"/>
                <w:szCs w:val="14"/>
                <w:color w:val="auto"/>
              </w:rPr>
            </w:pPr>
          </w:p>
        </w:tc>
        <w:tc>
          <w:tcPr>
            <w:tcW w:w="2240" w:type="dxa"/>
            <w:vAlign w:val="bottom"/>
            <w:tcBorders>
              <w:top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140" w:type="dxa"/>
            <w:vAlign w:val="bottom"/>
            <w:tcBorders>
              <w:top w:val="single" w:sz="8" w:color="auto"/>
            </w:tcBorders>
          </w:tcPr>
          <w:p>
            <w:pPr>
              <w:spacing w:after="0"/>
              <w:rPr>
                <w:sz w:val="14"/>
                <w:szCs w:val="14"/>
                <w:color w:val="auto"/>
              </w:rPr>
            </w:pPr>
          </w:p>
        </w:tc>
        <w:tc>
          <w:tcPr>
            <w:tcW w:w="2140" w:type="dxa"/>
            <w:vAlign w:val="bottom"/>
            <w:tcBorders>
              <w:top w:val="single" w:sz="8" w:color="auto"/>
              <w:right w:val="single" w:sz="8" w:color="auto"/>
            </w:tcBorders>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Remaining dollar value that</w:t>
            </w:r>
          </w:p>
        </w:tc>
        <w:tc>
          <w:tcPr>
            <w:tcW w:w="0" w:type="dxa"/>
            <w:vAlign w:val="bottom"/>
          </w:tcPr>
          <w:p>
            <w:pPr>
              <w:spacing w:after="0"/>
              <w:rPr>
                <w:sz w:val="1"/>
                <w:szCs w:val="1"/>
                <w:color w:val="auto"/>
              </w:rPr>
            </w:pPr>
          </w:p>
        </w:tc>
      </w:tr>
      <w:tr>
        <w:trPr>
          <w:trHeight w:val="53"/>
        </w:trPr>
        <w:tc>
          <w:tcPr>
            <w:tcW w:w="1640" w:type="dxa"/>
            <w:vAlign w:val="bottom"/>
            <w:tcBorders>
              <w:left w:val="single" w:sz="8" w:color="auto"/>
              <w:right w:val="single" w:sz="8" w:color="auto"/>
            </w:tcBorders>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Average price paid for share ($)</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 as part of publicly</w:t>
            </w:r>
          </w:p>
        </w:tc>
        <w:tc>
          <w:tcPr>
            <w:tcW w:w="140" w:type="dxa"/>
            <w:vAlign w:val="bottom"/>
          </w:tcPr>
          <w:p>
            <w:pPr>
              <w:spacing w:after="0"/>
              <w:rPr>
                <w:sz w:val="4"/>
                <w:szCs w:val="4"/>
                <w:color w:val="auto"/>
              </w:rPr>
            </w:pPr>
          </w:p>
        </w:tc>
        <w:tc>
          <w:tcPr>
            <w:tcW w:w="2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64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2280" w:type="dxa"/>
            <w:vAlign w:val="bottom"/>
            <w:tcBorders>
              <w:right w:val="single" w:sz="8" w:color="auto"/>
            </w:tcBorders>
            <w:gridSpan w:val="2"/>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may yet be purchased under the</w:t>
            </w:r>
          </w:p>
        </w:tc>
        <w:tc>
          <w:tcPr>
            <w:tcW w:w="0" w:type="dxa"/>
            <w:vAlign w:val="bottom"/>
          </w:tcPr>
          <w:p>
            <w:pPr>
              <w:spacing w:after="0"/>
              <w:rPr>
                <w:sz w:val="1"/>
                <w:szCs w:val="1"/>
                <w:color w:val="auto"/>
              </w:rPr>
            </w:pPr>
          </w:p>
        </w:tc>
      </w:tr>
      <w:tr>
        <w:trPr>
          <w:trHeight w:val="106"/>
        </w:trPr>
        <w:tc>
          <w:tcPr>
            <w:tcW w:w="1640" w:type="dxa"/>
            <w:vAlign w:val="bottom"/>
            <w:tcBorders>
              <w:left w:val="single" w:sz="8" w:color="auto"/>
              <w:right w:val="single" w:sz="8" w:color="auto"/>
            </w:tcBorders>
          </w:tcPr>
          <w:p>
            <w:pPr>
              <w:spacing w:after="0"/>
              <w:rPr>
                <w:sz w:val="9"/>
                <w:szCs w:val="9"/>
                <w:color w:val="auto"/>
              </w:rPr>
            </w:pPr>
          </w:p>
        </w:tc>
        <w:tc>
          <w:tcPr>
            <w:tcW w:w="2240" w:type="dxa"/>
            <w:vAlign w:val="bottom"/>
            <w:tcBorders>
              <w:right w:val="single" w:sz="8" w:color="auto"/>
            </w:tcBorders>
          </w:tcPr>
          <w:p>
            <w:pPr>
              <w:jc w:val="right"/>
              <w:ind w:right="624"/>
              <w:spacing w:after="0" w:line="106" w:lineRule="exact"/>
              <w:rPr>
                <w:sz w:val="20"/>
                <w:szCs w:val="20"/>
                <w:color w:val="auto"/>
              </w:rPr>
            </w:pPr>
            <w:r>
              <w:rPr>
                <w:rFonts w:ascii="Times New Roman" w:cs="Times New Roman" w:eastAsia="Times New Roman" w:hAnsi="Times New Roman"/>
                <w:sz w:val="11"/>
                <w:szCs w:val="11"/>
                <w:b w:val="1"/>
                <w:bCs w:val="1"/>
                <w:color w:val="auto"/>
              </w:rPr>
              <w:t>repurchased</w:t>
            </w:r>
          </w:p>
        </w:tc>
        <w:tc>
          <w:tcPr>
            <w:tcW w:w="224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announced plans or programs</w:t>
            </w:r>
          </w:p>
        </w:tc>
        <w:tc>
          <w:tcPr>
            <w:tcW w:w="140" w:type="dxa"/>
            <w:vAlign w:val="bottom"/>
          </w:tcPr>
          <w:p>
            <w:pPr>
              <w:spacing w:after="0"/>
              <w:rPr>
                <w:sz w:val="9"/>
                <w:szCs w:val="9"/>
                <w:color w:val="auto"/>
              </w:rPr>
            </w:pPr>
          </w:p>
        </w:tc>
        <w:tc>
          <w:tcPr>
            <w:tcW w:w="2140" w:type="dxa"/>
            <w:vAlign w:val="bottom"/>
            <w:tcBorders>
              <w:right w:val="single" w:sz="8" w:color="auto"/>
            </w:tcBorders>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plans or programs ($)</w:t>
            </w:r>
          </w:p>
        </w:tc>
        <w:tc>
          <w:tcPr>
            <w:tcW w:w="0" w:type="dxa"/>
            <w:vAlign w:val="bottom"/>
          </w:tcPr>
          <w:p>
            <w:pPr>
              <w:spacing w:after="0"/>
              <w:rPr>
                <w:sz w:val="1"/>
                <w:szCs w:val="1"/>
                <w:color w:val="auto"/>
              </w:rPr>
            </w:pPr>
          </w:p>
        </w:tc>
      </w:tr>
      <w:tr>
        <w:trPr>
          <w:trHeight w:val="134"/>
        </w:trPr>
        <w:tc>
          <w:tcPr>
            <w:tcW w:w="1640" w:type="dxa"/>
            <w:vAlign w:val="bottom"/>
            <w:tcBorders>
              <w:left w:val="single" w:sz="8" w:color="auto"/>
              <w:righ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(1)</w:t>
            </w:r>
          </w:p>
        </w:tc>
        <w:tc>
          <w:tcPr>
            <w:tcW w:w="140" w:type="dxa"/>
            <w:vAlign w:val="bottom"/>
          </w:tcPr>
          <w:p>
            <w:pPr>
              <w:spacing w:after="0"/>
              <w:rPr>
                <w:sz w:val="11"/>
                <w:szCs w:val="11"/>
                <w:color w:val="auto"/>
              </w:rPr>
            </w:pPr>
          </w:p>
        </w:tc>
        <w:tc>
          <w:tcPr>
            <w:tcW w:w="21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April 1 – April 30, 2025</w:t>
            </w:r>
          </w:p>
        </w:tc>
        <w:tc>
          <w:tcPr>
            <w:tcW w:w="224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939,946</w:t>
            </w:r>
          </w:p>
        </w:tc>
        <w:tc>
          <w:tcPr>
            <w:tcW w:w="2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240" w:type="dxa"/>
            <w:vAlign w:val="bottom"/>
            <w:tcBorders>
              <w:bottom w:val="single" w:sz="8" w:color="auto"/>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13,603,933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36,000,023</w:t>
            </w:r>
          </w:p>
        </w:tc>
        <w:tc>
          <w:tcPr>
            <w:tcW w:w="0" w:type="dxa"/>
            <w:vAlign w:val="bottom"/>
          </w:tcPr>
          <w:p>
            <w:pPr>
              <w:spacing w:after="0"/>
              <w:rPr>
                <w:sz w:val="1"/>
                <w:szCs w:val="1"/>
                <w:color w:val="auto"/>
              </w:rPr>
            </w:pPr>
          </w:p>
        </w:tc>
      </w:tr>
      <w:tr>
        <w:trPr>
          <w:trHeight w:val="206"/>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May 1 – May 31, 2025</w:t>
            </w:r>
          </w:p>
        </w:tc>
        <w:tc>
          <w:tcPr>
            <w:tcW w:w="224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274,059</w:t>
            </w:r>
          </w:p>
        </w:tc>
        <w:tc>
          <w:tcPr>
            <w:tcW w:w="2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240" w:type="dxa"/>
            <w:vAlign w:val="bottom"/>
            <w:tcBorders>
              <w:bottom w:val="single" w:sz="8" w:color="auto"/>
              <w:right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13,877,992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35,000,023</w:t>
            </w:r>
          </w:p>
        </w:tc>
        <w:tc>
          <w:tcPr>
            <w:tcW w:w="0" w:type="dxa"/>
            <w:vAlign w:val="bottom"/>
          </w:tcPr>
          <w:p>
            <w:pPr>
              <w:spacing w:after="0"/>
              <w:rPr>
                <w:sz w:val="1"/>
                <w:szCs w:val="1"/>
                <w:color w:val="auto"/>
              </w:rPr>
            </w:pPr>
          </w:p>
        </w:tc>
      </w:tr>
      <w:tr>
        <w:trPr>
          <w:trHeight w:val="206"/>
        </w:trPr>
        <w:tc>
          <w:tcPr>
            <w:tcW w:w="1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June 1 – June 30, 2025</w:t>
            </w:r>
          </w:p>
        </w:tc>
        <w:tc>
          <w:tcPr>
            <w:tcW w:w="224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Borders>
              <w:bottom w:val="single" w:sz="8" w:color="auto"/>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4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1,214,005</w:t>
            </w:r>
          </w:p>
        </w:tc>
        <w:tc>
          <w:tcPr>
            <w:tcW w:w="2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240" w:type="dxa"/>
            <w:vAlign w:val="bottom"/>
            <w:tcBorders>
              <w:bottom w:val="single" w:sz="8" w:color="auto"/>
              <w:right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13,877,992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35,000,023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5588635</wp:posOffset>
            </wp:positionH>
            <wp:positionV relativeFrom="paragraph">
              <wp:posOffset>-580390</wp:posOffset>
            </wp:positionV>
            <wp:extent cx="254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4164965</wp:posOffset>
            </wp:positionH>
            <wp:positionV relativeFrom="paragraph">
              <wp:posOffset>-580390</wp:posOffset>
            </wp:positionV>
            <wp:extent cx="254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-580390</wp:posOffset>
            </wp:positionV>
            <wp:extent cx="254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61" w:lineRule="exact"/>
        <w:rPr>
          <w:sz w:val="20"/>
          <w:szCs w:val="20"/>
          <w:color w:val="auto"/>
        </w:rPr>
      </w:pPr>
    </w:p>
    <w:p>
      <w:pPr>
        <w:ind w:firstLine="484"/>
        <w:spacing w:after="0" w:line="297" w:lineRule="auto"/>
        <w:tabs>
          <w:tab w:leader="none" w:pos="646" w:val="left"/>
        </w:tabs>
        <w:numPr>
          <w:ilvl w:val="0"/>
          <w:numId w:val="3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December 11, 2024, the Board approved a program for the repurchase by the Company of up to an aggregate of $50 million of its outstanding common stock. The repurchase program will expire on December 31, 2025.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15" w:lineRule="exact"/>
        <w:rPr>
          <w:sz w:val="20"/>
          <w:szCs w:val="20"/>
          <w:color w:val="auto"/>
        </w:rPr>
      </w:pPr>
    </w:p>
    <w:p>
      <w:pPr>
        <w:jc w:val="both"/>
        <w:ind w:firstLine="477"/>
        <w:spacing w:after="0" w:line="251" w:lineRule="auto"/>
        <w:rPr>
          <w:sz w:val="20"/>
          <w:szCs w:val="20"/>
          <w:color w:val="auto"/>
        </w:rPr>
      </w:pPr>
      <w:r>
        <w:rPr>
          <w:rFonts w:ascii="Times New Roman" w:cs="Times New Roman" w:eastAsia="Times New Roman" w:hAnsi="Times New Roman"/>
          <w:sz w:val="18"/>
          <w:szCs w:val="18"/>
          <w:color w:val="auto"/>
        </w:rPr>
        <w:t>In July 2021, we issued and sold an aggregate of 13,949,401 shares of common stock in connection with our initial public offering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
                <w:szCs w:val="2"/>
                <w:color w:val="auto"/>
              </w:rPr>
            </w:pPr>
          </w:p>
        </w:tc>
        <w:tc>
          <w:tcPr>
            <w:tcW w:w="4380" w:type="dxa"/>
            <w:vAlign w:val="bottom"/>
            <w:gridSpan w:val="15"/>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85"/>
        </w:trPr>
        <w:tc>
          <w:tcPr>
            <w:tcW w:w="11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380" w:type="dxa"/>
            <w:vAlign w:val="bottom"/>
            <w:gridSpan w:val="15"/>
            <w:vMerge w:val="continue"/>
          </w:tcPr>
          <w:p>
            <w:pPr>
              <w:spacing w:after="0"/>
              <w:rPr>
                <w:sz w:val="16"/>
                <w:szCs w:val="16"/>
                <w:color w:val="auto"/>
              </w:rPr>
            </w:pPr>
          </w:p>
        </w:tc>
        <w:tc>
          <w:tcPr>
            <w:tcW w:w="1080" w:type="dxa"/>
            <w:vAlign w:val="bottom"/>
          </w:tcPr>
          <w:p>
            <w:pPr>
              <w:jc w:val="center"/>
              <w:ind w:right="172"/>
              <w:spacing w:after="0" w:line="185" w:lineRule="exact"/>
              <w:rPr>
                <w:sz w:val="20"/>
                <w:szCs w:val="20"/>
                <w:color w:val="auto"/>
              </w:rPr>
            </w:pPr>
            <w:r>
              <w:rPr>
                <w:rFonts w:ascii="Times New Roman" w:cs="Times New Roman" w:eastAsia="Times New Roman" w:hAnsi="Times New Roman"/>
                <w:sz w:val="18"/>
                <w:szCs w:val="18"/>
                <w:b w:val="1"/>
                <w:bCs w:val="1"/>
                <w:color w:val="auto"/>
                <w:w w:val="97"/>
              </w:rPr>
              <w:t>Form</w:t>
            </w:r>
          </w:p>
        </w:tc>
        <w:tc>
          <w:tcPr>
            <w:tcW w:w="7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6"/>
              </w:rPr>
              <w:t>File No.</w:t>
            </w:r>
          </w:p>
        </w:tc>
        <w:tc>
          <w:tcPr>
            <w:tcW w:w="14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1200" w:type="dxa"/>
            <w:vAlign w:val="bottom"/>
          </w:tcPr>
          <w:p>
            <w:pPr>
              <w:jc w:val="right"/>
              <w:ind w:right="412"/>
              <w:spacing w:after="0" w:line="185" w:lineRule="exact"/>
              <w:rPr>
                <w:sz w:val="20"/>
                <w:szCs w:val="20"/>
                <w:color w:val="auto"/>
              </w:rPr>
            </w:pPr>
            <w:r>
              <w:rPr>
                <w:rFonts w:ascii="Times New Roman" w:cs="Times New Roman" w:eastAsia="Times New Roman" w:hAnsi="Times New Roman"/>
                <w:sz w:val="18"/>
                <w:szCs w:val="18"/>
                <w:b w:val="1"/>
                <w:bCs w:val="1"/>
                <w:color w:val="auto"/>
              </w:rPr>
              <w:t>Filing</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6"/>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0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40" w:type="dxa"/>
            <w:vAlign w:val="bottom"/>
            <w:gridSpan w:val="6"/>
          </w:tcPr>
          <w:p>
            <w:pPr>
              <w:spacing w:after="0" w:line="192" w:lineRule="exact"/>
              <w:rPr>
                <w:rFonts w:ascii="Times New Roman" w:cs="Times New Roman" w:eastAsia="Times New Roman" w:hAnsi="Times New Roman"/>
                <w:sz w:val="18"/>
                <w:szCs w:val="18"/>
                <w:color w:val="0000FF"/>
                <w:w w:val="97"/>
              </w:rPr>
            </w:pPr>
            <w:hyperlink r:id="rId136">
              <w:r>
                <w:rPr>
                  <w:rFonts w:ascii="Times New Roman" w:cs="Times New Roman" w:eastAsia="Times New Roman" w:hAnsi="Times New Roman"/>
                  <w:sz w:val="18"/>
                  <w:szCs w:val="18"/>
                  <w:color w:val="0000FF"/>
                  <w:w w:val="97"/>
                </w:rPr>
                <w:t>Amended and Restated Certificate of Incorporation</w:t>
              </w:r>
            </w:hyperlink>
          </w:p>
        </w:tc>
        <w:tc>
          <w:tcPr>
            <w:tcW w:w="740" w:type="dxa"/>
            <w:vAlign w:val="bottom"/>
            <w:gridSpan w:val="9"/>
          </w:tcPr>
          <w:p>
            <w:pPr>
              <w:spacing w:after="0"/>
              <w:rPr>
                <w:sz w:val="16"/>
                <w:szCs w:val="16"/>
                <w:color w:val="auto"/>
              </w:rPr>
            </w:pPr>
          </w:p>
        </w:tc>
        <w:tc>
          <w:tcPr>
            <w:tcW w:w="1080" w:type="dxa"/>
            <w:vAlign w:val="bottom"/>
          </w:tcPr>
          <w:p>
            <w:pPr>
              <w:jc w:val="center"/>
              <w:ind w:right="152"/>
              <w:spacing w:after="0" w:line="192"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line="192"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001-40632</w:t>
              </w:r>
            </w:hyperlink>
          </w:p>
        </w:tc>
        <w:tc>
          <w:tcPr>
            <w:tcW w:w="640" w:type="dxa"/>
            <w:vAlign w:val="bottom"/>
          </w:tcPr>
          <w:p>
            <w:pPr>
              <w:spacing w:after="0"/>
              <w:rPr>
                <w:sz w:val="16"/>
                <w:szCs w:val="16"/>
                <w:color w:val="auto"/>
              </w:rPr>
            </w:pPr>
          </w:p>
        </w:tc>
        <w:tc>
          <w:tcPr>
            <w:tcW w:w="840" w:type="dxa"/>
            <w:vAlign w:val="bottom"/>
            <w:gridSpan w:val="2"/>
          </w:tcPr>
          <w:p>
            <w:pPr>
              <w:jc w:val="center"/>
              <w:ind w:right="620"/>
              <w:spacing w:after="0" w:line="192" w:lineRule="exact"/>
              <w:rPr>
                <w:sz w:val="20"/>
                <w:szCs w:val="20"/>
                <w:color w:val="auto"/>
              </w:rPr>
            </w:pPr>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p>
        </w:tc>
        <w:tc>
          <w:tcPr>
            <w:tcW w:w="120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07/27/2021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40" w:type="dxa"/>
            <w:vAlign w:val="bottom"/>
            <w:gridSpan w:val="6"/>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Amended and Restated Bylaws</w:t>
              </w:r>
            </w:hyperlink>
          </w:p>
        </w:tc>
        <w:tc>
          <w:tcPr>
            <w:tcW w:w="740" w:type="dxa"/>
            <w:vAlign w:val="bottom"/>
            <w:gridSpan w:val="9"/>
          </w:tcPr>
          <w:p>
            <w:pPr>
              <w:spacing w:after="0"/>
              <w:rPr>
                <w:sz w:val="20"/>
                <w:szCs w:val="20"/>
                <w:color w:val="auto"/>
              </w:rPr>
            </w:pPr>
          </w:p>
        </w:tc>
        <w:tc>
          <w:tcPr>
            <w:tcW w:w="10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001-40632</w:t>
              </w:r>
            </w:hyperlink>
          </w:p>
        </w:tc>
        <w:tc>
          <w:tcPr>
            <w:tcW w:w="640" w:type="dxa"/>
            <w:vAlign w:val="bottom"/>
          </w:tcPr>
          <w:p>
            <w:pPr>
              <w:spacing w:after="0"/>
              <w:rPr>
                <w:sz w:val="20"/>
                <w:szCs w:val="20"/>
                <w:color w:val="auto"/>
              </w:rPr>
            </w:pPr>
          </w:p>
        </w:tc>
        <w:tc>
          <w:tcPr>
            <w:tcW w:w="8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07/27/2021</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by</w:t>
            </w: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tcBorders>
              <w:top w:val="single" w:sz="8" w:color="0000FF"/>
              <w:bottom w:val="single" w:sz="8" w:color="0000FF"/>
            </w:tcBorders>
            <w:gridSpan w:val="6"/>
          </w:tcPr>
          <w:p>
            <w:pPr>
              <w:spacing w:after="0" w:line="179" w:lineRule="exact"/>
              <w:rPr>
                <w:sz w:val="20"/>
                <w:szCs w:val="20"/>
                <w:color w:val="auto"/>
              </w:rPr>
            </w:pPr>
            <w:r>
              <w:rPr>
                <w:rFonts w:ascii="Times New Roman" w:cs="Times New Roman" w:eastAsia="Times New Roman" w:hAnsi="Times New Roman"/>
                <w:sz w:val="18"/>
                <w:szCs w:val="18"/>
                <w:color w:val="0000FF"/>
                <w:w w:val="97"/>
              </w:rPr>
              <w:t>Rules 13a-14(a) and 15d-14(a) under the Securities</w:t>
            </w:r>
          </w:p>
        </w:tc>
        <w:tc>
          <w:tcPr>
            <w:tcW w:w="280" w:type="dxa"/>
            <w:vAlign w:val="bottom"/>
            <w:tcBorders>
              <w:top w:val="single" w:sz="8" w:color="0000FF"/>
            </w:tcBorders>
            <w:gridSpan w:val="3"/>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80" w:type="dxa"/>
            <w:vAlign w:val="bottom"/>
            <w:gridSpan w:val="15"/>
          </w:tcPr>
          <w:p>
            <w:pPr>
              <w:spacing w:after="0" w:line="192"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tcBorders>
              <w:top w:val="single" w:sz="8" w:color="0000FF"/>
            </w:tcBorders>
            <w:gridSpan w:val="10"/>
          </w:tcPr>
          <w:p>
            <w:pPr>
              <w:spacing w:after="0" w:line="17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by Rule</w:t>
            </w: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top w:val="single" w:sz="8" w:color="0000FF"/>
            </w:tcBorders>
            <w:gridSpan w:val="13"/>
          </w:tcPr>
          <w:p>
            <w:pPr>
              <w:spacing w:after="0" w:line="179" w:lineRule="exact"/>
              <w:rPr>
                <w:sz w:val="20"/>
                <w:szCs w:val="20"/>
                <w:color w:val="auto"/>
              </w:rPr>
            </w:pPr>
            <w:r>
              <w:rPr>
                <w:rFonts w:ascii="Times New Roman" w:cs="Times New Roman" w:eastAsia="Times New Roman" w:hAnsi="Times New Roman"/>
                <w:sz w:val="18"/>
                <w:szCs w:val="18"/>
                <w:color w:val="0000FF"/>
                <w:w w:val="97"/>
              </w:rPr>
              <w:t>13a-14(a) or Rule 15d-14(a) of the Securities Exchange Act</w:t>
            </w:r>
          </w:p>
        </w:tc>
        <w:tc>
          <w:tcPr>
            <w:tcW w:w="14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20" w:type="dxa"/>
            <w:vAlign w:val="bottom"/>
            <w:tcBorders>
              <w:top w:val="single" w:sz="8" w:color="0000FF"/>
            </w:tcBorders>
            <w:gridSpan w:val="12"/>
          </w:tcPr>
          <w:p>
            <w:pPr>
              <w:spacing w:after="0" w:line="192" w:lineRule="exact"/>
              <w:rPr>
                <w:sz w:val="20"/>
                <w:szCs w:val="20"/>
                <w:color w:val="auto"/>
              </w:rPr>
            </w:pPr>
            <w:r>
              <w:rPr>
                <w:rFonts w:ascii="Times New Roman" w:cs="Times New Roman" w:eastAsia="Times New Roman" w:hAnsi="Times New Roman"/>
                <w:sz w:val="18"/>
                <w:szCs w:val="18"/>
                <w:color w:val="0000FF"/>
              </w:rPr>
              <w:t>of 1934, as adopted pursuant to Section 302 of the</w:t>
            </w:r>
          </w:p>
        </w:tc>
        <w:tc>
          <w:tcPr>
            <w:tcW w:w="160" w:type="dxa"/>
            <w:vAlign w:val="bottom"/>
            <w:gridSpan w:val="3"/>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Borders>
              <w:top w:val="single" w:sz="8" w:color="0000FF"/>
              <w:bottom w:val="single" w:sz="8" w:color="0000FF"/>
            </w:tcBorders>
          </w:tcPr>
          <w:p>
            <w:pPr>
              <w:spacing w:after="0" w:line="179" w:lineRule="exact"/>
              <w:rPr>
                <w:sz w:val="20"/>
                <w:szCs w:val="20"/>
                <w:color w:val="auto"/>
              </w:rPr>
            </w:pPr>
            <w:r>
              <w:rPr>
                <w:rFonts w:ascii="Times New Roman" w:cs="Times New Roman" w:eastAsia="Times New Roman" w:hAnsi="Times New Roman"/>
                <w:sz w:val="18"/>
                <w:szCs w:val="18"/>
                <w:color w:val="0000FF"/>
                <w:w w:val="97"/>
              </w:rPr>
              <w:t>Sarbanes-Oxley Act of 2002.</w:t>
            </w:r>
          </w:p>
        </w:tc>
        <w:tc>
          <w:tcPr>
            <w:tcW w:w="1480" w:type="dxa"/>
            <w:vAlign w:val="bottom"/>
            <w:tcBorders>
              <w:top w:val="single" w:sz="8" w:color="0000FF"/>
            </w:tcBorders>
            <w:gridSpan w:val="4"/>
          </w:tcPr>
          <w:p>
            <w:pPr>
              <w:spacing w:after="0"/>
              <w:rPr>
                <w:sz w:val="15"/>
                <w:szCs w:val="15"/>
                <w:color w:val="auto"/>
              </w:rPr>
            </w:pPr>
          </w:p>
        </w:tc>
        <w:tc>
          <w:tcPr>
            <w:tcW w:w="2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200" w:type="dxa"/>
            <w:vAlign w:val="bottom"/>
            <w:gridSpan w:val="4"/>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Certification of Chief Executive Officer pursuant to 18</w:t>
            </w:r>
          </w:p>
        </w:tc>
        <w:tc>
          <w:tcPr>
            <w:tcW w:w="500" w:type="dxa"/>
            <w:vAlign w:val="bottom"/>
            <w:gridSpan w:val="7"/>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80" w:type="dxa"/>
            <w:vAlign w:val="bottom"/>
            <w:gridSpan w:val="15"/>
          </w:tcPr>
          <w:p>
            <w:pPr>
              <w:spacing w:after="0" w:line="179"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tcBorders>
              <w:top w:val="single" w:sz="8" w:color="0000FF"/>
            </w:tcBorders>
            <w:gridSpan w:val="11"/>
          </w:tcPr>
          <w:p>
            <w:pPr>
              <w:spacing w:after="0" w:line="192"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00" w:type="dxa"/>
            <w:vAlign w:val="bottom"/>
            <w:gridSpan w:val="4"/>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w:t>
            </w: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80" w:type="dxa"/>
            <w:vAlign w:val="bottom"/>
            <w:gridSpan w:val="15"/>
          </w:tcPr>
          <w:p>
            <w:pPr>
              <w:spacing w:after="0" w:line="179"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tcBorders>
              <w:top w:val="single" w:sz="8" w:color="0000FF"/>
            </w:tcBorders>
            <w:gridSpan w:val="11"/>
          </w:tcPr>
          <w:p>
            <w:pPr>
              <w:spacing w:after="0" w:line="192"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00" w:type="dxa"/>
            <w:vAlign w:val="bottom"/>
            <w:gridSpan w:val="4"/>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980" w:type="dxa"/>
            <w:vAlign w:val="bottom"/>
            <w:gridSpan w:val="1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0"/>
                <w:szCs w:val="20"/>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gridSpan w:val="15"/>
          </w:tcPr>
          <w:p>
            <w:pPr>
              <w:spacing w:after="0" w:line="199" w:lineRule="exact"/>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79"/>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24"/>
                <w:szCs w:val="24"/>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2"/>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101.DEF</w:t>
            </w:r>
          </w:p>
        </w:tc>
        <w:tc>
          <w:tcPr>
            <w:tcW w:w="20" w:type="dxa"/>
            <w:vAlign w:val="bottom"/>
          </w:tcPr>
          <w:p>
            <w:pPr>
              <w:spacing w:after="0"/>
              <w:rPr>
                <w:sz w:val="24"/>
                <w:szCs w:val="24"/>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2"/>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101.LAB</w:t>
            </w:r>
          </w:p>
        </w:tc>
        <w:tc>
          <w:tcPr>
            <w:tcW w:w="20" w:type="dxa"/>
            <w:vAlign w:val="bottom"/>
          </w:tcPr>
          <w:p>
            <w:pPr>
              <w:spacing w:after="0"/>
              <w:rPr>
                <w:sz w:val="24"/>
                <w:szCs w:val="24"/>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2"/>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2"/>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2"/>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and contained in Exhibits 101).</w:t>
            </w: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11" w:lineRule="exact"/>
        <w:rPr>
          <w:sz w:val="20"/>
          <w:szCs w:val="20"/>
          <w:color w:val="auto"/>
        </w:rPr>
      </w:pPr>
    </w:p>
    <w:p>
      <w:pPr>
        <w:jc w:val="both"/>
        <w:ind w:left="160" w:hanging="154"/>
        <w:spacing w:after="0" w:line="282" w:lineRule="auto"/>
        <w:tabs>
          <w:tab w:leader="none" w:pos="1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contemplated by SEC Release No. 33-8212, these exhibits are furnished with this Quarterly Report on Form 10-Q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firstLine="491"/>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2" w:lineRule="exact"/>
        <w:rPr>
          <w:sz w:val="20"/>
          <w:szCs w:val="20"/>
          <w:color w:val="auto"/>
        </w:rPr>
      </w:pPr>
    </w:p>
    <w:p>
      <w:pPr>
        <w:ind w:left="20"/>
        <w:spacing w:after="0"/>
        <w:tabs>
          <w:tab w:leader="none" w:pos="5080" w:val="left"/>
          <w:tab w:leader="none" w:pos="784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3592195</wp:posOffset>
            </wp:positionH>
            <wp:positionV relativeFrom="paragraph">
              <wp:posOffset>23495</wp:posOffset>
            </wp:positionV>
            <wp:extent cx="35464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3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4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5080" w:val="left"/>
          <w:tab w:leader="none" w:pos="764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McCombe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3592195</wp:posOffset>
            </wp:positionH>
            <wp:positionV relativeFrom="paragraph">
              <wp:posOffset>23495</wp:posOffset>
            </wp:positionV>
            <wp:extent cx="35464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38"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William McCombe</w:t>
      </w:r>
    </w:p>
    <w:p>
      <w:pPr>
        <w:spacing w:after="0" w:line="4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Wenbin Jiang, Ph.D., certify that:</w:t>
      </w:r>
    </w:p>
    <w:p>
      <w:pPr>
        <w:spacing w:after="0" w:line="244" w:lineRule="exact"/>
        <w:rPr>
          <w:sz w:val="20"/>
          <w:szCs w:val="20"/>
          <w:color w:val="auto"/>
        </w:rPr>
      </w:pPr>
    </w:p>
    <w:p>
      <w:pPr>
        <w:ind w:left="240" w:hanging="234"/>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Cytek Biosciences, Inc.;</w:t>
      </w:r>
    </w:p>
    <w:p>
      <w:pPr>
        <w:spacing w:after="0" w:line="24" w:lineRule="exact"/>
        <w:rPr>
          <w:rFonts w:ascii="Times New Roman" w:cs="Times New Roman" w:eastAsia="Times New Roman" w:hAnsi="Times New Roman"/>
          <w:sz w:val="18"/>
          <w:szCs w:val="18"/>
          <w:color w:val="auto"/>
        </w:rPr>
      </w:pPr>
    </w:p>
    <w:p>
      <w:pPr>
        <w:ind w:left="240" w:right="220" w:hanging="234"/>
        <w:spacing w:after="0" w:line="260" w:lineRule="auto"/>
        <w:tabs>
          <w:tab w:leader="none" w:pos="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40" w:right="20" w:hanging="234"/>
        <w:spacing w:after="0" w:line="246"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40" w:right="160" w:hanging="234"/>
        <w:spacing w:after="0" w:line="249"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79" w:lineRule="exact"/>
        <w:rPr>
          <w:rFonts w:ascii="Times New Roman" w:cs="Times New Roman" w:eastAsia="Times New Roman" w:hAnsi="Times New Roman"/>
          <w:sz w:val="18"/>
          <w:szCs w:val="18"/>
          <w:color w:val="auto"/>
        </w:rPr>
      </w:pPr>
    </w:p>
    <w:p>
      <w:pPr>
        <w:ind w:left="1760" w:right="60" w:hanging="799"/>
        <w:spacing w:after="0" w:line="260" w:lineRule="auto"/>
        <w:tabs>
          <w:tab w:leader="none" w:pos="175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1760" w:right="140" w:hanging="799"/>
        <w:spacing w:after="0" w:line="260" w:lineRule="auto"/>
        <w:tabs>
          <w:tab w:leader="none" w:pos="17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ind w:left="1760" w:right="220" w:hanging="799"/>
        <w:spacing w:after="0" w:line="260" w:lineRule="auto"/>
        <w:tabs>
          <w:tab w:leader="none" w:pos="175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Times New Roman" w:cs="Times New Roman" w:eastAsia="Times New Roman" w:hAnsi="Times New Roman"/>
          <w:sz w:val="18"/>
          <w:szCs w:val="18"/>
          <w:color w:val="auto"/>
        </w:rPr>
      </w:pPr>
    </w:p>
    <w:p>
      <w:pPr>
        <w:ind w:left="1760" w:right="320" w:hanging="799"/>
        <w:spacing w:after="0" w:line="260" w:lineRule="auto"/>
        <w:tabs>
          <w:tab w:leader="none" w:pos="17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8"/>
          <w:szCs w:val="18"/>
          <w:color w:val="auto"/>
        </w:rPr>
      </w:pPr>
    </w:p>
    <w:p>
      <w:pPr>
        <w:ind w:left="240" w:right="600" w:hanging="234"/>
        <w:spacing w:after="0" w:line="274"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8"/>
          <w:szCs w:val="18"/>
          <w:color w:val="auto"/>
        </w:rPr>
      </w:pPr>
    </w:p>
    <w:p>
      <w:pPr>
        <w:ind w:left="1760" w:right="180" w:hanging="799"/>
        <w:spacing w:after="0" w:line="304" w:lineRule="auto"/>
        <w:tabs>
          <w:tab w:leader="none" w:pos="175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Times New Roman" w:cs="Times New Roman" w:eastAsia="Times New Roman" w:hAnsi="Times New Roman"/>
          <w:sz w:val="17"/>
          <w:szCs w:val="17"/>
          <w:color w:val="auto"/>
        </w:rPr>
      </w:pPr>
    </w:p>
    <w:p>
      <w:pPr>
        <w:ind w:left="1760" w:right="460" w:hanging="799"/>
        <w:spacing w:after="0" w:line="274" w:lineRule="auto"/>
        <w:tabs>
          <w:tab w:leader="none" w:pos="17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176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By:</w:t>
            </w:r>
          </w:p>
        </w:tc>
        <w:tc>
          <w:tcPr>
            <w:tcW w:w="1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7"/>
              </w:rPr>
              <w:t>/s/ Wenbin Jiang, Ph.D.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Wenbin Jiang, Ph.D.</w:t>
            </w:r>
          </w:p>
        </w:tc>
        <w:tc>
          <w:tcPr>
            <w:tcW w:w="0" w:type="dxa"/>
            <w:vAlign w:val="bottom"/>
          </w:tcPr>
          <w:p>
            <w:pPr>
              <w:spacing w:after="0"/>
              <w:rPr>
                <w:sz w:val="1"/>
                <w:szCs w:val="1"/>
                <w:color w:val="auto"/>
              </w:rPr>
            </w:pPr>
          </w:p>
        </w:tc>
      </w:tr>
      <w:tr>
        <w:trPr>
          <w:trHeight w:val="246"/>
        </w:trPr>
        <w:tc>
          <w:tcPr>
            <w:tcW w:w="24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7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President and Chief Executive Officer</w:t>
            </w:r>
          </w:p>
        </w:tc>
        <w:tc>
          <w:tcPr>
            <w:tcW w:w="0" w:type="dxa"/>
            <w:vAlign w:val="bottom"/>
          </w:tcPr>
          <w:p>
            <w:pPr>
              <w:spacing w:after="0"/>
              <w:rPr>
                <w:sz w:val="1"/>
                <w:szCs w:val="1"/>
                <w:color w:val="auto"/>
              </w:rPr>
            </w:pPr>
          </w:p>
        </w:tc>
      </w:tr>
      <w:tr>
        <w:trPr>
          <w:trHeight w:val="232"/>
        </w:trPr>
        <w:tc>
          <w:tcPr>
            <w:tcW w:w="2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2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McCombe, certify that:</w:t>
      </w:r>
    </w:p>
    <w:p>
      <w:pPr>
        <w:spacing w:after="0" w:line="244" w:lineRule="exact"/>
        <w:rPr>
          <w:sz w:val="20"/>
          <w:szCs w:val="20"/>
          <w:color w:val="auto"/>
        </w:rPr>
      </w:pPr>
    </w:p>
    <w:p>
      <w:pPr>
        <w:ind w:left="240" w:hanging="234"/>
        <w:spacing w:after="0"/>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Cytek Biosciences, Inc.;</w:t>
      </w:r>
    </w:p>
    <w:p>
      <w:pPr>
        <w:spacing w:after="0" w:line="24" w:lineRule="exact"/>
        <w:rPr>
          <w:rFonts w:ascii="Times New Roman" w:cs="Times New Roman" w:eastAsia="Times New Roman" w:hAnsi="Times New Roman"/>
          <w:sz w:val="18"/>
          <w:szCs w:val="18"/>
          <w:color w:val="auto"/>
        </w:rPr>
      </w:pPr>
    </w:p>
    <w:p>
      <w:pPr>
        <w:ind w:left="240" w:right="220" w:hanging="234"/>
        <w:spacing w:after="0" w:line="260" w:lineRule="auto"/>
        <w:tabs>
          <w:tab w:leader="none" w:pos="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40" w:right="20" w:hanging="234"/>
        <w:spacing w:after="0" w:line="246" w:lineRule="auto"/>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40" w:right="160" w:hanging="234"/>
        <w:spacing w:after="0" w:line="249" w:lineRule="auto"/>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79" w:lineRule="exact"/>
        <w:rPr>
          <w:rFonts w:ascii="Times New Roman" w:cs="Times New Roman" w:eastAsia="Times New Roman" w:hAnsi="Times New Roman"/>
          <w:sz w:val="18"/>
          <w:szCs w:val="18"/>
          <w:color w:val="auto"/>
        </w:rPr>
      </w:pPr>
    </w:p>
    <w:p>
      <w:pPr>
        <w:ind w:left="1760" w:right="60" w:hanging="799"/>
        <w:spacing w:after="0" w:line="260" w:lineRule="auto"/>
        <w:tabs>
          <w:tab w:leader="none" w:pos="17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1760" w:right="140" w:hanging="799"/>
        <w:spacing w:after="0" w:line="260" w:lineRule="auto"/>
        <w:tabs>
          <w:tab w:leader="none" w:pos="17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ind w:left="1760" w:right="220" w:hanging="799"/>
        <w:spacing w:after="0" w:line="260" w:lineRule="auto"/>
        <w:tabs>
          <w:tab w:leader="none" w:pos="17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Times New Roman" w:cs="Times New Roman" w:eastAsia="Times New Roman" w:hAnsi="Times New Roman"/>
          <w:sz w:val="18"/>
          <w:szCs w:val="18"/>
          <w:color w:val="auto"/>
        </w:rPr>
      </w:pPr>
    </w:p>
    <w:p>
      <w:pPr>
        <w:ind w:left="1760" w:right="320" w:hanging="799"/>
        <w:spacing w:after="0" w:line="260" w:lineRule="auto"/>
        <w:tabs>
          <w:tab w:leader="none" w:pos="17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8"/>
          <w:szCs w:val="18"/>
          <w:color w:val="auto"/>
        </w:rPr>
      </w:pPr>
    </w:p>
    <w:p>
      <w:pPr>
        <w:ind w:left="240" w:right="600" w:hanging="234"/>
        <w:spacing w:after="0" w:line="274" w:lineRule="auto"/>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8"/>
          <w:szCs w:val="18"/>
          <w:color w:val="auto"/>
        </w:rPr>
      </w:pPr>
    </w:p>
    <w:p>
      <w:pPr>
        <w:ind w:left="1760" w:right="180" w:hanging="799"/>
        <w:spacing w:after="0" w:line="304" w:lineRule="auto"/>
        <w:tabs>
          <w:tab w:leader="none" w:pos="1751"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Times New Roman" w:cs="Times New Roman" w:eastAsia="Times New Roman" w:hAnsi="Times New Roman"/>
          <w:sz w:val="17"/>
          <w:szCs w:val="17"/>
          <w:color w:val="auto"/>
        </w:rPr>
      </w:pPr>
    </w:p>
    <w:p>
      <w:pPr>
        <w:ind w:left="1760" w:right="460" w:hanging="799"/>
        <w:spacing w:after="0" w:line="274" w:lineRule="auto"/>
        <w:tabs>
          <w:tab w:leader="none" w:pos="17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1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By:</w:t>
            </w:r>
          </w:p>
        </w:tc>
        <w:tc>
          <w:tcPr>
            <w:tcW w:w="2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 William McCombe</w:t>
            </w:r>
          </w:p>
        </w:tc>
      </w:tr>
      <w:tr>
        <w:trPr>
          <w:trHeight w:val="20"/>
        </w:trPr>
        <w:tc>
          <w:tcPr>
            <w:tcW w:w="2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40"/>
        </w:trPr>
        <w:tc>
          <w:tcPr>
            <w:tcW w:w="2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William McCombe</w:t>
            </w:r>
          </w:p>
        </w:tc>
      </w:tr>
      <w:tr>
        <w:trPr>
          <w:trHeight w:val="226"/>
        </w:trPr>
        <w:tc>
          <w:tcPr>
            <w:tcW w:w="2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2"/>
        </w:trPr>
        <w:tc>
          <w:tcPr>
            <w:tcW w:w="2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6"/>
              </w:rPr>
              <w:t>(Principal Financial Officer)</w:t>
            </w:r>
          </w:p>
        </w:tc>
      </w:tr>
    </w:tbl>
    <w:p>
      <w:pPr>
        <w:sectPr>
          <w:pgSz w:w="11900" w:h="16838" w:orient="portrait"/>
          <w:cols w:equalWidth="0" w:num="1">
            <w:col w:w="11240"/>
          </w:cols>
          <w:pgMar w:left="320" w:top="1021"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37" w:lineRule="exact"/>
        <w:rPr>
          <w:sz w:val="20"/>
          <w:szCs w:val="20"/>
          <w:color w:val="auto"/>
        </w:rPr>
      </w:pPr>
    </w:p>
    <w:p>
      <w:pPr>
        <w:jc w:val="both"/>
        <w:ind w:firstLine="1273"/>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on Form 10-Q of Cytek Biosciences, Inc. (the “Company”) for the period ended June 30, 2025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spacing w:after="0" w:line="75" w:lineRule="exact"/>
        <w:rPr>
          <w:sz w:val="20"/>
          <w:szCs w:val="20"/>
          <w:color w:val="auto"/>
        </w:rPr>
      </w:pPr>
    </w:p>
    <w:p>
      <w:pPr>
        <w:ind w:left="1600" w:hanging="1037"/>
        <w:spacing w:after="0"/>
        <w:tabs>
          <w:tab w:leader="none" w:pos="1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1" w:lineRule="exact"/>
        <w:rPr>
          <w:rFonts w:ascii="Times New Roman" w:cs="Times New Roman" w:eastAsia="Times New Roman" w:hAnsi="Times New Roman"/>
          <w:sz w:val="18"/>
          <w:szCs w:val="18"/>
          <w:color w:val="auto"/>
        </w:rPr>
      </w:pPr>
    </w:p>
    <w:p>
      <w:pPr>
        <w:ind w:left="1600" w:hanging="1037"/>
        <w:spacing w:after="0" w:line="274" w:lineRule="auto"/>
        <w:tabs>
          <w:tab w:leader="none" w:pos="15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98" w:lineRule="exact"/>
        <w:rPr>
          <w:sz w:val="20"/>
          <w:szCs w:val="20"/>
          <w:color w:val="auto"/>
        </w:rPr>
      </w:pPr>
    </w:p>
    <w:p>
      <w:pPr>
        <w:ind w:left="20"/>
        <w:spacing w:after="0"/>
        <w:tabs>
          <w:tab w:leader="none" w:pos="3300" w:val="left"/>
          <w:tab w:leader="none" w:pos="400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Wenbin Jiang, Ph.D.</w:t>
      </w:r>
    </w:p>
    <w:p>
      <w:pPr>
        <w:spacing w:after="0" w:line="5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21"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37" w:lineRule="exact"/>
        <w:rPr>
          <w:sz w:val="20"/>
          <w:szCs w:val="20"/>
          <w:color w:val="auto"/>
        </w:rPr>
      </w:pPr>
    </w:p>
    <w:p>
      <w:pPr>
        <w:ind w:right="100" w:firstLine="1273"/>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on Form 10-Q of Cytek Biosciences, Inc. (the “Company”) for the period ended June 30, 2025 as filed with the Securities and Exchange Commission on the date hereof (the “Report”), the undersigned, William McCombe, Chief Financial Officer of the Company, hereby certifies, pursuant to requirements set forth in Rule 13a-14(b) of the Securities Exchange Act of 1934, as amended (the “Exchange Act”), and 18 U.S.C. Section 1350, that to his knowledge:</w:t>
      </w:r>
    </w:p>
    <w:p>
      <w:pPr>
        <w:spacing w:after="0" w:line="75" w:lineRule="exact"/>
        <w:rPr>
          <w:sz w:val="20"/>
          <w:szCs w:val="20"/>
          <w:color w:val="auto"/>
        </w:rPr>
      </w:pPr>
    </w:p>
    <w:p>
      <w:pPr>
        <w:ind w:left="1600" w:hanging="1037"/>
        <w:spacing w:after="0"/>
        <w:tabs>
          <w:tab w:leader="none" w:pos="1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1" w:lineRule="exact"/>
        <w:rPr>
          <w:rFonts w:ascii="Times New Roman" w:cs="Times New Roman" w:eastAsia="Times New Roman" w:hAnsi="Times New Roman"/>
          <w:sz w:val="18"/>
          <w:szCs w:val="18"/>
          <w:color w:val="auto"/>
        </w:rPr>
      </w:pPr>
    </w:p>
    <w:p>
      <w:pPr>
        <w:ind w:left="1600" w:right="120" w:hanging="1037"/>
        <w:spacing w:after="0" w:line="274" w:lineRule="auto"/>
        <w:tabs>
          <w:tab w:leader="none" w:pos="15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98" w:lineRule="exact"/>
        <w:rPr>
          <w:sz w:val="20"/>
          <w:szCs w:val="20"/>
          <w:color w:val="auto"/>
        </w:rPr>
      </w:pPr>
    </w:p>
    <w:p>
      <w:pPr>
        <w:ind w:left="700"/>
        <w:spacing w:after="0"/>
        <w:tabs>
          <w:tab w:leader="none" w:pos="3320" w:val="left"/>
          <w:tab w:leader="none" w:pos="378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William McCombe</w:t>
      </w:r>
    </w:p>
    <w:p>
      <w:pPr>
        <w:spacing w:after="0" w:line="5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William McCombe</w:t>
      </w:r>
    </w:p>
    <w:p>
      <w:pPr>
        <w:spacing w:after="0" w:line="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140"/>
      </w:cols>
      <w:pgMar w:left="320" w:top="10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2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lvl w:ilvl="1">
      <w:lvlJc w:val="left"/>
      <w:lvlText w:val="(%2)"/>
      <w:numFmt w:val="lowerRoman"/>
      <w:start w:val="2"/>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36" Type="http://schemas.openxmlformats.org/officeDocument/2006/relationships/hyperlink" Target="https://www.sec.gov/Archives/edgar/data/1831915/000119312521225716/d183956dex31.htm" TargetMode="External"/><Relationship Id="rId137" Type="http://schemas.openxmlformats.org/officeDocument/2006/relationships/hyperlink" Target="https://www.sec.gov/Archives/edgar/data/1831915/000119312521225716/d18395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2025-08-06T16:29:28Z</dcterms:created>
  <dcterms:modified xsi:type="dcterms:W3CDTF">2025-08-06T16:29:28Z</dcterms:modified>
</cp:coreProperties>
</file>