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3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-211455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3880" w:right="1620" w:hanging="3859"/>
        <w:spacing w:after="0" w:line="246" w:lineRule="auto"/>
        <w:tabs>
          <w:tab w:leader="none" w:pos="476"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jc w:val="center"/>
        <w:spacing w:after="0" w:line="212" w:lineRule="auto"/>
        <w:rPr>
          <w:sz w:val="20"/>
          <w:szCs w:val="20"/>
          <w:color w:val="auto"/>
        </w:rPr>
      </w:pPr>
      <w:r>
        <w:rPr>
          <w:rFonts w:ascii="Times New Roman" w:cs="Times New Roman" w:eastAsia="Times New Roman" w:hAnsi="Times New Roman"/>
          <w:sz w:val="18"/>
          <w:szCs w:val="18"/>
          <w:b w:val="1"/>
          <w:bCs w:val="1"/>
          <w:color w:val="auto"/>
        </w:rPr>
        <w:t>OR</w:t>
      </w:r>
    </w:p>
    <w:p>
      <w:pPr>
        <w:ind w:left="480" w:hanging="459"/>
        <w:spacing w:after="0" w:line="227" w:lineRule="auto"/>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w:t>
      </w:r>
    </w:p>
    <w:p>
      <w:pPr>
        <w:ind w:left="480"/>
        <w:spacing w:after="0"/>
        <w:tabs>
          <w:tab w:leader="none" w:pos="392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001-40632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134620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CYTEK BIOSCIENCES, INC.</w:t>
      </w:r>
    </w:p>
    <w:p>
      <w:pPr>
        <w:spacing w:after="0" w:line="5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133350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500" w:type="dxa"/>
            <w:vAlign w:val="bottom"/>
            <w:gridSpan w:val="3"/>
          </w:tcPr>
          <w:p>
            <w:pPr>
              <w:jc w:val="center"/>
              <w:ind w:left="106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500" w:type="dxa"/>
            <w:vAlign w:val="bottom"/>
          </w:tcPr>
          <w:p>
            <w:pPr>
              <w:jc w:val="right"/>
              <w:ind w:right="2306"/>
              <w:spacing w:after="0"/>
              <w:rPr>
                <w:sz w:val="20"/>
                <w:szCs w:val="20"/>
                <w:color w:val="auto"/>
              </w:rPr>
            </w:pPr>
            <w:r>
              <w:rPr>
                <w:rFonts w:ascii="Times New Roman" w:cs="Times New Roman" w:eastAsia="Times New Roman" w:hAnsi="Times New Roman"/>
                <w:sz w:val="18"/>
                <w:szCs w:val="18"/>
                <w:b w:val="1"/>
                <w:bCs w:val="1"/>
                <w:color w:val="auto"/>
              </w:rPr>
              <w:t>47-2547526</w:t>
            </w:r>
          </w:p>
        </w:tc>
        <w:tc>
          <w:tcPr>
            <w:tcW w:w="0" w:type="dxa"/>
            <w:vAlign w:val="bottom"/>
          </w:tcPr>
          <w:p>
            <w:pPr>
              <w:spacing w:after="0"/>
              <w:rPr>
                <w:sz w:val="1"/>
                <w:szCs w:val="1"/>
                <w:color w:val="auto"/>
              </w:rPr>
            </w:pPr>
          </w:p>
        </w:tc>
      </w:tr>
      <w:tr>
        <w:trPr>
          <w:trHeight w:val="135"/>
        </w:trPr>
        <w:tc>
          <w:tcPr>
            <w:tcW w:w="4500" w:type="dxa"/>
            <w:vAlign w:val="bottom"/>
            <w:gridSpan w:val="3"/>
          </w:tcPr>
          <w:p>
            <w:pPr>
              <w:jc w:val="center"/>
              <w:ind w:left="1046"/>
              <w:spacing w:after="0" w:line="135" w:lineRule="exact"/>
              <w:rPr>
                <w:sz w:val="20"/>
                <w:szCs w:val="20"/>
                <w:color w:val="auto"/>
              </w:rPr>
            </w:pPr>
            <w:r>
              <w:rPr>
                <w:rFonts w:ascii="Times New Roman" w:cs="Times New Roman" w:eastAsia="Times New Roman" w:hAnsi="Times New Roman"/>
                <w:sz w:val="13"/>
                <w:szCs w:val="13"/>
                <w:color w:val="auto"/>
                <w:w w:val="96"/>
              </w:rPr>
              <w:t>(State or other jurisdiction of</w:t>
            </w: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500" w:type="dxa"/>
            <w:vAlign w:val="bottom"/>
          </w:tcPr>
          <w:p>
            <w:pPr>
              <w:jc w:val="center"/>
              <w:ind w:right="1046"/>
              <w:spacing w:after="0" w:line="135" w:lineRule="exact"/>
              <w:rPr>
                <w:sz w:val="20"/>
                <w:szCs w:val="20"/>
                <w:color w:val="auto"/>
              </w:rPr>
            </w:pPr>
            <w:r>
              <w:rPr>
                <w:rFonts w:ascii="Times New Roman" w:cs="Times New Roman" w:eastAsia="Times New Roman" w:hAnsi="Times New Roman"/>
                <w:sz w:val="13"/>
                <w:szCs w:val="13"/>
                <w:color w:val="auto"/>
                <w:w w:val="96"/>
              </w:rPr>
              <w:t>(I.R.S. Employer</w:t>
            </w:r>
          </w:p>
        </w:tc>
        <w:tc>
          <w:tcPr>
            <w:tcW w:w="0" w:type="dxa"/>
            <w:vAlign w:val="bottom"/>
          </w:tcPr>
          <w:p>
            <w:pPr>
              <w:spacing w:after="0"/>
              <w:rPr>
                <w:sz w:val="1"/>
                <w:szCs w:val="1"/>
                <w:color w:val="auto"/>
              </w:rPr>
            </w:pPr>
          </w:p>
        </w:tc>
      </w:tr>
      <w:tr>
        <w:trPr>
          <w:trHeight w:val="144"/>
        </w:trPr>
        <w:tc>
          <w:tcPr>
            <w:tcW w:w="4500" w:type="dxa"/>
            <w:vAlign w:val="bottom"/>
            <w:gridSpan w:val="3"/>
          </w:tcPr>
          <w:p>
            <w:pPr>
              <w:jc w:val="center"/>
              <w:ind w:left="1066"/>
              <w:spacing w:after="0" w:line="144" w:lineRule="exact"/>
              <w:rPr>
                <w:sz w:val="20"/>
                <w:szCs w:val="20"/>
                <w:color w:val="auto"/>
              </w:rPr>
            </w:pPr>
            <w:r>
              <w:rPr>
                <w:rFonts w:ascii="Times New Roman" w:cs="Times New Roman" w:eastAsia="Times New Roman" w:hAnsi="Times New Roman"/>
                <w:sz w:val="13"/>
                <w:szCs w:val="13"/>
                <w:color w:val="auto"/>
                <w:w w:val="96"/>
              </w:rPr>
              <w:t>incorporation or organization)</w:t>
            </w: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500" w:type="dxa"/>
            <w:vAlign w:val="bottom"/>
          </w:tcPr>
          <w:p>
            <w:pPr>
              <w:jc w:val="center"/>
              <w:ind w:right="1046"/>
              <w:spacing w:after="0" w:line="144" w:lineRule="exact"/>
              <w:rPr>
                <w:sz w:val="20"/>
                <w:szCs w:val="20"/>
                <w:color w:val="auto"/>
              </w:rPr>
            </w:pPr>
            <w:r>
              <w:rPr>
                <w:rFonts w:ascii="Times New Roman" w:cs="Times New Roman" w:eastAsia="Times New Roman" w:hAnsi="Times New Roman"/>
                <w:sz w:val="13"/>
                <w:szCs w:val="13"/>
                <w:color w:val="auto"/>
                <w:w w:val="97"/>
              </w:rPr>
              <w:t>Identification No.)</w:t>
            </w:r>
          </w:p>
        </w:tc>
        <w:tc>
          <w:tcPr>
            <w:tcW w:w="0" w:type="dxa"/>
            <w:vAlign w:val="bottom"/>
          </w:tcPr>
          <w:p>
            <w:pPr>
              <w:spacing w:after="0"/>
              <w:rPr>
                <w:sz w:val="1"/>
                <w:szCs w:val="1"/>
                <w:color w:val="auto"/>
              </w:rPr>
            </w:pPr>
          </w:p>
        </w:tc>
      </w:tr>
      <w:tr>
        <w:trPr>
          <w:trHeight w:val="207"/>
        </w:trPr>
        <w:tc>
          <w:tcPr>
            <w:tcW w:w="4500" w:type="dxa"/>
            <w:vAlign w:val="bottom"/>
            <w:gridSpan w:val="3"/>
          </w:tcPr>
          <w:p>
            <w:pPr>
              <w:jc w:val="center"/>
              <w:ind w:left="1066"/>
              <w:spacing w:after="0"/>
              <w:rPr>
                <w:sz w:val="20"/>
                <w:szCs w:val="20"/>
                <w:color w:val="auto"/>
              </w:rPr>
            </w:pPr>
            <w:r>
              <w:rPr>
                <w:rFonts w:ascii="Times New Roman" w:cs="Times New Roman" w:eastAsia="Times New Roman" w:hAnsi="Times New Roman"/>
                <w:sz w:val="18"/>
                <w:szCs w:val="18"/>
                <w:b w:val="1"/>
                <w:bCs w:val="1"/>
                <w:color w:val="auto"/>
                <w:w w:val="99"/>
              </w:rPr>
              <w:t>47215 Lakeview Blvd. Fremont, California</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500" w:type="dxa"/>
            <w:vAlign w:val="bottom"/>
          </w:tcPr>
          <w:p>
            <w:pPr>
              <w:jc w:val="right"/>
              <w:ind w:right="2506"/>
              <w:spacing w:after="0"/>
              <w:rPr>
                <w:sz w:val="20"/>
                <w:szCs w:val="20"/>
                <w:color w:val="auto"/>
              </w:rPr>
            </w:pPr>
            <w:r>
              <w:rPr>
                <w:rFonts w:ascii="Times New Roman" w:cs="Times New Roman" w:eastAsia="Times New Roman" w:hAnsi="Times New Roman"/>
                <w:sz w:val="18"/>
                <w:szCs w:val="18"/>
                <w:b w:val="1"/>
                <w:bCs w:val="1"/>
                <w:color w:val="auto"/>
              </w:rPr>
              <w:t>94538</w:t>
            </w:r>
          </w:p>
        </w:tc>
        <w:tc>
          <w:tcPr>
            <w:tcW w:w="0" w:type="dxa"/>
            <w:vAlign w:val="bottom"/>
          </w:tcPr>
          <w:p>
            <w:pPr>
              <w:spacing w:after="0"/>
              <w:rPr>
                <w:sz w:val="1"/>
                <w:szCs w:val="1"/>
                <w:color w:val="auto"/>
              </w:rPr>
            </w:pPr>
          </w:p>
        </w:tc>
      </w:tr>
      <w:tr>
        <w:trPr>
          <w:trHeight w:val="158"/>
        </w:trPr>
        <w:tc>
          <w:tcPr>
            <w:tcW w:w="4500" w:type="dxa"/>
            <w:vAlign w:val="bottom"/>
            <w:gridSpan w:val="3"/>
          </w:tcPr>
          <w:p>
            <w:pPr>
              <w:jc w:val="center"/>
              <w:ind w:left="1066"/>
              <w:spacing w:after="0"/>
              <w:rPr>
                <w:sz w:val="20"/>
                <w:szCs w:val="20"/>
                <w:color w:val="auto"/>
              </w:rPr>
            </w:pPr>
            <w:r>
              <w:rPr>
                <w:rFonts w:ascii="Times New Roman" w:cs="Times New Roman" w:eastAsia="Times New Roman" w:hAnsi="Times New Roman"/>
                <w:sz w:val="13"/>
                <w:szCs w:val="13"/>
                <w:color w:val="auto"/>
                <w:w w:val="96"/>
              </w:rPr>
              <w:t>(Address of principal executive offices)</w:t>
            </w: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500" w:type="dxa"/>
            <w:vAlign w:val="bottom"/>
          </w:tcPr>
          <w:p>
            <w:pPr>
              <w:jc w:val="center"/>
              <w:ind w:right="1026"/>
              <w:spacing w:after="0"/>
              <w:rPr>
                <w:sz w:val="20"/>
                <w:szCs w:val="20"/>
                <w:color w:val="auto"/>
              </w:rPr>
            </w:pPr>
            <w:r>
              <w:rPr>
                <w:rFonts w:ascii="Times New Roman" w:cs="Times New Roman" w:eastAsia="Times New Roman" w:hAnsi="Times New Roman"/>
                <w:sz w:val="13"/>
                <w:szCs w:val="13"/>
                <w:color w:val="auto"/>
                <w:w w:val="97"/>
              </w:rPr>
              <w:t>(Zip Code)</w:t>
            </w:r>
          </w:p>
        </w:tc>
        <w:tc>
          <w:tcPr>
            <w:tcW w:w="0" w:type="dxa"/>
            <w:vAlign w:val="bottom"/>
          </w:tcPr>
          <w:p>
            <w:pPr>
              <w:spacing w:after="0"/>
              <w:rPr>
                <w:sz w:val="1"/>
                <w:szCs w:val="1"/>
                <w:color w:val="auto"/>
              </w:rPr>
            </w:pPr>
          </w:p>
        </w:tc>
      </w:tr>
      <w:tr>
        <w:trPr>
          <w:trHeight w:val="238"/>
        </w:trPr>
        <w:tc>
          <w:tcPr>
            <w:tcW w:w="11240" w:type="dxa"/>
            <w:vAlign w:val="bottom"/>
            <w:gridSpan w:val="7"/>
          </w:tcPr>
          <w:p>
            <w:pPr>
              <w:ind w:left="354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7"/>
                <w:szCs w:val="17"/>
                <w:b w:val="1"/>
                <w:bCs w:val="1"/>
                <w:color w:val="auto"/>
              </w:rPr>
              <w:t>(877) 922-9835</w:t>
            </w:r>
          </w:p>
        </w:tc>
        <w:tc>
          <w:tcPr>
            <w:tcW w:w="0" w:type="dxa"/>
            <w:vAlign w:val="bottom"/>
          </w:tcPr>
          <w:p>
            <w:pPr>
              <w:spacing w:after="0"/>
              <w:rPr>
                <w:sz w:val="1"/>
                <w:szCs w:val="1"/>
                <w:color w:val="auto"/>
              </w:rPr>
            </w:pPr>
          </w:p>
        </w:tc>
      </w:tr>
      <w:tr>
        <w:trPr>
          <w:trHeight w:val="203"/>
        </w:trPr>
        <w:tc>
          <w:tcPr>
            <w:tcW w:w="450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1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500" w:type="dxa"/>
            <w:vAlign w:val="bottom"/>
            <w:gridSpan w:val="3"/>
            <w:vMerge w:val="continue"/>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0"/>
        </w:trPr>
        <w:tc>
          <w:tcPr>
            <w:tcW w:w="4500" w:type="dxa"/>
            <w:vAlign w:val="bottom"/>
            <w:gridSpan w:val="3"/>
          </w:tcPr>
          <w:p>
            <w:pPr>
              <w:ind w:left="1620"/>
              <w:spacing w:after="0"/>
              <w:rPr>
                <w:sz w:val="20"/>
                <w:szCs w:val="20"/>
                <w:color w:val="auto"/>
              </w:rPr>
            </w:pPr>
            <w:r>
              <w:rPr>
                <w:rFonts w:ascii="Times New Roman" w:cs="Times New Roman" w:eastAsia="Times New Roman" w:hAnsi="Times New Roman"/>
                <w:sz w:val="14"/>
                <w:szCs w:val="14"/>
                <w:color w:val="auto"/>
              </w:rPr>
              <w:t>Title of each class</w:t>
            </w:r>
          </w:p>
        </w:tc>
        <w:tc>
          <w:tcPr>
            <w:tcW w:w="2240" w:type="dxa"/>
            <w:vAlign w:val="bottom"/>
            <w:gridSpan w:val="3"/>
          </w:tcPr>
          <w:p>
            <w:pPr>
              <w:jc w:val="center"/>
              <w:ind w:right="760"/>
              <w:spacing w:after="0"/>
              <w:rPr>
                <w:sz w:val="20"/>
                <w:szCs w:val="20"/>
                <w:color w:val="auto"/>
              </w:rPr>
            </w:pPr>
            <w:r>
              <w:rPr>
                <w:rFonts w:ascii="Times New Roman" w:cs="Times New Roman" w:eastAsia="Times New Roman" w:hAnsi="Times New Roman"/>
                <w:sz w:val="14"/>
                <w:szCs w:val="14"/>
                <w:color w:val="auto"/>
              </w:rPr>
              <w:t>Trading Symbol(s)</w:t>
            </w:r>
          </w:p>
        </w:tc>
        <w:tc>
          <w:tcPr>
            <w:tcW w:w="4500" w:type="dxa"/>
            <w:vAlign w:val="bottom"/>
          </w:tcPr>
          <w:p>
            <w:pPr>
              <w:jc w:val="center"/>
              <w:ind w:right="466"/>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202"/>
        </w:trPr>
        <w:tc>
          <w:tcPr>
            <w:tcW w:w="42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Common Stock, par value $0.001 per share</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CTKB</w:t>
            </w:r>
          </w:p>
        </w:tc>
        <w:tc>
          <w:tcPr>
            <w:tcW w:w="1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4500" w:type="dxa"/>
            <w:vAlign w:val="bottom"/>
            <w:tcBorders>
              <w:top w:val="single" w:sz="8" w:color="auto"/>
            </w:tcBorders>
          </w:tcPr>
          <w:p>
            <w:pPr>
              <w:jc w:val="center"/>
              <w:ind w:right="526"/>
              <w:spacing w:after="0"/>
              <w:rPr>
                <w:sz w:val="20"/>
                <w:szCs w:val="20"/>
                <w:color w:val="auto"/>
              </w:rPr>
            </w:pPr>
            <w:r>
              <w:rPr>
                <w:rFonts w:ascii="Times New Roman" w:cs="Times New Roman" w:eastAsia="Times New Roman" w:hAnsi="Times New Roman"/>
                <w:sz w:val="15"/>
                <w:szCs w:val="15"/>
                <w:b w:val="1"/>
                <w:bCs w:val="1"/>
                <w:color w:val="auto"/>
              </w:rPr>
              <w:t>The Nasdaq Global Select Market</w:t>
            </w:r>
          </w:p>
        </w:tc>
        <w:tc>
          <w:tcPr>
            <w:tcW w:w="0" w:type="dxa"/>
            <w:vAlign w:val="bottom"/>
          </w:tcPr>
          <w:p>
            <w:pPr>
              <w:spacing w:after="0"/>
              <w:rPr>
                <w:sz w:val="1"/>
                <w:szCs w:val="1"/>
                <w:color w:val="auto"/>
              </w:rPr>
            </w:pPr>
          </w:p>
        </w:tc>
      </w:tr>
    </w:tbl>
    <w:p>
      <w:pPr>
        <w:spacing w:after="0" w:line="153" w:lineRule="exact"/>
        <w:rPr>
          <w:sz w:val="24"/>
          <w:szCs w:val="24"/>
          <w:color w:val="auto"/>
        </w:rPr>
      </w:pPr>
    </w:p>
    <w:p>
      <w:pPr>
        <w:ind w:right="120"/>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0"/>
        <w:spacing w:after="0" w:line="16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80"/>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4" w:lineRule="exact"/>
        <w:rPr>
          <w:sz w:val="24"/>
          <w:szCs w:val="24"/>
          <w:color w:val="auto"/>
        </w:rPr>
      </w:pPr>
    </w:p>
    <w:tbl>
      <w:tblPr>
        <w:tblLayout w:type="fixed"/>
        <w:tblInd w:w="20" w:type="dxa"/>
        <w:tblCellMar>
          <w:top w:w="0" w:type="dxa"/>
          <w:left w:w="0" w:type="dxa"/>
          <w:bottom w:w="0" w:type="dxa"/>
          <w:right w:w="0" w:type="dxa"/>
        </w:tblCellMar>
      </w:tblPr>
      <w:tr>
        <w:trPr>
          <w:trHeight w:val="240"/>
        </w:trPr>
        <w:tc>
          <w:tcPr>
            <w:tcW w:w="19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560" w:type="dxa"/>
            <w:vAlign w:val="bottom"/>
          </w:tcPr>
          <w:p>
            <w:pPr>
              <w:ind w:left="300"/>
              <w:spacing w:after="0" w:line="151" w:lineRule="exact"/>
              <w:rPr>
                <w:sz w:val="20"/>
                <w:szCs w:val="20"/>
                <w:color w:val="auto"/>
              </w:rPr>
            </w:pPr>
            <w:r>
              <w:rPr>
                <w:rFonts w:ascii="MS PGothic" w:cs="MS PGothic" w:eastAsia="MS PGothic" w:hAnsi="MS PGothic"/>
                <w:sz w:val="15"/>
                <w:szCs w:val="15"/>
                <w:color w:val="auto"/>
              </w:rPr>
              <w:t>☐</w:t>
            </w:r>
          </w:p>
        </w:tc>
        <w:tc>
          <w:tcPr>
            <w:tcW w:w="5120" w:type="dxa"/>
            <w:vAlign w:val="bottom"/>
          </w:tcPr>
          <w:p>
            <w:pPr>
              <w:ind w:left="3100"/>
              <w:spacing w:after="0"/>
              <w:rPr>
                <w:sz w:val="20"/>
                <w:szCs w:val="20"/>
                <w:color w:val="auto"/>
              </w:rPr>
            </w:pPr>
            <w:r>
              <w:rPr>
                <w:rFonts w:ascii="Times New Roman" w:cs="Times New Roman" w:eastAsia="Times New Roman" w:hAnsi="Times New Roman"/>
                <w:sz w:val="15"/>
                <w:szCs w:val="15"/>
                <w:color w:val="auto"/>
              </w:rPr>
              <w:t>Accelerated filer</w:t>
            </w:r>
          </w:p>
        </w:tc>
        <w:tc>
          <w:tcPr>
            <w:tcW w:w="500" w:type="dxa"/>
            <w:vAlign w:val="bottom"/>
          </w:tcPr>
          <w:p>
            <w:pPr>
              <w:ind w:left="3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388"/>
        </w:trPr>
        <w:tc>
          <w:tcPr>
            <w:tcW w:w="19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56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310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50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91"/>
        </w:trPr>
        <w:tc>
          <w:tcPr>
            <w:tcW w:w="198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356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176" w:lineRule="exact"/>
        <w:rPr>
          <w:sz w:val="24"/>
          <w:szCs w:val="24"/>
          <w:color w:val="auto"/>
        </w:rPr>
      </w:pPr>
    </w:p>
    <w:p>
      <w:pPr>
        <w:ind w:right="520"/>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August 5, 2022, there were 134,627,040 outstanding shares of the Registrant’s 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508000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1</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20" w:type="dxa"/>
            <w:vAlign w:val="bottom"/>
            <w:gridSpan w:val="21"/>
            <w:vMerge w:val="restart"/>
          </w:tcPr>
          <w:p>
            <w:pPr>
              <w:ind w:left="60"/>
              <w:spacing w:after="0"/>
              <w:rPr>
                <w:sz w:val="20"/>
                <w:szCs w:val="20"/>
                <w:color w:val="auto"/>
              </w:rPr>
            </w:pPr>
            <w:r>
              <w:rPr>
                <w:rFonts w:ascii="Times New Roman" w:cs="Times New Roman" w:eastAsia="Times New Roman" w:hAnsi="Times New Roman"/>
                <w:sz w:val="18"/>
                <w:szCs w:val="18"/>
                <w:color w:val="auto"/>
              </w:rPr>
              <w:t>FINANCIAL INFORMATION</w:t>
            </w:r>
          </w:p>
        </w:tc>
        <w:tc>
          <w:tcPr>
            <w:tcW w:w="7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4"/>
        </w:trPr>
        <w:tc>
          <w:tcPr>
            <w:tcW w:w="1160" w:type="dxa"/>
            <w:vAlign w:val="bottom"/>
            <w:gridSpan w:val="3"/>
            <w:vMerge w:val="continue"/>
          </w:tcPr>
          <w:p>
            <w:pPr>
              <w:spacing w:after="0"/>
              <w:rPr>
                <w:sz w:val="14"/>
                <w:szCs w:val="14"/>
                <w:color w:val="auto"/>
              </w:rPr>
            </w:pPr>
          </w:p>
        </w:tc>
        <w:tc>
          <w:tcPr>
            <w:tcW w:w="9320" w:type="dxa"/>
            <w:vAlign w:val="bottom"/>
            <w:gridSpan w:val="21"/>
            <w:vMerge w:val="continue"/>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60" w:type="dxa"/>
            <w:vAlign w:val="bottom"/>
            <w:gridSpan w:val="3"/>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32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Consolidated Financial Statements (Unaudited)</w:t>
            </w:r>
          </w:p>
        </w:tc>
        <w:tc>
          <w:tcPr>
            <w:tcW w:w="7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00" w:type="dxa"/>
            <w:vAlign w:val="bottom"/>
            <w:tcBorders>
              <w:top w:val="single" w:sz="8" w:color="0000FF"/>
              <w:bottom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w w:val="99"/>
              </w:rPr>
              <w:t>Consolidated Balance Sheets</w:t>
            </w:r>
          </w:p>
        </w:tc>
        <w:tc>
          <w:tcPr>
            <w:tcW w:w="20" w:type="dxa"/>
            <w:vAlign w:val="bottom"/>
            <w:tcBorders>
              <w:top w:val="single" w:sz="8" w:color="0000FF"/>
              <w:bottom w:val="single" w:sz="8" w:color="0000EE"/>
            </w:tcBorders>
          </w:tcPr>
          <w:p>
            <w:pPr>
              <w:spacing w:after="0"/>
              <w:rPr>
                <w:sz w:val="15"/>
                <w:szCs w:val="15"/>
                <w:color w:val="auto"/>
              </w:rPr>
            </w:pPr>
          </w:p>
        </w:tc>
        <w:tc>
          <w:tcPr>
            <w:tcW w:w="1300" w:type="dxa"/>
            <w:vAlign w:val="bottom"/>
            <w:tcBorders>
              <w:top w:val="single" w:sz="8" w:color="0000FF"/>
            </w:tcBorders>
            <w:gridSpan w:val="6"/>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7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20" w:type="dxa"/>
            <w:vAlign w:val="bottom"/>
            <w:gridSpan w:val="9"/>
          </w:tcPr>
          <w:p>
            <w:pPr>
              <w:spacing w:after="0" w:line="182" w:lineRule="exact"/>
              <w:rPr>
                <w:sz w:val="20"/>
                <w:szCs w:val="20"/>
                <w:color w:val="auto"/>
              </w:rPr>
            </w:pPr>
            <w:r>
              <w:rPr>
                <w:rFonts w:ascii="Times New Roman" w:cs="Times New Roman" w:eastAsia="Times New Roman" w:hAnsi="Times New Roman"/>
                <w:sz w:val="18"/>
                <w:szCs w:val="18"/>
                <w:color w:val="0000FF"/>
              </w:rPr>
              <w:t>Consolidated Statements of</w:t>
            </w:r>
          </w:p>
        </w:tc>
        <w:tc>
          <w:tcPr>
            <w:tcW w:w="7200" w:type="dxa"/>
            <w:vAlign w:val="bottom"/>
            <w:gridSpan w:val="12"/>
          </w:tcPr>
          <w:p>
            <w:pPr>
              <w:spacing w:after="0" w:line="182" w:lineRule="exact"/>
              <w:rPr>
                <w:sz w:val="20"/>
                <w:szCs w:val="20"/>
                <w:color w:val="auto"/>
              </w:rPr>
            </w:pPr>
            <w:r>
              <w:rPr>
                <w:rFonts w:ascii="Times New Roman" w:cs="Times New Roman" w:eastAsia="Times New Roman" w:hAnsi="Times New Roman"/>
                <w:sz w:val="18"/>
                <w:szCs w:val="18"/>
                <w:color w:val="0000FF"/>
              </w:rPr>
              <w:t>Operations and Comprehensive (Loss) Income</w:t>
            </w:r>
          </w:p>
        </w:tc>
        <w:tc>
          <w:tcPr>
            <w:tcW w:w="7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0" w:type="dxa"/>
            <w:vAlign w:val="bottom"/>
            <w:tcBorders>
              <w:top w:val="single" w:sz="8" w:color="0000FF"/>
            </w:tcBorders>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Consolidated Statements of Redeemable Convertible Preferred Stock and</w:t>
            </w:r>
          </w:p>
        </w:tc>
        <w:tc>
          <w:tcPr>
            <w:tcW w:w="392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000FF"/>
              </w:rPr>
              <w:t>Stockholders' Equity (Deficit)</w:t>
            </w:r>
          </w:p>
        </w:tc>
        <w:tc>
          <w:tcPr>
            <w:tcW w:w="7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80" w:type="dxa"/>
            <w:vAlign w:val="bottom"/>
            <w:tcBorders>
              <w:top w:val="single" w:sz="8" w:color="0000FF"/>
              <w:bottom w:val="single" w:sz="8" w:color="0000FF"/>
            </w:tcBorders>
            <w:gridSpan w:val="11"/>
          </w:tcPr>
          <w:p>
            <w:pPr>
              <w:spacing w:after="0" w:line="182" w:lineRule="exact"/>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20" w:type="dxa"/>
            <w:vAlign w:val="bottom"/>
            <w:tcBorders>
              <w:top w:val="single" w:sz="8" w:color="0000FF"/>
              <w:bottom w:val="single" w:sz="8" w:color="0000EE"/>
            </w:tcBorders>
          </w:tcPr>
          <w:p>
            <w:pPr>
              <w:spacing w:after="0"/>
              <w:rPr>
                <w:sz w:val="15"/>
                <w:szCs w:val="15"/>
                <w:color w:val="auto"/>
              </w:rPr>
            </w:pPr>
          </w:p>
        </w:tc>
        <w:tc>
          <w:tcPr>
            <w:tcW w:w="4600" w:type="dxa"/>
            <w:vAlign w:val="bottom"/>
            <w:tcBorders>
              <w:top w:val="single" w:sz="8" w:color="0000FF"/>
            </w:tcBorders>
            <w:gridSpan w:val="8"/>
          </w:tcPr>
          <w:p>
            <w:pPr>
              <w:spacing w:after="0"/>
              <w:rPr>
                <w:sz w:val="15"/>
                <w:szCs w:val="15"/>
                <w:color w:val="auto"/>
              </w:rPr>
            </w:pPr>
          </w:p>
        </w:tc>
        <w:tc>
          <w:tcPr>
            <w:tcW w:w="1820" w:type="dxa"/>
            <w:vAlign w:val="bottom"/>
          </w:tcPr>
          <w:p>
            <w:pPr>
              <w:spacing w:after="0"/>
              <w:rPr>
                <w:sz w:val="15"/>
                <w:szCs w:val="15"/>
                <w:color w:val="auto"/>
              </w:rPr>
            </w:pPr>
          </w:p>
        </w:tc>
        <w:tc>
          <w:tcPr>
            <w:tcW w:w="7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60" w:type="dxa"/>
            <w:vAlign w:val="bottom"/>
            <w:tcBorders>
              <w:bottom w:val="single" w:sz="8" w:color="0000FF"/>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20" w:type="dxa"/>
            <w:vAlign w:val="bottom"/>
            <w:tcBorders>
              <w:bottom w:val="single" w:sz="8" w:color="0000EE"/>
            </w:tcBorders>
          </w:tcPr>
          <w:p>
            <w:pPr>
              <w:spacing w:after="0"/>
              <w:rPr>
                <w:sz w:val="15"/>
                <w:szCs w:val="15"/>
                <w:color w:val="auto"/>
              </w:rPr>
            </w:pPr>
          </w:p>
        </w:tc>
        <w:tc>
          <w:tcPr>
            <w:tcW w:w="6140" w:type="dxa"/>
            <w:vAlign w:val="bottom"/>
            <w:gridSpan w:val="7"/>
          </w:tcPr>
          <w:p>
            <w:pPr>
              <w:spacing w:after="0"/>
              <w:rPr>
                <w:sz w:val="15"/>
                <w:szCs w:val="15"/>
                <w:color w:val="auto"/>
              </w:rPr>
            </w:pPr>
          </w:p>
        </w:tc>
        <w:tc>
          <w:tcPr>
            <w:tcW w:w="7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83"/>
        </w:trPr>
        <w:tc>
          <w:tcPr>
            <w:tcW w:w="1160" w:type="dxa"/>
            <w:vAlign w:val="bottom"/>
            <w:gridSpan w:val="3"/>
          </w:tcPr>
          <w:p>
            <w:pPr>
              <w:ind w:left="140"/>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3180" w:type="dxa"/>
            <w:vAlign w:val="bottom"/>
            <w:gridSpan w:val="14"/>
          </w:tcPr>
          <w:p>
            <w:pPr>
              <w:spacing w:after="0" w:line="182" w:lineRule="exact"/>
              <w:rPr>
                <w:sz w:val="20"/>
                <w:szCs w:val="20"/>
                <w:color w:val="auto"/>
              </w:rPr>
            </w:pPr>
            <w:r>
              <w:rPr>
                <w:rFonts w:ascii="Times New Roman" w:cs="Times New Roman" w:eastAsia="Times New Roman" w:hAnsi="Times New Roman"/>
                <w:sz w:val="18"/>
                <w:szCs w:val="18"/>
                <w:color w:val="0000FF"/>
              </w:rPr>
              <w:t>Management’s Discussion and Analysis of</w:t>
            </w:r>
          </w:p>
        </w:tc>
        <w:tc>
          <w:tcPr>
            <w:tcW w:w="6140" w:type="dxa"/>
            <w:vAlign w:val="bottom"/>
            <w:gridSpan w:val="7"/>
          </w:tcPr>
          <w:p>
            <w:pPr>
              <w:spacing w:after="0" w:line="182" w:lineRule="exact"/>
              <w:rPr>
                <w:sz w:val="20"/>
                <w:szCs w:val="20"/>
                <w:color w:val="auto"/>
              </w:rPr>
            </w:pPr>
            <w:r>
              <w:rPr>
                <w:rFonts w:ascii="Times New Roman" w:cs="Times New Roman" w:eastAsia="Times New Roman" w:hAnsi="Times New Roman"/>
                <w:sz w:val="18"/>
                <w:szCs w:val="18"/>
                <w:color w:val="0000FF"/>
              </w:rPr>
              <w:t>Financial Condition and Results of Operations</w:t>
            </w:r>
          </w:p>
        </w:tc>
        <w:tc>
          <w:tcPr>
            <w:tcW w:w="7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83"/>
        </w:trPr>
        <w:tc>
          <w:tcPr>
            <w:tcW w:w="1160" w:type="dxa"/>
            <w:vAlign w:val="bottom"/>
            <w:gridSpan w:val="3"/>
          </w:tcPr>
          <w:p>
            <w:pPr>
              <w:ind w:left="140"/>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6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gridSpan w:val="3"/>
          </w:tcPr>
          <w:p>
            <w:pPr>
              <w:ind w:left="140"/>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top w:val="single" w:sz="8" w:color="0000FF"/>
              <w:bottom w:val="single" w:sz="8" w:color="0000EE"/>
            </w:tcBorders>
          </w:tcPr>
          <w:p>
            <w:pPr>
              <w:spacing w:after="0"/>
              <w:rPr>
                <w:sz w:val="15"/>
                <w:szCs w:val="15"/>
                <w:color w:val="auto"/>
              </w:rPr>
            </w:pPr>
          </w:p>
        </w:tc>
        <w:tc>
          <w:tcPr>
            <w:tcW w:w="2580" w:type="dxa"/>
            <w:vAlign w:val="bottom"/>
            <w:tcBorders>
              <w:top w:val="single" w:sz="8" w:color="0000FF"/>
            </w:tcBorders>
            <w:gridSpan w:val="10"/>
          </w:tcPr>
          <w:p>
            <w:pPr>
              <w:spacing w:after="0"/>
              <w:rPr>
                <w:sz w:val="15"/>
                <w:szCs w:val="15"/>
                <w:color w:val="auto"/>
              </w:rPr>
            </w:pPr>
          </w:p>
        </w:tc>
        <w:tc>
          <w:tcPr>
            <w:tcW w:w="4940" w:type="dxa"/>
            <w:vAlign w:val="bottom"/>
            <w:gridSpan w:val="4"/>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4"/>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3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60" w:type="dxa"/>
            <w:vAlign w:val="bottom"/>
            <w:gridSpan w:val="3"/>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32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Legal Proceedings</w:t>
            </w:r>
          </w:p>
        </w:tc>
        <w:tc>
          <w:tcPr>
            <w:tcW w:w="7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83"/>
        </w:trPr>
        <w:tc>
          <w:tcPr>
            <w:tcW w:w="1160" w:type="dxa"/>
            <w:vAlign w:val="bottom"/>
            <w:gridSpan w:val="3"/>
          </w:tcPr>
          <w:p>
            <w:pPr>
              <w:ind w:left="140"/>
              <w:spacing w:after="0" w:line="182"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5"/>
                <w:szCs w:val="15"/>
                <w:color w:val="auto"/>
              </w:rPr>
            </w:pPr>
          </w:p>
        </w:tc>
        <w:tc>
          <w:tcPr>
            <w:tcW w:w="400" w:type="dxa"/>
            <w:vAlign w:val="bottom"/>
            <w:tcBorders>
              <w:top w:val="single" w:sz="8" w:color="0000FF"/>
            </w:tcBorders>
            <w:gridSpan w:val="2"/>
          </w:tcPr>
          <w:p>
            <w:pPr>
              <w:spacing w:after="0"/>
              <w:rPr>
                <w:sz w:val="15"/>
                <w:szCs w:val="15"/>
                <w:color w:val="auto"/>
              </w:rPr>
            </w:pPr>
          </w:p>
        </w:tc>
        <w:tc>
          <w:tcPr>
            <w:tcW w:w="1000" w:type="dxa"/>
            <w:vAlign w:val="bottom"/>
            <w:gridSpan w:val="5"/>
          </w:tcPr>
          <w:p>
            <w:pPr>
              <w:spacing w:after="0"/>
              <w:rPr>
                <w:sz w:val="15"/>
                <w:szCs w:val="15"/>
                <w:color w:val="auto"/>
              </w:rPr>
            </w:pPr>
          </w:p>
        </w:tc>
        <w:tc>
          <w:tcPr>
            <w:tcW w:w="2020" w:type="dxa"/>
            <w:vAlign w:val="bottom"/>
            <w:gridSpan w:val="6"/>
          </w:tcPr>
          <w:p>
            <w:pPr>
              <w:spacing w:after="0"/>
              <w:rPr>
                <w:sz w:val="15"/>
                <w:szCs w:val="15"/>
                <w:color w:val="auto"/>
              </w:rPr>
            </w:pPr>
          </w:p>
        </w:tc>
        <w:tc>
          <w:tcPr>
            <w:tcW w:w="4960" w:type="dxa"/>
            <w:vAlign w:val="bottom"/>
            <w:gridSpan w:val="5"/>
          </w:tcPr>
          <w:p>
            <w:pPr>
              <w:spacing w:after="0"/>
              <w:rPr>
                <w:sz w:val="15"/>
                <w:szCs w:val="15"/>
                <w:color w:val="auto"/>
              </w:rPr>
            </w:pPr>
          </w:p>
        </w:tc>
        <w:tc>
          <w:tcPr>
            <w:tcW w:w="7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83"/>
        </w:trPr>
        <w:tc>
          <w:tcPr>
            <w:tcW w:w="1160" w:type="dxa"/>
            <w:vAlign w:val="bottom"/>
            <w:gridSpan w:val="3"/>
          </w:tcPr>
          <w:p>
            <w:pPr>
              <w:ind w:left="140"/>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4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8"/>
              </w:rPr>
              <w:t>Unregistered</w:t>
            </w:r>
          </w:p>
        </w:tc>
        <w:tc>
          <w:tcPr>
            <w:tcW w:w="8380" w:type="dxa"/>
            <w:vAlign w:val="bottom"/>
            <w:gridSpan w:val="18"/>
          </w:tcPr>
          <w:p>
            <w:pPr>
              <w:ind w:left="40"/>
              <w:spacing w:after="0" w:line="182" w:lineRule="exact"/>
              <w:rPr>
                <w:sz w:val="20"/>
                <w:szCs w:val="20"/>
                <w:color w:val="auto"/>
              </w:rPr>
            </w:pPr>
            <w:r>
              <w:rPr>
                <w:rFonts w:ascii="Times New Roman" w:cs="Times New Roman" w:eastAsia="Times New Roman" w:hAnsi="Times New Roman"/>
                <w:sz w:val="18"/>
                <w:szCs w:val="18"/>
                <w:color w:val="0000FF"/>
              </w:rPr>
              <w:t>Sales of Equity Securities and Use of Proceeds</w:t>
            </w:r>
          </w:p>
        </w:tc>
        <w:tc>
          <w:tcPr>
            <w:tcW w:w="7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83"/>
        </w:trPr>
        <w:tc>
          <w:tcPr>
            <w:tcW w:w="1160" w:type="dxa"/>
            <w:vAlign w:val="bottom"/>
            <w:gridSpan w:val="3"/>
          </w:tcPr>
          <w:p>
            <w:pPr>
              <w:ind w:left="140"/>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tcBorders>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960" w:type="dxa"/>
            <w:vAlign w:val="bottom"/>
            <w:gridSpan w:val="5"/>
          </w:tcPr>
          <w:p>
            <w:pPr>
              <w:spacing w:after="0"/>
              <w:rPr>
                <w:sz w:val="15"/>
                <w:szCs w:val="15"/>
                <w:color w:val="auto"/>
              </w:rPr>
            </w:pPr>
          </w:p>
        </w:tc>
        <w:tc>
          <w:tcPr>
            <w:tcW w:w="7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83"/>
        </w:trPr>
        <w:tc>
          <w:tcPr>
            <w:tcW w:w="1160" w:type="dxa"/>
            <w:vAlign w:val="bottom"/>
            <w:gridSpan w:val="3"/>
          </w:tcPr>
          <w:p>
            <w:pPr>
              <w:ind w:left="140"/>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2340" w:type="dxa"/>
            <w:vAlign w:val="bottom"/>
            <w:tcBorders>
              <w:top w:val="single" w:sz="8" w:color="0000FF"/>
            </w:tcBorders>
            <w:gridSpan w:val="10"/>
          </w:tcPr>
          <w:p>
            <w:pPr>
              <w:spacing w:after="0" w:line="182" w:lineRule="exact"/>
              <w:rPr>
                <w:sz w:val="20"/>
                <w:szCs w:val="20"/>
                <w:color w:val="auto"/>
              </w:rPr>
            </w:pPr>
            <w:r>
              <w:rPr>
                <w:rFonts w:ascii="Times New Roman" w:cs="Times New Roman" w:eastAsia="Times New Roman" w:hAnsi="Times New Roman"/>
                <w:sz w:val="18"/>
                <w:szCs w:val="18"/>
                <w:color w:val="0000FF"/>
              </w:rPr>
              <w:t>Mine Safety Disclosures</w:t>
            </w:r>
          </w:p>
        </w:tc>
        <w:tc>
          <w:tcPr>
            <w:tcW w:w="6980" w:type="dxa"/>
            <w:vAlign w:val="bottom"/>
            <w:gridSpan w:val="11"/>
          </w:tcPr>
          <w:p>
            <w:pPr>
              <w:spacing w:after="0"/>
              <w:rPr>
                <w:sz w:val="15"/>
                <w:szCs w:val="15"/>
                <w:color w:val="auto"/>
              </w:rPr>
            </w:pPr>
          </w:p>
        </w:tc>
        <w:tc>
          <w:tcPr>
            <w:tcW w:w="7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83"/>
        </w:trPr>
        <w:tc>
          <w:tcPr>
            <w:tcW w:w="1160" w:type="dxa"/>
            <w:vAlign w:val="bottom"/>
            <w:gridSpan w:val="3"/>
          </w:tcPr>
          <w:p>
            <w:pPr>
              <w:ind w:left="140"/>
              <w:spacing w:after="0" w:line="182" w:lineRule="exact"/>
              <w:rPr>
                <w:sz w:val="20"/>
                <w:szCs w:val="20"/>
                <w:color w:val="auto"/>
              </w:rPr>
            </w:pPr>
            <w:r>
              <w:rPr>
                <w:rFonts w:ascii="Times New Roman" w:cs="Times New Roman" w:eastAsia="Times New Roman" w:hAnsi="Times New Roman"/>
                <w:sz w:val="18"/>
                <w:szCs w:val="18"/>
                <w:color w:val="auto"/>
              </w:rPr>
              <w:t>Item 5.</w:t>
            </w:r>
          </w:p>
        </w:tc>
        <w:tc>
          <w:tcPr>
            <w:tcW w:w="1780" w:type="dxa"/>
            <w:vAlign w:val="bottom"/>
            <w:tcBorders>
              <w:top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Other Information</w:t>
            </w:r>
          </w:p>
        </w:tc>
        <w:tc>
          <w:tcPr>
            <w:tcW w:w="7540" w:type="dxa"/>
            <w:vAlign w:val="bottom"/>
            <w:gridSpan w:val="15"/>
          </w:tcPr>
          <w:p>
            <w:pPr>
              <w:spacing w:after="0"/>
              <w:rPr>
                <w:sz w:val="15"/>
                <w:szCs w:val="15"/>
                <w:color w:val="auto"/>
              </w:rPr>
            </w:pPr>
          </w:p>
        </w:tc>
        <w:tc>
          <w:tcPr>
            <w:tcW w:w="7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83"/>
        </w:trPr>
        <w:tc>
          <w:tcPr>
            <w:tcW w:w="1160" w:type="dxa"/>
            <w:vAlign w:val="bottom"/>
            <w:gridSpan w:val="3"/>
          </w:tcPr>
          <w:p>
            <w:pPr>
              <w:ind w:left="140"/>
              <w:spacing w:after="0" w:line="182" w:lineRule="exact"/>
              <w:rPr>
                <w:sz w:val="20"/>
                <w:szCs w:val="20"/>
                <w:color w:val="auto"/>
              </w:rPr>
            </w:pPr>
            <w:r>
              <w:rPr>
                <w:rFonts w:ascii="Times New Roman" w:cs="Times New Roman" w:eastAsia="Times New Roman" w:hAnsi="Times New Roman"/>
                <w:sz w:val="18"/>
                <w:szCs w:val="18"/>
                <w:color w:val="auto"/>
              </w:rPr>
              <w:t>Item 15.</w:t>
            </w:r>
          </w:p>
        </w:tc>
        <w:tc>
          <w:tcPr>
            <w:tcW w:w="1320" w:type="dxa"/>
            <w:vAlign w:val="bottom"/>
            <w:tcBorders>
              <w:top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Exhibits</w:t>
            </w:r>
          </w:p>
        </w:tc>
        <w:tc>
          <w:tcPr>
            <w:tcW w:w="8000" w:type="dxa"/>
            <w:vAlign w:val="bottom"/>
            <w:gridSpan w:val="17"/>
          </w:tcPr>
          <w:p>
            <w:pPr>
              <w:spacing w:after="0"/>
              <w:rPr>
                <w:sz w:val="15"/>
                <w:szCs w:val="15"/>
                <w:color w:val="auto"/>
              </w:rPr>
            </w:pPr>
          </w:p>
        </w:tc>
        <w:tc>
          <w:tcPr>
            <w:tcW w:w="7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385"/>
        </w:trPr>
        <w:tc>
          <w:tcPr>
            <w:tcW w:w="11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588"/>
        </w:trPr>
        <w:tc>
          <w:tcPr>
            <w:tcW w:w="14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5400" w:type="dxa"/>
            <w:vAlign w:val="bottom"/>
            <w:gridSpan w:val="18"/>
          </w:tcPr>
          <w:p>
            <w:pPr>
              <w:ind w:left="4420"/>
              <w:spacing w:after="0"/>
              <w:rPr>
                <w:sz w:val="20"/>
                <w:szCs w:val="20"/>
                <w:color w:val="auto"/>
              </w:rPr>
            </w:pPr>
            <w:r>
              <w:rPr>
                <w:rFonts w:ascii="Times New Roman" w:cs="Times New Roman" w:eastAsia="Times New Roman" w:hAnsi="Times New Roman"/>
                <w:sz w:val="18"/>
                <w:szCs w:val="18"/>
                <w:color w:val="auto"/>
              </w:rPr>
              <w:t>1</w:t>
            </w: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2</w:t>
      </w:r>
    </w:p>
    <w:p>
      <w:pPr>
        <w:spacing w:after="0" w:line="10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Cytek Biosciences, Inc.</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87"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7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center"/>
              <w:ind w:right="2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06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27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69"/>
        </w:trPr>
        <w:tc>
          <w:tcPr>
            <w:tcW w:w="7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center"/>
              <w:ind w:right="292"/>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232"/>
              <w:spacing w:after="0"/>
              <w:rPr>
                <w:sz w:val="20"/>
                <w:szCs w:val="20"/>
                <w:color w:val="auto"/>
              </w:rPr>
            </w:pPr>
            <w:r>
              <w:rPr>
                <w:rFonts w:ascii="Times New Roman" w:cs="Times New Roman" w:eastAsia="Times New Roman" w:hAnsi="Times New Roman"/>
                <w:sz w:val="14"/>
                <w:szCs w:val="14"/>
                <w:b w:val="1"/>
                <w:bCs w:val="1"/>
                <w:i w:val="1"/>
                <w:iCs w:val="1"/>
                <w:color w:val="auto"/>
                <w:w w:val="99"/>
              </w:rPr>
              <w:t>(audited)</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349,894</w:t>
            </w:r>
          </w:p>
        </w:tc>
        <w:tc>
          <w:tcPr>
            <w:tcW w:w="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364,618</w:t>
            </w:r>
          </w:p>
        </w:tc>
        <w:tc>
          <w:tcPr>
            <w:tcW w:w="0" w:type="dxa"/>
            <w:vAlign w:val="bottom"/>
          </w:tcPr>
          <w:p>
            <w:pPr>
              <w:spacing w:after="0"/>
              <w:rPr>
                <w:sz w:val="1"/>
                <w:szCs w:val="1"/>
                <w:color w:val="auto"/>
              </w:rPr>
            </w:pPr>
          </w:p>
        </w:tc>
      </w:tr>
      <w:tr>
        <w:trPr>
          <w:trHeight w:val="216"/>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36,811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29,760</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45,345</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32,171</w:t>
            </w:r>
          </w:p>
        </w:tc>
        <w:tc>
          <w:tcPr>
            <w:tcW w:w="0" w:type="dxa"/>
            <w:vAlign w:val="bottom"/>
          </w:tcPr>
          <w:p>
            <w:pPr>
              <w:spacing w:after="0"/>
              <w:rPr>
                <w:sz w:val="1"/>
                <w:szCs w:val="1"/>
                <w:color w:val="auto"/>
              </w:rPr>
            </w:pPr>
          </w:p>
        </w:tc>
      </w:tr>
      <w:tr>
        <w:trPr>
          <w:trHeight w:val="216"/>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11,220</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5,184</w:t>
            </w:r>
          </w:p>
        </w:tc>
        <w:tc>
          <w:tcPr>
            <w:tcW w:w="0" w:type="dxa"/>
            <w:vAlign w:val="bottom"/>
          </w:tcPr>
          <w:p>
            <w:pPr>
              <w:spacing w:after="0"/>
              <w:rPr>
                <w:sz w:val="1"/>
                <w:szCs w:val="1"/>
                <w:color w:val="auto"/>
              </w:rPr>
            </w:pPr>
          </w:p>
        </w:tc>
      </w:tr>
      <w:tr>
        <w:trPr>
          <w:trHeight w:val="21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443,270</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431,733</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assets, noncurrent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11,689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9,173</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7,340</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5,851</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13,635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10,144</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10,144</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3,859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4,739</w:t>
            </w:r>
          </w:p>
        </w:tc>
        <w:tc>
          <w:tcPr>
            <w:tcW w:w="0" w:type="dxa"/>
            <w:vAlign w:val="bottom"/>
          </w:tcPr>
          <w:p>
            <w:pPr>
              <w:spacing w:after="0"/>
              <w:rPr>
                <w:sz w:val="1"/>
                <w:szCs w:val="1"/>
                <w:color w:val="auto"/>
              </w:rPr>
            </w:pPr>
          </w:p>
        </w:tc>
      </w:tr>
      <w:tr>
        <w:trPr>
          <w:trHeight w:val="216"/>
        </w:trPr>
        <w:tc>
          <w:tcPr>
            <w:tcW w:w="7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2,880</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1,665</w:t>
            </w:r>
          </w:p>
        </w:tc>
        <w:tc>
          <w:tcPr>
            <w:tcW w:w="0" w:type="dxa"/>
            <w:vAlign w:val="bottom"/>
          </w:tcPr>
          <w:p>
            <w:pPr>
              <w:spacing w:after="0"/>
              <w:rPr>
                <w:sz w:val="1"/>
                <w:szCs w:val="1"/>
                <w:color w:val="auto"/>
              </w:rPr>
            </w:pPr>
          </w:p>
        </w:tc>
      </w:tr>
      <w:tr>
        <w:trPr>
          <w:trHeight w:val="209"/>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492,817</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463,305</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equity</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Trade accounts payable</w:t>
            </w:r>
          </w:p>
        </w:tc>
        <w:tc>
          <w:tcPr>
            <w:tcW w:w="4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6,749</w:t>
            </w:r>
          </w:p>
        </w:tc>
        <w:tc>
          <w:tcPr>
            <w:tcW w:w="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3,034</w:t>
            </w:r>
          </w:p>
        </w:tc>
        <w:tc>
          <w:tcPr>
            <w:tcW w:w="0" w:type="dxa"/>
            <w:vAlign w:val="bottom"/>
          </w:tcPr>
          <w:p>
            <w:pPr>
              <w:spacing w:after="0"/>
              <w:rPr>
                <w:sz w:val="1"/>
                <w:szCs w:val="1"/>
                <w:color w:val="auto"/>
              </w:rPr>
            </w:pPr>
          </w:p>
        </w:tc>
      </w:tr>
      <w:tr>
        <w:trPr>
          <w:trHeight w:val="216"/>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settlement liability, current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2,139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1,463</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17,841</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15,251</w:t>
            </w:r>
          </w:p>
        </w:tc>
        <w:tc>
          <w:tcPr>
            <w:tcW w:w="0" w:type="dxa"/>
            <w:vAlign w:val="bottom"/>
          </w:tcPr>
          <w:p>
            <w:pPr>
              <w:spacing w:after="0"/>
              <w:rPr>
                <w:sz w:val="1"/>
                <w:szCs w:val="1"/>
                <w:color w:val="auto"/>
              </w:rPr>
            </w:pPr>
          </w:p>
        </w:tc>
      </w:tr>
      <w:tr>
        <w:trPr>
          <w:trHeight w:val="216"/>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5,630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6,352</w:t>
            </w:r>
          </w:p>
        </w:tc>
        <w:tc>
          <w:tcPr>
            <w:tcW w:w="0" w:type="dxa"/>
            <w:vAlign w:val="bottom"/>
          </w:tcPr>
          <w:p>
            <w:pPr>
              <w:spacing w:after="0"/>
              <w:rPr>
                <w:sz w:val="1"/>
                <w:szCs w:val="1"/>
                <w:color w:val="auto"/>
              </w:rPr>
            </w:pPr>
          </w:p>
        </w:tc>
      </w:tr>
      <w:tr>
        <w:trPr>
          <w:trHeight w:val="216"/>
        </w:trPr>
        <w:tc>
          <w:tcPr>
            <w:tcW w:w="7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9,991</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7,081</w:t>
            </w:r>
          </w:p>
        </w:tc>
        <w:tc>
          <w:tcPr>
            <w:tcW w:w="0" w:type="dxa"/>
            <w:vAlign w:val="bottom"/>
          </w:tcPr>
          <w:p>
            <w:pPr>
              <w:spacing w:after="0"/>
              <w:rPr>
                <w:sz w:val="1"/>
                <w:szCs w:val="1"/>
                <w:color w:val="auto"/>
              </w:rPr>
            </w:pPr>
          </w:p>
        </w:tc>
      </w:tr>
      <w:tr>
        <w:trPr>
          <w:trHeight w:val="21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42,350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33,181</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Legal settlement liability, noncurrent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14,649</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13,745</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11,020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9,790</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12,316</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1,353</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210"/>
        </w:trPr>
        <w:tc>
          <w:tcPr>
            <w:tcW w:w="7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81,688</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57,920</w:t>
            </w:r>
          </w:p>
        </w:tc>
        <w:tc>
          <w:tcPr>
            <w:tcW w:w="0" w:type="dxa"/>
            <w:vAlign w:val="bottom"/>
          </w:tcPr>
          <w:p>
            <w:pPr>
              <w:spacing w:after="0"/>
              <w:rPr>
                <w:sz w:val="1"/>
                <w:szCs w:val="1"/>
                <w:color w:val="auto"/>
              </w:rPr>
            </w:pPr>
          </w:p>
        </w:tc>
      </w:tr>
      <w:tr>
        <w:trPr>
          <w:trHeight w:val="21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7060" w:type="dxa"/>
            <w:vAlign w:val="bottom"/>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Redeemable convertible preferred stock, $0.001 par value; 10,000,000 shares authorized,</w:t>
            </w: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0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zero issued and outstanding as of June 30, 2022 and December 31, 2021; aggregate liquidation</w:t>
            </w: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preference of zero as of June 30, 2022 and December 31, 2021.</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7060" w:type="dxa"/>
            <w:vAlign w:val="bottom"/>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Common stock, $0.001 par value; 1,000,000,000 authorized shares as of June 30, 2022 and</w:t>
            </w: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0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December 31, 2021, respectively; 134,601,671 and 133,749,663 issued and outstanding shares as</w:t>
            </w: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 June 30, 2022 and December 31, 2021, respectively.</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432,889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423,625</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(22,225 )</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(19,606 )</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897</w:t>
            </w:r>
          </w:p>
        </w:tc>
        <w:tc>
          <w:tcPr>
            <w:tcW w:w="0" w:type="dxa"/>
            <w:vAlign w:val="bottom"/>
          </w:tcPr>
          <w:p>
            <w:pPr>
              <w:spacing w:after="0"/>
              <w:rPr>
                <w:sz w:val="1"/>
                <w:szCs w:val="1"/>
                <w:color w:val="auto"/>
              </w:rPr>
            </w:pPr>
          </w:p>
        </w:tc>
      </w:tr>
      <w:tr>
        <w:trPr>
          <w:trHeight w:val="216"/>
        </w:trPr>
        <w:tc>
          <w:tcPr>
            <w:tcW w:w="7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 in consolidated subsidiary</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10"/>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411,129</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405,385</w:t>
            </w:r>
          </w:p>
        </w:tc>
        <w:tc>
          <w:tcPr>
            <w:tcW w:w="0" w:type="dxa"/>
            <w:vAlign w:val="bottom"/>
          </w:tcPr>
          <w:p>
            <w:pPr>
              <w:spacing w:after="0"/>
              <w:rPr>
                <w:sz w:val="1"/>
                <w:szCs w:val="1"/>
                <w:color w:val="auto"/>
              </w:rPr>
            </w:pPr>
          </w:p>
        </w:tc>
      </w:tr>
      <w:tr>
        <w:trPr>
          <w:trHeight w:val="249"/>
        </w:trPr>
        <w:tc>
          <w:tcPr>
            <w:tcW w:w="70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equity</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492,817</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463,305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-3874135</wp:posOffset>
            </wp:positionV>
            <wp:extent cx="120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-2742565</wp:posOffset>
            </wp:positionV>
            <wp:extent cx="1200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-1902460</wp:posOffset>
            </wp:positionV>
            <wp:extent cx="1200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-316230</wp:posOffset>
            </wp:positionV>
            <wp:extent cx="120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1200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1200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8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interim consolidated financial statements</w:t>
      </w:r>
    </w:p>
    <w:p>
      <w:pPr>
        <w:spacing w:after="0" w:line="14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3</w:t>
      </w:r>
    </w:p>
    <w:p>
      <w:pPr>
        <w:spacing w:after="0" w:line="1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Cytek Biosciences, Inc.</w:t>
      </w:r>
    </w:p>
    <w:p>
      <w:pPr>
        <w:spacing w:after="0" w:line="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 Income</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40" w:type="dxa"/>
            <w:vAlign w:val="bottom"/>
            <w:gridSpan w:val="4"/>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4"/>
          </w:tcPr>
          <w:p>
            <w:pPr>
              <w:jc w:val="right"/>
              <w:ind w:right="671"/>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164"/>
        </w:trPr>
        <w:tc>
          <w:tcPr>
            <w:tcW w:w="5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331"/>
              <w:spacing w:after="0" w:line="165"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331"/>
              <w:spacing w:after="0" w:line="165"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291"/>
              <w:spacing w:after="0" w:line="165"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311"/>
              <w:spacing w:after="0" w:line="165" w:lineRule="exact"/>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6"/>
        </w:trPr>
        <w:tc>
          <w:tcPr>
            <w:tcW w:w="5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9"/>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net:</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37,093</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28,676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68,574</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51,376</w:t>
            </w:r>
          </w:p>
        </w:tc>
        <w:tc>
          <w:tcPr>
            <w:tcW w:w="0" w:type="dxa"/>
            <w:vAlign w:val="bottom"/>
          </w:tcPr>
          <w:p>
            <w:pPr>
              <w:spacing w:after="0"/>
              <w:rPr>
                <w:sz w:val="1"/>
                <w:szCs w:val="1"/>
                <w:color w:val="auto"/>
              </w:rPr>
            </w:pPr>
          </w:p>
        </w:tc>
      </w:tr>
      <w:tr>
        <w:trPr>
          <w:trHeight w:val="216"/>
        </w:trPr>
        <w:tc>
          <w:tcPr>
            <w:tcW w:w="5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Service</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3,066</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6,649</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3,304</w:t>
            </w:r>
          </w:p>
        </w:tc>
        <w:tc>
          <w:tcPr>
            <w:tcW w:w="0" w:type="dxa"/>
            <w:vAlign w:val="bottom"/>
          </w:tcPr>
          <w:p>
            <w:pPr>
              <w:spacing w:after="0"/>
              <w:rPr>
                <w:sz w:val="1"/>
                <w:szCs w:val="1"/>
                <w:color w:val="auto"/>
              </w:rPr>
            </w:pPr>
          </w:p>
        </w:tc>
      </w:tr>
      <w:tr>
        <w:trPr>
          <w:trHeight w:val="209"/>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 net</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40,159</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30,408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75,223</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54,680</w:t>
            </w:r>
          </w:p>
        </w:tc>
        <w:tc>
          <w:tcPr>
            <w:tcW w:w="0" w:type="dxa"/>
            <w:vAlign w:val="bottom"/>
          </w:tcPr>
          <w:p>
            <w:pPr>
              <w:spacing w:after="0"/>
              <w:rPr>
                <w:sz w:val="1"/>
                <w:szCs w:val="1"/>
                <w:color w:val="auto"/>
              </w:rPr>
            </w:pPr>
          </w:p>
        </w:tc>
      </w:tr>
      <w:tr>
        <w:trPr>
          <w:trHeight w:val="210"/>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11,780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23,547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15,240</w:t>
            </w:r>
          </w:p>
        </w:tc>
        <w:tc>
          <w:tcPr>
            <w:tcW w:w="0" w:type="dxa"/>
            <w:vAlign w:val="bottom"/>
          </w:tcPr>
          <w:p>
            <w:pPr>
              <w:spacing w:after="0"/>
              <w:rPr>
                <w:sz w:val="1"/>
                <w:szCs w:val="1"/>
                <w:color w:val="auto"/>
              </w:rPr>
            </w:pPr>
          </w:p>
        </w:tc>
      </w:tr>
      <w:tr>
        <w:trPr>
          <w:trHeight w:val="216"/>
        </w:trPr>
        <w:tc>
          <w:tcPr>
            <w:tcW w:w="5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Service</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3,818</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2,731</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6,938</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5,209</w:t>
            </w:r>
          </w:p>
        </w:tc>
        <w:tc>
          <w:tcPr>
            <w:tcW w:w="0" w:type="dxa"/>
            <w:vAlign w:val="bottom"/>
          </w:tcPr>
          <w:p>
            <w:pPr>
              <w:spacing w:after="0"/>
              <w:rPr>
                <w:sz w:val="1"/>
                <w:szCs w:val="1"/>
                <w:color w:val="auto"/>
              </w:rPr>
            </w:pPr>
          </w:p>
        </w:tc>
      </w:tr>
      <w:tr>
        <w:trPr>
          <w:trHeight w:val="209"/>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cost of sales</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15,598</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10,663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30,485</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20,449</w:t>
            </w:r>
          </w:p>
        </w:tc>
        <w:tc>
          <w:tcPr>
            <w:tcW w:w="0" w:type="dxa"/>
            <w:vAlign w:val="bottom"/>
          </w:tcPr>
          <w:p>
            <w:pPr>
              <w:spacing w:after="0"/>
              <w:rPr>
                <w:sz w:val="1"/>
                <w:szCs w:val="1"/>
                <w:color w:val="auto"/>
              </w:rPr>
            </w:pPr>
          </w:p>
        </w:tc>
      </w:tr>
      <w:tr>
        <w:trPr>
          <w:trHeight w:val="210"/>
        </w:trPr>
        <w:tc>
          <w:tcPr>
            <w:tcW w:w="5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24,561</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19,745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44,738</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34,231</w:t>
            </w:r>
          </w:p>
        </w:tc>
        <w:tc>
          <w:tcPr>
            <w:tcW w:w="0" w:type="dxa"/>
            <w:vAlign w:val="bottom"/>
          </w:tcPr>
          <w:p>
            <w:pPr>
              <w:spacing w:after="0"/>
              <w:rPr>
                <w:sz w:val="1"/>
                <w:szCs w:val="1"/>
                <w:color w:val="auto"/>
              </w:rPr>
            </w:pPr>
          </w:p>
        </w:tc>
      </w:tr>
      <w:tr>
        <w:trPr>
          <w:trHeight w:val="216"/>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8,436</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6,194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16,461</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11,288</w:t>
            </w:r>
          </w:p>
        </w:tc>
        <w:tc>
          <w:tcPr>
            <w:tcW w:w="0" w:type="dxa"/>
            <w:vAlign w:val="bottom"/>
          </w:tcPr>
          <w:p>
            <w:pPr>
              <w:spacing w:after="0"/>
              <w:rPr>
                <w:sz w:val="1"/>
                <w:szCs w:val="1"/>
                <w:color w:val="auto"/>
              </w:rPr>
            </w:pPr>
          </w:p>
        </w:tc>
      </w:tr>
      <w:tr>
        <w:trPr>
          <w:trHeight w:val="216"/>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8,431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15,391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9,853</w:t>
            </w:r>
          </w:p>
        </w:tc>
        <w:tc>
          <w:tcPr>
            <w:tcW w:w="0" w:type="dxa"/>
            <w:vAlign w:val="bottom"/>
          </w:tcPr>
          <w:p>
            <w:pPr>
              <w:spacing w:after="0"/>
              <w:rPr>
                <w:sz w:val="1"/>
                <w:szCs w:val="1"/>
                <w:color w:val="auto"/>
              </w:rPr>
            </w:pPr>
          </w:p>
        </w:tc>
      </w:tr>
      <w:tr>
        <w:trPr>
          <w:trHeight w:val="216"/>
        </w:trPr>
        <w:tc>
          <w:tcPr>
            <w:tcW w:w="5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8,585</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4,164</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16,134</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8,147</w:t>
            </w:r>
          </w:p>
        </w:tc>
        <w:tc>
          <w:tcPr>
            <w:tcW w:w="0" w:type="dxa"/>
            <w:vAlign w:val="bottom"/>
          </w:tcPr>
          <w:p>
            <w:pPr>
              <w:spacing w:after="0"/>
              <w:rPr>
                <w:sz w:val="1"/>
                <w:szCs w:val="1"/>
                <w:color w:val="auto"/>
              </w:rPr>
            </w:pPr>
          </w:p>
        </w:tc>
      </w:tr>
      <w:tr>
        <w:trPr>
          <w:trHeight w:val="210"/>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25,452</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15,934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47,986</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29,288</w:t>
            </w:r>
          </w:p>
        </w:tc>
        <w:tc>
          <w:tcPr>
            <w:tcW w:w="0" w:type="dxa"/>
            <w:vAlign w:val="bottom"/>
          </w:tcPr>
          <w:p>
            <w:pPr>
              <w:spacing w:after="0"/>
              <w:rPr>
                <w:sz w:val="1"/>
                <w:szCs w:val="1"/>
                <w:color w:val="auto"/>
              </w:rPr>
            </w:pPr>
          </w:p>
        </w:tc>
      </w:tr>
      <w:tr>
        <w:trPr>
          <w:trHeight w:val="209"/>
        </w:trPr>
        <w:tc>
          <w:tcPr>
            <w:tcW w:w="5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(891 )</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3,811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(3,248 )</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4,943</w:t>
            </w:r>
          </w:p>
        </w:tc>
        <w:tc>
          <w:tcPr>
            <w:tcW w:w="0" w:type="dxa"/>
            <w:vAlign w:val="bottom"/>
          </w:tcPr>
          <w:p>
            <w:pPr>
              <w:spacing w:after="0"/>
              <w:rPr>
                <w:sz w:val="1"/>
                <w:szCs w:val="1"/>
                <w:color w:val="auto"/>
              </w:rPr>
            </w:pPr>
          </w:p>
        </w:tc>
      </w:tr>
      <w:tr>
        <w:trPr>
          <w:trHeight w:val="216"/>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(647 )</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(433 )</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(1,237 )</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(808 )</w:t>
            </w:r>
          </w:p>
        </w:tc>
        <w:tc>
          <w:tcPr>
            <w:tcW w:w="0" w:type="dxa"/>
            <w:vAlign w:val="bottom"/>
          </w:tcPr>
          <w:p>
            <w:pPr>
              <w:spacing w:after="0"/>
              <w:rPr>
                <w:sz w:val="1"/>
                <w:szCs w:val="1"/>
                <w:color w:val="auto"/>
              </w:rPr>
            </w:pPr>
          </w:p>
        </w:tc>
      </w:tr>
      <w:tr>
        <w:trPr>
          <w:trHeight w:val="216"/>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391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5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(628 )</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(735 )</w:t>
            </w:r>
          </w:p>
        </w:tc>
        <w:tc>
          <w:tcPr>
            <w:tcW w:w="0" w:type="dxa"/>
            <w:vAlign w:val="bottom"/>
          </w:tcPr>
          <w:p>
            <w:pPr>
              <w:spacing w:after="0"/>
              <w:rPr>
                <w:sz w:val="1"/>
                <w:szCs w:val="1"/>
                <w:color w:val="auto"/>
              </w:rPr>
            </w:pPr>
          </w:p>
        </w:tc>
      </w:tr>
      <w:tr>
        <w:trPr>
          <w:trHeight w:val="20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(510 )</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(544 )</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(1,456 )</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(1,524 )</w:t>
            </w:r>
          </w:p>
        </w:tc>
        <w:tc>
          <w:tcPr>
            <w:tcW w:w="0" w:type="dxa"/>
            <w:vAlign w:val="bottom"/>
          </w:tcPr>
          <w:p>
            <w:pPr>
              <w:spacing w:after="0"/>
              <w:rPr>
                <w:sz w:val="1"/>
                <w:szCs w:val="1"/>
                <w:color w:val="auto"/>
              </w:rPr>
            </w:pPr>
          </w:p>
        </w:tc>
      </w:tr>
      <w:tr>
        <w:trPr>
          <w:trHeight w:val="210"/>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(1,401 )</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3,267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(4,704 )</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3,419</w:t>
            </w:r>
          </w:p>
        </w:tc>
        <w:tc>
          <w:tcPr>
            <w:tcW w:w="0" w:type="dxa"/>
            <w:vAlign w:val="bottom"/>
          </w:tcPr>
          <w:p>
            <w:pPr>
              <w:spacing w:after="0"/>
              <w:rPr>
                <w:sz w:val="1"/>
                <w:szCs w:val="1"/>
                <w:color w:val="auto"/>
              </w:rPr>
            </w:pPr>
          </w:p>
        </w:tc>
      </w:tr>
      <w:tr>
        <w:trPr>
          <w:trHeight w:val="216"/>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(699 )</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(1,844 )</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49"/>
        </w:trPr>
        <w:tc>
          <w:tcPr>
            <w:tcW w:w="5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 income</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(702 )</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2,670</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(2,860 )</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2,772</w:t>
            </w:r>
          </w:p>
        </w:tc>
        <w:tc>
          <w:tcPr>
            <w:tcW w:w="0" w:type="dxa"/>
            <w:vAlign w:val="bottom"/>
          </w:tcPr>
          <w:p>
            <w:pPr>
              <w:spacing w:after="0"/>
              <w:rPr>
                <w:sz w:val="1"/>
                <w:szCs w:val="1"/>
                <w:color w:val="auto"/>
              </w:rPr>
            </w:pPr>
          </w:p>
        </w:tc>
      </w:tr>
      <w:tr>
        <w:trPr>
          <w:trHeight w:val="197"/>
        </w:trPr>
        <w:tc>
          <w:tcPr>
            <w:tcW w:w="56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Less: net loss allocated to noncontrolling interests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51"/>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net income allocated to participating securities</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(2,670 )</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(2,772 )</w:t>
            </w:r>
          </w:p>
        </w:tc>
        <w:tc>
          <w:tcPr>
            <w:tcW w:w="0" w:type="dxa"/>
            <w:vAlign w:val="bottom"/>
          </w:tcPr>
          <w:p>
            <w:pPr>
              <w:spacing w:after="0"/>
              <w:rPr>
                <w:sz w:val="1"/>
                <w:szCs w:val="1"/>
                <w:color w:val="auto"/>
              </w:rPr>
            </w:pPr>
          </w:p>
        </w:tc>
      </w:tr>
      <w:tr>
        <w:trPr>
          <w:trHeight w:val="21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common stockholders, basic and diluted</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(598 )</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(2,619 )</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6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income attributable to common stockholders per share, basic</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(0.00 )</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(0.02 )</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56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income attributable to common stockholders per share, diluted</w:t>
            </w:r>
          </w:p>
        </w:tc>
        <w:tc>
          <w:tcPr>
            <w:tcW w:w="3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(0.00 )</w:t>
            </w:r>
          </w:p>
        </w:tc>
        <w:tc>
          <w:tcPr>
            <w:tcW w:w="340" w:type="dxa"/>
            <w:vAlign w:val="bottom"/>
            <w:gridSpan w:val="2"/>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(0.02 )</w:t>
            </w:r>
          </w:p>
        </w:tc>
        <w:tc>
          <w:tcPr>
            <w:tcW w:w="340" w:type="dxa"/>
            <w:vAlign w:val="bottom"/>
            <w:gridSpan w:val="2"/>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660" w:type="dxa"/>
            <w:vAlign w:val="bottom"/>
            <w:shd w:val="clear" w:color="auto" w:fill="CFF0FC"/>
          </w:tcPr>
          <w:p>
            <w:pPr>
              <w:ind w:left="20"/>
              <w:spacing w:after="0" w:line="151" w:lineRule="exact"/>
              <w:rPr>
                <w:sz w:val="20"/>
                <w:szCs w:val="20"/>
                <w:color w:val="auto"/>
              </w:rPr>
            </w:pPr>
            <w:r>
              <w:rPr>
                <w:rFonts w:ascii="Times New Roman" w:cs="Times New Roman" w:eastAsia="Times New Roman" w:hAnsi="Times New Roman"/>
                <w:sz w:val="17"/>
                <w:szCs w:val="17"/>
                <w:color w:val="auto"/>
              </w:rPr>
              <w:t>Weighted-average shares used in calculating net (loss) income per share,</w:t>
            </w: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20" w:type="dxa"/>
            <w:vAlign w:val="bottom"/>
            <w:vMerge w:val="restart"/>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134,403,059</w:t>
            </w: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8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31,878,762</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6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134,154,171</w:t>
            </w: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6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31,719,005</w:t>
            </w:r>
          </w:p>
        </w:tc>
        <w:tc>
          <w:tcPr>
            <w:tcW w:w="0" w:type="dxa"/>
            <w:vAlign w:val="bottom"/>
          </w:tcPr>
          <w:p>
            <w:pPr>
              <w:spacing w:after="0"/>
              <w:rPr>
                <w:sz w:val="1"/>
                <w:szCs w:val="1"/>
                <w:color w:val="auto"/>
              </w:rPr>
            </w:pPr>
          </w:p>
        </w:tc>
      </w:tr>
      <w:tr>
        <w:trPr>
          <w:trHeight w:val="234"/>
        </w:trPr>
        <w:tc>
          <w:tcPr>
            <w:tcW w:w="5660" w:type="dxa"/>
            <w:vAlign w:val="bottom"/>
            <w:tcBorders>
              <w:bottom w:val="single" w:sz="8" w:color="CFF0FC"/>
            </w:tcBorders>
            <w:shd w:val="clear" w:color="auto" w:fill="CFF0FC"/>
          </w:tcPr>
          <w:p>
            <w:pPr>
              <w:ind w:left="20"/>
              <w:spacing w:after="0" w:line="194" w:lineRule="exact"/>
              <w:rPr>
                <w:sz w:val="20"/>
                <w:szCs w:val="20"/>
                <w:color w:val="auto"/>
              </w:rPr>
            </w:pPr>
            <w:r>
              <w:rPr>
                <w:rFonts w:ascii="Times New Roman" w:cs="Times New Roman" w:eastAsia="Times New Roman" w:hAnsi="Times New Roman"/>
                <w:sz w:val="18"/>
                <w:szCs w:val="18"/>
                <w:color w:val="auto"/>
              </w:rPr>
              <w:t>basic</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5660" w:type="dxa"/>
            <w:vAlign w:val="bottom"/>
          </w:tcPr>
          <w:p>
            <w:pPr>
              <w:ind w:left="20"/>
              <w:spacing w:after="0" w:line="151" w:lineRule="exact"/>
              <w:rPr>
                <w:sz w:val="20"/>
                <w:szCs w:val="20"/>
                <w:color w:val="auto"/>
              </w:rPr>
            </w:pPr>
            <w:r>
              <w:rPr>
                <w:rFonts w:ascii="Times New Roman" w:cs="Times New Roman" w:eastAsia="Times New Roman" w:hAnsi="Times New Roman"/>
                <w:sz w:val="17"/>
                <w:szCs w:val="17"/>
                <w:color w:val="auto"/>
              </w:rPr>
              <w:t>Weighted-average shares used in calculating net (loss) income per share,</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rPr>
              <w:t>134,403,059</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36,173,036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134,154,171</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35,908,554</w:t>
            </w:r>
          </w:p>
        </w:tc>
        <w:tc>
          <w:tcPr>
            <w:tcW w:w="0" w:type="dxa"/>
            <w:vAlign w:val="bottom"/>
          </w:tcPr>
          <w:p>
            <w:pPr>
              <w:spacing w:after="0"/>
              <w:rPr>
                <w:sz w:val="1"/>
                <w:szCs w:val="1"/>
                <w:color w:val="auto"/>
              </w:rPr>
            </w:pPr>
          </w:p>
        </w:tc>
      </w:tr>
      <w:tr>
        <w:trPr>
          <w:trHeight w:val="194"/>
        </w:trPr>
        <w:tc>
          <w:tcPr>
            <w:tcW w:w="56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Comprehensive (loss) income:</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(702 )</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2,670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(2,860 )</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2,772</w:t>
            </w:r>
          </w:p>
        </w:tc>
        <w:tc>
          <w:tcPr>
            <w:tcW w:w="0" w:type="dxa"/>
            <w:vAlign w:val="bottom"/>
          </w:tcPr>
          <w:p>
            <w:pPr>
              <w:spacing w:after="0"/>
              <w:rPr>
                <w:sz w:val="1"/>
                <w:szCs w:val="1"/>
                <w:color w:val="auto"/>
              </w:rPr>
            </w:pPr>
          </w:p>
        </w:tc>
      </w:tr>
      <w:tr>
        <w:trPr>
          <w:trHeight w:val="216"/>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(683 )</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(669 )</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10"/>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comprehensive (loss) income</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(1,385 )</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2,939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(3,529 )</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3,243</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-4714240</wp:posOffset>
            </wp:positionV>
            <wp:extent cx="857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-4714240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-4714240</wp:posOffset>
            </wp:positionV>
            <wp:extent cx="857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-4148455</wp:posOffset>
            </wp:positionV>
            <wp:extent cx="857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-4148455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-4148455</wp:posOffset>
            </wp:positionV>
            <wp:extent cx="857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-3308350</wp:posOffset>
            </wp:positionV>
            <wp:extent cx="857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-3308350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-3308350</wp:posOffset>
            </wp:positionV>
            <wp:extent cx="857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-2468245</wp:posOffset>
            </wp:positionV>
            <wp:extent cx="857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-2468245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-2468245</wp:posOffset>
            </wp:positionV>
            <wp:extent cx="85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-1893570</wp:posOffset>
            </wp:positionV>
            <wp:extent cx="857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-1876425</wp:posOffset>
            </wp:positionV>
            <wp:extent cx="857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-1893570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-1876425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-1893570</wp:posOffset>
            </wp:positionV>
            <wp:extent cx="857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-1876425</wp:posOffset>
            </wp:positionV>
            <wp:extent cx="857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-1593850</wp:posOffset>
            </wp:positionV>
            <wp:extent cx="857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-1593850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-1593850</wp:posOffset>
            </wp:positionV>
            <wp:extent cx="857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-1285240</wp:posOffset>
            </wp:positionV>
            <wp:extent cx="857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-1268095</wp:posOffset>
            </wp:positionV>
            <wp:extent cx="857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-1285240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-1268095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-1285240</wp:posOffset>
            </wp:positionV>
            <wp:extent cx="857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-1268095</wp:posOffset>
            </wp:positionV>
            <wp:extent cx="857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-864870</wp:posOffset>
            </wp:positionV>
            <wp:extent cx="857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-847725</wp:posOffset>
            </wp:positionV>
            <wp:extent cx="857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-864870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-847725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-864870</wp:posOffset>
            </wp:positionV>
            <wp:extent cx="857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-847725</wp:posOffset>
            </wp:positionV>
            <wp:extent cx="857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-170815</wp:posOffset>
            </wp:positionV>
            <wp:extent cx="857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-170815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-170815</wp:posOffset>
            </wp:positionV>
            <wp:extent cx="857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interim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4</w:t>
      </w:r>
    </w:p>
    <w:p>
      <w:pPr>
        <w:spacing w:after="0" w:line="2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b w:val="1"/>
          <w:bCs w:val="1"/>
          <w:color w:val="auto"/>
        </w:rPr>
        <w:t>Cytek Biosciences, Inc</w:t>
      </w:r>
    </w:p>
    <w:p>
      <w:pPr>
        <w:spacing w:after="0" w:line="1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Consolidated Statements of Redeemable Convertible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 and Stockholders’ Equity (Deficit)</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620" w:type="dxa"/>
            <w:vAlign w:val="bottom"/>
          </w:tcPr>
          <w:p>
            <w:pPr>
              <w:spacing w:after="0" w:line="20" w:lineRule="exact"/>
              <w:rPr>
                <w:sz w:val="1"/>
                <w:szCs w:val="1"/>
                <w:color w:val="auto"/>
              </w:rPr>
            </w:pPr>
          </w:p>
        </w:tc>
        <w:tc>
          <w:tcPr>
            <w:tcW w:w="1840" w:type="dxa"/>
            <w:vAlign w:val="bottom"/>
            <w:gridSpan w:val="4"/>
            <w:vMerge w:val="restart"/>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Redeemable convertible</w:t>
            </w: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Accumulated other</w:t>
            </w:r>
          </w:p>
        </w:tc>
        <w:tc>
          <w:tcPr>
            <w:tcW w:w="160" w:type="dxa"/>
            <w:vAlign w:val="bottom"/>
          </w:tcPr>
          <w:p>
            <w:pPr>
              <w:spacing w:after="0" w:line="20" w:lineRule="exact"/>
              <w:rPr>
                <w:sz w:val="1"/>
                <w:szCs w:val="1"/>
                <w:color w:val="auto"/>
              </w:rPr>
            </w:pPr>
          </w:p>
        </w:tc>
        <w:tc>
          <w:tcPr>
            <w:tcW w:w="1540" w:type="dxa"/>
            <w:vAlign w:val="bottom"/>
            <w:vMerge w:val="restart"/>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60" w:type="dxa"/>
            <w:vAlign w:val="bottom"/>
          </w:tcPr>
          <w:p>
            <w:pPr>
              <w:spacing w:after="0" w:line="20" w:lineRule="exact"/>
              <w:rPr>
                <w:sz w:val="1"/>
                <w:szCs w:val="1"/>
                <w:color w:val="auto"/>
              </w:rPr>
            </w:pPr>
          </w:p>
        </w:tc>
        <w:tc>
          <w:tcPr>
            <w:tcW w:w="940" w:type="dxa"/>
            <w:vAlign w:val="bottom"/>
            <w:vMerge w:val="restart"/>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line="20" w:lineRule="exact"/>
              <w:rPr>
                <w:sz w:val="1"/>
                <w:szCs w:val="1"/>
                <w:color w:val="auto"/>
              </w:rPr>
            </w:pPr>
          </w:p>
        </w:tc>
      </w:tr>
      <w:tr>
        <w:trPr>
          <w:trHeight w:val="162"/>
        </w:trPr>
        <w:tc>
          <w:tcPr>
            <w:tcW w:w="1620" w:type="dxa"/>
            <w:vAlign w:val="bottom"/>
          </w:tcPr>
          <w:p>
            <w:pPr>
              <w:spacing w:after="0"/>
              <w:rPr>
                <w:sz w:val="14"/>
                <w:szCs w:val="14"/>
                <w:color w:val="auto"/>
              </w:rPr>
            </w:pPr>
          </w:p>
        </w:tc>
        <w:tc>
          <w:tcPr>
            <w:tcW w:w="1840" w:type="dxa"/>
            <w:vAlign w:val="bottom"/>
            <w:gridSpan w:val="4"/>
            <w:vMerge w:val="continue"/>
          </w:tcPr>
          <w:p>
            <w:pPr>
              <w:spacing w:after="0"/>
              <w:rPr>
                <w:sz w:val="14"/>
                <w:szCs w:val="14"/>
                <w:color w:val="auto"/>
              </w:rPr>
            </w:pPr>
          </w:p>
        </w:tc>
        <w:tc>
          <w:tcPr>
            <w:tcW w:w="900" w:type="dxa"/>
            <w:vAlign w:val="bottom"/>
            <w:tcBorders>
              <w:lef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62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(In thousands, except share</w:t>
            </w:r>
          </w:p>
        </w:tc>
        <w:tc>
          <w:tcPr>
            <w:tcW w:w="1840" w:type="dxa"/>
            <w:vAlign w:val="bottom"/>
            <w:gridSpan w:val="4"/>
          </w:tcPr>
          <w:p>
            <w:pPr>
              <w:ind w:left="400"/>
              <w:spacing w:after="0" w:line="146" w:lineRule="exact"/>
              <w:rPr>
                <w:sz w:val="20"/>
                <w:szCs w:val="20"/>
                <w:color w:val="auto"/>
              </w:rPr>
            </w:pPr>
            <w:r>
              <w:rPr>
                <w:rFonts w:ascii="Times New Roman" w:cs="Times New Roman" w:eastAsia="Times New Roman" w:hAnsi="Times New Roman"/>
                <w:sz w:val="13"/>
                <w:szCs w:val="13"/>
                <w:b w:val="1"/>
                <w:bCs w:val="1"/>
                <w:color w:val="auto"/>
              </w:rPr>
              <w:t>preferred stock</w:t>
            </w:r>
          </w:p>
        </w:tc>
        <w:tc>
          <w:tcPr>
            <w:tcW w:w="118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center"/>
              <w:ind w:right="197"/>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60" w:type="dxa"/>
            <w:vAlign w:val="bottom"/>
          </w:tcPr>
          <w:p>
            <w:pPr>
              <w:spacing w:after="0"/>
              <w:rPr>
                <w:sz w:val="13"/>
                <w:szCs w:val="13"/>
                <w:color w:val="auto"/>
              </w:rPr>
            </w:pPr>
          </w:p>
        </w:tc>
        <w:tc>
          <w:tcPr>
            <w:tcW w:w="980" w:type="dxa"/>
            <w:vAlign w:val="bottom"/>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0" w:type="dxa"/>
            <w:vAlign w:val="bottom"/>
          </w:tcPr>
          <w:p>
            <w:pPr>
              <w:spacing w:after="0"/>
              <w:rPr>
                <w:sz w:val="13"/>
                <w:szCs w:val="13"/>
                <w:color w:val="auto"/>
              </w:rPr>
            </w:pPr>
          </w:p>
        </w:tc>
        <w:tc>
          <w:tcPr>
            <w:tcW w:w="1160" w:type="dxa"/>
            <w:vAlign w:val="bottom"/>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60" w:type="dxa"/>
            <w:vAlign w:val="bottom"/>
          </w:tcPr>
          <w:p>
            <w:pPr>
              <w:spacing w:after="0"/>
              <w:rPr>
                <w:sz w:val="13"/>
                <w:szCs w:val="13"/>
                <w:color w:val="auto"/>
              </w:rPr>
            </w:pPr>
          </w:p>
        </w:tc>
        <w:tc>
          <w:tcPr>
            <w:tcW w:w="1540" w:type="dxa"/>
            <w:vAlign w:val="bottom"/>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7"/>
              </w:rPr>
              <w:t>interest in consolidated</w:t>
            </w:r>
          </w:p>
        </w:tc>
        <w:tc>
          <w:tcPr>
            <w:tcW w:w="160" w:type="dxa"/>
            <w:vAlign w:val="bottom"/>
          </w:tcPr>
          <w:p>
            <w:pPr>
              <w:spacing w:after="0"/>
              <w:rPr>
                <w:sz w:val="13"/>
                <w:szCs w:val="13"/>
                <w:color w:val="auto"/>
              </w:rPr>
            </w:pPr>
          </w:p>
        </w:tc>
        <w:tc>
          <w:tcPr>
            <w:tcW w:w="940" w:type="dxa"/>
            <w:vAlign w:val="bottom"/>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10"/>
        </w:trPr>
        <w:tc>
          <w:tcPr>
            <w:tcW w:w="1620" w:type="dxa"/>
            <w:vAlign w:val="bottom"/>
            <w:vMerge w:val="continue"/>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Borders>
              <w:top w:val="single" w:sz="8" w:color="auto"/>
              <w:left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16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3"/>
                <w:szCs w:val="13"/>
                <w:b w:val="1"/>
                <w:bCs w:val="1"/>
                <w:color w:val="auto"/>
              </w:rPr>
              <w:t>data)</w:t>
            </w:r>
          </w:p>
        </w:tc>
        <w:tc>
          <w:tcPr>
            <w:tcW w:w="7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00" w:type="dxa"/>
            <w:vAlign w:val="bottom"/>
            <w:tcBorders>
              <w:left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60" w:type="dxa"/>
            <w:vAlign w:val="bottom"/>
            <w:tcBorders>
              <w:bottom w:val="single" w:sz="8" w:color="auto"/>
            </w:tcBorders>
            <w:gridSpan w:val="2"/>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3"/>
                <w:szCs w:val="13"/>
                <w:b w:val="1"/>
                <w:bCs w:val="1"/>
                <w:color w:val="auto"/>
                <w:w w:val="95"/>
              </w:rPr>
              <w:t>income</w:t>
            </w: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3"/>
                <w:szCs w:val="13"/>
                <w:b w:val="1"/>
                <w:bCs w:val="1"/>
                <w:color w:val="auto"/>
                <w:w w:val="96"/>
              </w:rPr>
              <w:t>subsidiary</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0" w:type="dxa"/>
            <w:vAlign w:val="bottom"/>
          </w:tcPr>
          <w:p>
            <w:pPr>
              <w:spacing w:after="0"/>
              <w:rPr>
                <w:sz w:val="1"/>
                <w:szCs w:val="1"/>
                <w:color w:val="auto"/>
              </w:rPr>
            </w:pPr>
          </w:p>
        </w:tc>
      </w:tr>
      <w:tr>
        <w:trPr>
          <w:trHeight w:val="117"/>
        </w:trPr>
        <w:tc>
          <w:tcPr>
            <w:tcW w:w="162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Balances at December 31,</w:t>
            </w:r>
          </w:p>
        </w:tc>
        <w:tc>
          <w:tcPr>
            <w:tcW w:w="7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tcBorders>
              <w:left w:val="single" w:sz="8" w:color="auto"/>
            </w:tcBorders>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5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2021</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900" w:type="dxa"/>
            <w:vAlign w:val="bottom"/>
            <w:tcBorders>
              <w:left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133,749,663</w:t>
            </w:r>
          </w:p>
        </w:tc>
        <w:tc>
          <w:tcPr>
            <w:tcW w:w="2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126</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423,625</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(19,606 )</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897</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343</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405,385</w:t>
            </w:r>
          </w:p>
        </w:tc>
        <w:tc>
          <w:tcPr>
            <w:tcW w:w="0" w:type="dxa"/>
            <w:vAlign w:val="bottom"/>
          </w:tcPr>
          <w:p>
            <w:pPr>
              <w:spacing w:after="0"/>
              <w:rPr>
                <w:sz w:val="1"/>
                <w:szCs w:val="1"/>
                <w:color w:val="auto"/>
              </w:rPr>
            </w:pPr>
          </w:p>
        </w:tc>
      </w:tr>
      <w:tr>
        <w:trPr>
          <w:trHeight w:val="162"/>
        </w:trPr>
        <w:tc>
          <w:tcPr>
            <w:tcW w:w="1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left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493,267</w:t>
            </w:r>
          </w:p>
        </w:tc>
        <w:tc>
          <w:tcPr>
            <w:tcW w:w="280" w:type="dxa"/>
            <w:vAlign w:val="bottom"/>
          </w:tcPr>
          <w:p>
            <w:pPr>
              <w:spacing w:after="0"/>
              <w:rPr>
                <w:sz w:val="14"/>
                <w:szCs w:val="14"/>
                <w:color w:val="auto"/>
              </w:rPr>
            </w:pPr>
          </w:p>
        </w:tc>
        <w:tc>
          <w:tcPr>
            <w:tcW w:w="3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w:t>
            </w:r>
          </w:p>
        </w:tc>
        <w:tc>
          <w:tcPr>
            <w:tcW w:w="20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356</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364</w:t>
            </w:r>
          </w:p>
        </w:tc>
        <w:tc>
          <w:tcPr>
            <w:tcW w:w="0" w:type="dxa"/>
            <w:vAlign w:val="bottom"/>
          </w:tcPr>
          <w:p>
            <w:pPr>
              <w:spacing w:after="0"/>
              <w:rPr>
                <w:sz w:val="1"/>
                <w:szCs w:val="1"/>
                <w:color w:val="auto"/>
              </w:rPr>
            </w:pPr>
          </w:p>
        </w:tc>
      </w:tr>
      <w:tr>
        <w:trPr>
          <w:trHeight w:val="162"/>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tcBorders>
              <w:left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3,837</w:t>
            </w: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3,837</w:t>
            </w:r>
          </w:p>
        </w:tc>
        <w:tc>
          <w:tcPr>
            <w:tcW w:w="0" w:type="dxa"/>
            <w:vAlign w:val="bottom"/>
          </w:tcPr>
          <w:p>
            <w:pPr>
              <w:spacing w:after="0"/>
              <w:rPr>
                <w:sz w:val="1"/>
                <w:szCs w:val="1"/>
                <w:color w:val="auto"/>
              </w:rPr>
            </w:pPr>
          </w:p>
        </w:tc>
      </w:tr>
      <w:tr>
        <w:trPr>
          <w:trHeight w:val="117"/>
        </w:trPr>
        <w:tc>
          <w:tcPr>
            <w:tcW w:w="162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lef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 net of tax</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lef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14</w:t>
            </w: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70"/>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tcBorders>
              <w:left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(2,021 )</w:t>
            </w:r>
          </w:p>
        </w:tc>
        <w:tc>
          <w:tcPr>
            <w:tcW w:w="2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(2,021 )</w:t>
            </w:r>
          </w:p>
        </w:tc>
        <w:tc>
          <w:tcPr>
            <w:tcW w:w="0" w:type="dxa"/>
            <w:vAlign w:val="bottom"/>
          </w:tcPr>
          <w:p>
            <w:pPr>
              <w:spacing w:after="0"/>
              <w:rPr>
                <w:sz w:val="1"/>
                <w:szCs w:val="1"/>
                <w:color w:val="auto"/>
              </w:rPr>
            </w:pPr>
          </w:p>
        </w:tc>
      </w:tr>
      <w:tr>
        <w:trPr>
          <w:trHeight w:val="162"/>
        </w:trPr>
        <w:tc>
          <w:tcPr>
            <w:tcW w:w="1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Noncontrolling interest</w:t>
            </w: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left w:val="single" w:sz="8" w:color="auto"/>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(137 )</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(137 )</w:t>
            </w:r>
          </w:p>
        </w:tc>
        <w:tc>
          <w:tcPr>
            <w:tcW w:w="0" w:type="dxa"/>
            <w:vAlign w:val="bottom"/>
          </w:tcPr>
          <w:p>
            <w:pPr>
              <w:spacing w:after="0"/>
              <w:rPr>
                <w:sz w:val="1"/>
                <w:szCs w:val="1"/>
                <w:color w:val="auto"/>
              </w:rPr>
            </w:pPr>
          </w:p>
        </w:tc>
      </w:tr>
      <w:tr>
        <w:trPr>
          <w:trHeight w:val="216"/>
        </w:trPr>
        <w:tc>
          <w:tcPr>
            <w:tcW w:w="1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Balances at March 31, 2022</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left w:val="single" w:sz="8" w:color="auto"/>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134,242,930</w:t>
            </w:r>
          </w:p>
        </w:tc>
        <w:tc>
          <w:tcPr>
            <w:tcW w:w="280" w:type="dxa"/>
            <w:vAlign w:val="bottom"/>
            <w:tcBorders>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134</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427,818</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(21,627 )</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911</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tcBorders>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206</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407,442</w:t>
            </w:r>
          </w:p>
        </w:tc>
        <w:tc>
          <w:tcPr>
            <w:tcW w:w="0" w:type="dxa"/>
            <w:vAlign w:val="bottom"/>
          </w:tcPr>
          <w:p>
            <w:pPr>
              <w:spacing w:after="0"/>
              <w:rPr>
                <w:sz w:val="1"/>
                <w:szCs w:val="1"/>
                <w:color w:val="auto"/>
              </w:rPr>
            </w:pPr>
          </w:p>
        </w:tc>
      </w:tr>
      <w:tr>
        <w:trPr>
          <w:trHeight w:val="77"/>
        </w:trPr>
        <w:tc>
          <w:tcPr>
            <w:tcW w:w="1620" w:type="dxa"/>
            <w:vAlign w:val="bottom"/>
          </w:tcPr>
          <w:p>
            <w:pPr>
              <w:ind w:left="20"/>
              <w:spacing w:after="0" w:line="78" w:lineRule="exact"/>
              <w:rPr>
                <w:sz w:val="20"/>
                <w:szCs w:val="20"/>
                <w:color w:val="auto"/>
              </w:rPr>
            </w:pPr>
            <w:r>
              <w:rPr>
                <w:rFonts w:ascii="Times New Roman" w:cs="Times New Roman" w:eastAsia="Times New Roman" w:hAnsi="Times New Roman"/>
                <w:sz w:val="8"/>
                <w:szCs w:val="8"/>
                <w:color w:val="auto"/>
              </w:rPr>
              <w:t>Shares issued in connection</w:t>
            </w: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Borders>
              <w:left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1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with employee stock plans</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left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365,649</w:t>
            </w:r>
          </w:p>
        </w:tc>
        <w:tc>
          <w:tcPr>
            <w:tcW w:w="280" w:type="dxa"/>
            <w:vAlign w:val="bottom"/>
          </w:tcPr>
          <w:p>
            <w:pPr>
              <w:spacing w:after="0"/>
              <w:rPr>
                <w:sz w:val="14"/>
                <w:szCs w:val="14"/>
                <w:color w:val="auto"/>
              </w:rPr>
            </w:pPr>
          </w:p>
        </w:tc>
        <w:tc>
          <w:tcPr>
            <w:tcW w:w="3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1,204</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1,205</w:t>
            </w:r>
          </w:p>
        </w:tc>
        <w:tc>
          <w:tcPr>
            <w:tcW w:w="0" w:type="dxa"/>
            <w:vAlign w:val="bottom"/>
          </w:tcPr>
          <w:p>
            <w:pPr>
              <w:spacing w:after="0"/>
              <w:rPr>
                <w:sz w:val="1"/>
                <w:szCs w:val="1"/>
                <w:color w:val="auto"/>
              </w:rPr>
            </w:pPr>
          </w:p>
        </w:tc>
      </w:tr>
      <w:tr>
        <w:trPr>
          <w:trHeight w:val="125"/>
        </w:trPr>
        <w:tc>
          <w:tcPr>
            <w:tcW w:w="162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3"/>
                <w:szCs w:val="13"/>
                <w:color w:val="auto"/>
              </w:rPr>
              <w:t>Shares of Common Stock</w:t>
            </w:r>
          </w:p>
        </w:tc>
        <w:tc>
          <w:tcPr>
            <w:tcW w:w="7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tcBorders>
              <w:left w:val="single" w:sz="8" w:color="auto"/>
            </w:tcBorders>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5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withheld related to net share</w:t>
            </w:r>
          </w:p>
        </w:tc>
        <w:tc>
          <w:tcPr>
            <w:tcW w:w="7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tcBorders>
              <w:left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(6,908 )</w:t>
            </w:r>
          </w:p>
        </w:tc>
        <w:tc>
          <w:tcPr>
            <w:tcW w:w="280" w:type="dxa"/>
            <w:vAlign w:val="bottom"/>
            <w:shd w:val="clear" w:color="auto" w:fill="CFF0FC"/>
          </w:tcPr>
          <w:p>
            <w:pPr>
              <w:spacing w:after="0"/>
              <w:rPr>
                <w:sz w:val="11"/>
                <w:szCs w:val="11"/>
                <w:color w:val="auto"/>
              </w:rPr>
            </w:pPr>
          </w:p>
        </w:tc>
        <w:tc>
          <w:tcPr>
            <w:tcW w:w="380" w:type="dxa"/>
            <w:vAlign w:val="bottom"/>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72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(67 )</w:t>
            </w: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(67 )</w:t>
            </w:r>
          </w:p>
        </w:tc>
        <w:tc>
          <w:tcPr>
            <w:tcW w:w="0" w:type="dxa"/>
            <w:vAlign w:val="bottom"/>
          </w:tcPr>
          <w:p>
            <w:pPr>
              <w:spacing w:after="0"/>
              <w:rPr>
                <w:sz w:val="1"/>
                <w:szCs w:val="1"/>
                <w:color w:val="auto"/>
              </w:rPr>
            </w:pPr>
          </w:p>
        </w:tc>
      </w:tr>
      <w:tr>
        <w:trPr>
          <w:trHeight w:val="167"/>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settlement</w:t>
            </w: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tcBorders>
              <w:left w:val="single" w:sz="8" w:color="auto"/>
            </w:tcBorders>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lef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3,934</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3,934</w:t>
            </w:r>
          </w:p>
        </w:tc>
        <w:tc>
          <w:tcPr>
            <w:tcW w:w="0" w:type="dxa"/>
            <w:vAlign w:val="bottom"/>
          </w:tcPr>
          <w:p>
            <w:pPr>
              <w:spacing w:after="0"/>
              <w:rPr>
                <w:sz w:val="1"/>
                <w:szCs w:val="1"/>
                <w:color w:val="auto"/>
              </w:rPr>
            </w:pPr>
          </w:p>
        </w:tc>
      </w:tr>
      <w:tr>
        <w:trPr>
          <w:trHeight w:val="117"/>
        </w:trPr>
        <w:tc>
          <w:tcPr>
            <w:tcW w:w="162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7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tcBorders>
              <w:left w:val="single" w:sz="8" w:color="auto"/>
            </w:tcBorders>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5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adjustment, net of tax</w:t>
            </w:r>
          </w:p>
        </w:tc>
        <w:tc>
          <w:tcPr>
            <w:tcW w:w="7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tcBorders>
              <w:left w:val="single" w:sz="8" w:color="auto"/>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(683 )</w:t>
            </w:r>
          </w:p>
        </w:tc>
        <w:tc>
          <w:tcPr>
            <w:tcW w:w="16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(683 )</w:t>
            </w:r>
          </w:p>
        </w:tc>
        <w:tc>
          <w:tcPr>
            <w:tcW w:w="0" w:type="dxa"/>
            <w:vAlign w:val="bottom"/>
          </w:tcPr>
          <w:p>
            <w:pPr>
              <w:spacing w:after="0"/>
              <w:rPr>
                <w:sz w:val="1"/>
                <w:szCs w:val="1"/>
                <w:color w:val="auto"/>
              </w:rPr>
            </w:pPr>
          </w:p>
        </w:tc>
      </w:tr>
      <w:tr>
        <w:trPr>
          <w:trHeight w:val="162"/>
        </w:trPr>
        <w:tc>
          <w:tcPr>
            <w:tcW w:w="1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lef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(598 )</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(598 )</w:t>
            </w:r>
          </w:p>
        </w:tc>
        <w:tc>
          <w:tcPr>
            <w:tcW w:w="0" w:type="dxa"/>
            <w:vAlign w:val="bottom"/>
          </w:tcPr>
          <w:p>
            <w:pPr>
              <w:spacing w:after="0"/>
              <w:rPr>
                <w:sz w:val="1"/>
                <w:szCs w:val="1"/>
                <w:color w:val="auto"/>
              </w:rPr>
            </w:pPr>
          </w:p>
        </w:tc>
      </w:tr>
      <w:tr>
        <w:trPr>
          <w:trHeight w:val="162"/>
        </w:trPr>
        <w:tc>
          <w:tcPr>
            <w:tcW w:w="1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Noncontrolling interest</w:t>
            </w:r>
          </w:p>
        </w:tc>
        <w:tc>
          <w:tcPr>
            <w:tcW w:w="780" w:type="dxa"/>
            <w:vAlign w:val="bottom"/>
            <w:tcBorders>
              <w:bottom w:val="single" w:sz="8" w:color="auto"/>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00" w:type="dxa"/>
            <w:vAlign w:val="bottom"/>
            <w:tcBorders>
              <w:left w:val="single" w:sz="8" w:color="auto"/>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54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(104 )</w:t>
            </w:r>
          </w:p>
        </w:tc>
        <w:tc>
          <w:tcPr>
            <w:tcW w:w="16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(104 )</w:t>
            </w:r>
          </w:p>
        </w:tc>
        <w:tc>
          <w:tcPr>
            <w:tcW w:w="0" w:type="dxa"/>
            <w:vAlign w:val="bottom"/>
          </w:tcPr>
          <w:p>
            <w:pPr>
              <w:spacing w:after="0"/>
              <w:rPr>
                <w:sz w:val="1"/>
                <w:szCs w:val="1"/>
                <w:color w:val="auto"/>
              </w:rPr>
            </w:pPr>
          </w:p>
        </w:tc>
      </w:tr>
      <w:tr>
        <w:trPr>
          <w:trHeight w:val="156"/>
        </w:trPr>
        <w:tc>
          <w:tcPr>
            <w:tcW w:w="1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Balances at June 30, 2022</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tcPr>
          <w:p>
            <w:pPr>
              <w:spacing w:after="0"/>
              <w:rPr>
                <w:sz w:val="13"/>
                <w:szCs w:val="13"/>
                <w:color w:val="auto"/>
              </w:rPr>
            </w:pPr>
          </w:p>
        </w:tc>
        <w:tc>
          <w:tcPr>
            <w:tcW w:w="900" w:type="dxa"/>
            <w:vAlign w:val="bottom"/>
            <w:tcBorders>
              <w:left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134,601,671</w:t>
            </w:r>
          </w:p>
        </w:tc>
        <w:tc>
          <w:tcPr>
            <w:tcW w:w="2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135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432,889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(22,225 )</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228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102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411,129</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40" w:type="dxa"/>
            <w:vAlign w:val="bottom"/>
            <w:tcBorders>
              <w:bottom w:val="single" w:sz="8" w:color="auto"/>
            </w:tcBorders>
            <w:gridSpan w:val="4"/>
          </w:tcPr>
          <w:p>
            <w:pPr>
              <w:spacing w:after="0" w:line="20" w:lineRule="exact"/>
              <w:rPr>
                <w:sz w:val="1"/>
                <w:szCs w:val="1"/>
                <w:color w:val="auto"/>
              </w:rPr>
            </w:pPr>
          </w:p>
        </w:tc>
        <w:tc>
          <w:tcPr>
            <w:tcW w:w="90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620" w:type="dxa"/>
            <w:vAlign w:val="bottom"/>
          </w:tcPr>
          <w:p>
            <w:pPr>
              <w:spacing w:after="0"/>
              <w:rPr>
                <w:sz w:val="24"/>
                <w:szCs w:val="24"/>
                <w:color w:val="auto"/>
              </w:rPr>
            </w:pPr>
          </w:p>
        </w:tc>
        <w:tc>
          <w:tcPr>
            <w:tcW w:w="1840" w:type="dxa"/>
            <w:vAlign w:val="bottom"/>
            <w:gridSpan w:val="4"/>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Redeemable convertible</w:t>
            </w:r>
          </w:p>
        </w:tc>
        <w:tc>
          <w:tcPr>
            <w:tcW w:w="900" w:type="dxa"/>
            <w:vAlign w:val="bottom"/>
            <w:tcBorders>
              <w:lef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60" w:type="dxa"/>
            <w:vAlign w:val="bottom"/>
            <w:gridSpan w:val="2"/>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Accumulated other</w:t>
            </w:r>
          </w:p>
        </w:tc>
        <w:tc>
          <w:tcPr>
            <w:tcW w:w="160" w:type="dxa"/>
            <w:vAlign w:val="bottom"/>
          </w:tcPr>
          <w:p>
            <w:pPr>
              <w:spacing w:after="0"/>
              <w:rPr>
                <w:sz w:val="24"/>
                <w:szCs w:val="24"/>
                <w:color w:val="auto"/>
              </w:rPr>
            </w:pPr>
          </w:p>
        </w:tc>
        <w:tc>
          <w:tcPr>
            <w:tcW w:w="1540" w:type="dxa"/>
            <w:vAlign w:val="bottom"/>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60" w:type="dxa"/>
            <w:vAlign w:val="bottom"/>
          </w:tcPr>
          <w:p>
            <w:pPr>
              <w:spacing w:after="0"/>
              <w:rPr>
                <w:sz w:val="24"/>
                <w:szCs w:val="24"/>
                <w:color w:val="auto"/>
              </w:rPr>
            </w:pPr>
          </w:p>
        </w:tc>
        <w:tc>
          <w:tcPr>
            <w:tcW w:w="940" w:type="dxa"/>
            <w:vAlign w:val="bottom"/>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61"/>
        </w:trPr>
        <w:tc>
          <w:tcPr>
            <w:tcW w:w="162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(In thousands, except share</w:t>
            </w:r>
          </w:p>
        </w:tc>
        <w:tc>
          <w:tcPr>
            <w:tcW w:w="1840" w:type="dxa"/>
            <w:vAlign w:val="bottom"/>
            <w:gridSpan w:val="4"/>
          </w:tcPr>
          <w:p>
            <w:pPr>
              <w:ind w:left="400"/>
              <w:spacing w:after="0" w:line="146" w:lineRule="exact"/>
              <w:rPr>
                <w:sz w:val="20"/>
                <w:szCs w:val="20"/>
                <w:color w:val="auto"/>
              </w:rPr>
            </w:pPr>
            <w:r>
              <w:rPr>
                <w:rFonts w:ascii="Times New Roman" w:cs="Times New Roman" w:eastAsia="Times New Roman" w:hAnsi="Times New Roman"/>
                <w:sz w:val="13"/>
                <w:szCs w:val="13"/>
                <w:b w:val="1"/>
                <w:bCs w:val="1"/>
                <w:color w:val="auto"/>
              </w:rPr>
              <w:t>preferred stock</w:t>
            </w:r>
          </w:p>
        </w:tc>
        <w:tc>
          <w:tcPr>
            <w:tcW w:w="118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center"/>
              <w:ind w:right="197"/>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60" w:type="dxa"/>
            <w:vAlign w:val="bottom"/>
          </w:tcPr>
          <w:p>
            <w:pPr>
              <w:spacing w:after="0"/>
              <w:rPr>
                <w:sz w:val="13"/>
                <w:szCs w:val="13"/>
                <w:color w:val="auto"/>
              </w:rPr>
            </w:pPr>
          </w:p>
        </w:tc>
        <w:tc>
          <w:tcPr>
            <w:tcW w:w="980" w:type="dxa"/>
            <w:vAlign w:val="bottom"/>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0" w:type="dxa"/>
            <w:vAlign w:val="bottom"/>
          </w:tcPr>
          <w:p>
            <w:pPr>
              <w:spacing w:after="0"/>
              <w:rPr>
                <w:sz w:val="13"/>
                <w:szCs w:val="13"/>
                <w:color w:val="auto"/>
              </w:rPr>
            </w:pPr>
          </w:p>
        </w:tc>
        <w:tc>
          <w:tcPr>
            <w:tcW w:w="1160" w:type="dxa"/>
            <w:vAlign w:val="bottom"/>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60" w:type="dxa"/>
            <w:vAlign w:val="bottom"/>
          </w:tcPr>
          <w:p>
            <w:pPr>
              <w:spacing w:after="0"/>
              <w:rPr>
                <w:sz w:val="13"/>
                <w:szCs w:val="13"/>
                <w:color w:val="auto"/>
              </w:rPr>
            </w:pPr>
          </w:p>
        </w:tc>
        <w:tc>
          <w:tcPr>
            <w:tcW w:w="1540" w:type="dxa"/>
            <w:vAlign w:val="bottom"/>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7"/>
              </w:rPr>
              <w:t>interest in consolidated</w:t>
            </w:r>
          </w:p>
        </w:tc>
        <w:tc>
          <w:tcPr>
            <w:tcW w:w="160" w:type="dxa"/>
            <w:vAlign w:val="bottom"/>
          </w:tcPr>
          <w:p>
            <w:pPr>
              <w:spacing w:after="0"/>
              <w:rPr>
                <w:sz w:val="13"/>
                <w:szCs w:val="13"/>
                <w:color w:val="auto"/>
              </w:rPr>
            </w:pPr>
          </w:p>
        </w:tc>
        <w:tc>
          <w:tcPr>
            <w:tcW w:w="940" w:type="dxa"/>
            <w:vAlign w:val="bottom"/>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10"/>
        </w:trPr>
        <w:tc>
          <w:tcPr>
            <w:tcW w:w="1620" w:type="dxa"/>
            <w:vAlign w:val="bottom"/>
            <w:vMerge w:val="continue"/>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Borders>
              <w:top w:val="single" w:sz="8" w:color="auto"/>
              <w:left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16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3"/>
                <w:szCs w:val="13"/>
                <w:b w:val="1"/>
                <w:bCs w:val="1"/>
                <w:color w:val="auto"/>
              </w:rPr>
              <w:t>data)</w:t>
            </w:r>
          </w:p>
        </w:tc>
        <w:tc>
          <w:tcPr>
            <w:tcW w:w="7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00" w:type="dxa"/>
            <w:vAlign w:val="bottom"/>
            <w:tcBorders>
              <w:left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60" w:type="dxa"/>
            <w:vAlign w:val="bottom"/>
            <w:tcBorders>
              <w:bottom w:val="single" w:sz="8" w:color="auto"/>
            </w:tcBorders>
            <w:gridSpan w:val="2"/>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3"/>
                <w:szCs w:val="13"/>
                <w:b w:val="1"/>
                <w:bCs w:val="1"/>
                <w:color w:val="auto"/>
                <w:w w:val="95"/>
              </w:rPr>
              <w:t>income</w:t>
            </w: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3"/>
                <w:szCs w:val="13"/>
                <w:b w:val="1"/>
                <w:bCs w:val="1"/>
                <w:color w:val="auto"/>
                <w:w w:val="96"/>
              </w:rPr>
              <w:t>subsidiary</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17"/>
        </w:trPr>
        <w:tc>
          <w:tcPr>
            <w:tcW w:w="162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Balances at December 31,</w:t>
            </w: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lef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2020</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87,268,694</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194,319</w:t>
            </w:r>
          </w:p>
        </w:tc>
        <w:tc>
          <w:tcPr>
            <w:tcW w:w="100" w:type="dxa"/>
            <w:vAlign w:val="bottom"/>
          </w:tcPr>
          <w:p>
            <w:pPr>
              <w:spacing w:after="0"/>
              <w:rPr>
                <w:sz w:val="14"/>
                <w:szCs w:val="14"/>
                <w:color w:val="auto"/>
              </w:rPr>
            </w:pPr>
          </w:p>
        </w:tc>
        <w:tc>
          <w:tcPr>
            <w:tcW w:w="900" w:type="dxa"/>
            <w:vAlign w:val="bottom"/>
            <w:tcBorders>
              <w:left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31,241,916</w:t>
            </w:r>
          </w:p>
        </w:tc>
        <w:tc>
          <w:tcPr>
            <w:tcW w:w="28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23</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6,491</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(22,607 )</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65</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(16,028 )</w:t>
            </w:r>
          </w:p>
        </w:tc>
        <w:tc>
          <w:tcPr>
            <w:tcW w:w="0" w:type="dxa"/>
            <w:vAlign w:val="bottom"/>
          </w:tcPr>
          <w:p>
            <w:pPr>
              <w:spacing w:after="0"/>
              <w:rPr>
                <w:sz w:val="1"/>
                <w:szCs w:val="1"/>
                <w:color w:val="auto"/>
              </w:rPr>
            </w:pPr>
          </w:p>
        </w:tc>
      </w:tr>
      <w:tr>
        <w:trPr>
          <w:trHeight w:val="170"/>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tcBorders>
              <w:left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533,540</w:t>
            </w:r>
          </w:p>
        </w:tc>
        <w:tc>
          <w:tcPr>
            <w:tcW w:w="280" w:type="dxa"/>
            <w:vAlign w:val="bottom"/>
            <w:shd w:val="clear" w:color="auto" w:fill="CFF0FC"/>
          </w:tcPr>
          <w:p>
            <w:pPr>
              <w:spacing w:after="0"/>
              <w:rPr>
                <w:sz w:val="14"/>
                <w:szCs w:val="14"/>
                <w:color w:val="auto"/>
              </w:rPr>
            </w:pPr>
          </w:p>
        </w:tc>
        <w:tc>
          <w:tcPr>
            <w:tcW w:w="3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195</w:t>
            </w: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196</w:t>
            </w:r>
          </w:p>
        </w:tc>
        <w:tc>
          <w:tcPr>
            <w:tcW w:w="0" w:type="dxa"/>
            <w:vAlign w:val="bottom"/>
          </w:tcPr>
          <w:p>
            <w:pPr>
              <w:spacing w:after="0"/>
              <w:rPr>
                <w:sz w:val="1"/>
                <w:szCs w:val="1"/>
                <w:color w:val="auto"/>
              </w:rPr>
            </w:pPr>
          </w:p>
        </w:tc>
      </w:tr>
      <w:tr>
        <w:trPr>
          <w:trHeight w:val="162"/>
        </w:trPr>
        <w:tc>
          <w:tcPr>
            <w:tcW w:w="1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lef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456</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456</w:t>
            </w:r>
          </w:p>
        </w:tc>
        <w:tc>
          <w:tcPr>
            <w:tcW w:w="0" w:type="dxa"/>
            <w:vAlign w:val="bottom"/>
          </w:tcPr>
          <w:p>
            <w:pPr>
              <w:spacing w:after="0"/>
              <w:rPr>
                <w:sz w:val="1"/>
                <w:szCs w:val="1"/>
                <w:color w:val="auto"/>
              </w:rPr>
            </w:pPr>
          </w:p>
        </w:tc>
      </w:tr>
      <w:tr>
        <w:trPr>
          <w:trHeight w:val="117"/>
        </w:trPr>
        <w:tc>
          <w:tcPr>
            <w:tcW w:w="162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7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tcBorders>
              <w:left w:val="single" w:sz="8" w:color="auto"/>
            </w:tcBorders>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5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adjustment,</w:t>
            </w:r>
          </w:p>
        </w:tc>
        <w:tc>
          <w:tcPr>
            <w:tcW w:w="7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tcBorders>
              <w:left w:val="single" w:sz="8" w:color="auto"/>
            </w:tcBorders>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160" w:type="dxa"/>
            <w:vAlign w:val="bottom"/>
            <w:vMerge w:val="restart"/>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202</w:t>
            </w:r>
          </w:p>
        </w:tc>
        <w:tc>
          <w:tcPr>
            <w:tcW w:w="160" w:type="dxa"/>
            <w:vAlign w:val="bottom"/>
            <w:shd w:val="clear" w:color="auto" w:fill="CFF0FC"/>
          </w:tcPr>
          <w:p>
            <w:pPr>
              <w:spacing w:after="0"/>
              <w:rPr>
                <w:sz w:val="11"/>
                <w:szCs w:val="11"/>
                <w:color w:val="auto"/>
              </w:rPr>
            </w:pPr>
          </w:p>
        </w:tc>
        <w:tc>
          <w:tcPr>
            <w:tcW w:w="1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202</w:t>
            </w:r>
          </w:p>
        </w:tc>
        <w:tc>
          <w:tcPr>
            <w:tcW w:w="0" w:type="dxa"/>
            <w:vAlign w:val="bottom"/>
          </w:tcPr>
          <w:p>
            <w:pPr>
              <w:spacing w:after="0"/>
              <w:rPr>
                <w:sz w:val="1"/>
                <w:szCs w:val="1"/>
                <w:color w:val="auto"/>
              </w:rPr>
            </w:pPr>
          </w:p>
        </w:tc>
      </w:tr>
      <w:tr>
        <w:trPr>
          <w:trHeight w:val="167"/>
        </w:trPr>
        <w:tc>
          <w:tcPr>
            <w:tcW w:w="1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net of tax</w:t>
            </w: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tcBorders>
              <w:left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6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lef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102</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102</w:t>
            </w:r>
          </w:p>
        </w:tc>
        <w:tc>
          <w:tcPr>
            <w:tcW w:w="0" w:type="dxa"/>
            <w:vAlign w:val="bottom"/>
          </w:tcPr>
          <w:p>
            <w:pPr>
              <w:spacing w:after="0"/>
              <w:rPr>
                <w:sz w:val="1"/>
                <w:szCs w:val="1"/>
                <w:color w:val="auto"/>
              </w:rPr>
            </w:pPr>
          </w:p>
        </w:tc>
      </w:tr>
      <w:tr>
        <w:trPr>
          <w:trHeight w:val="162"/>
        </w:trPr>
        <w:tc>
          <w:tcPr>
            <w:tcW w:w="1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Noncontrolling interest</w:t>
            </w:r>
          </w:p>
        </w:tc>
        <w:tc>
          <w:tcPr>
            <w:tcW w:w="780" w:type="dxa"/>
            <w:vAlign w:val="bottom"/>
            <w:tcBorders>
              <w:bottom w:val="single" w:sz="8" w:color="auto"/>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00" w:type="dxa"/>
            <w:vAlign w:val="bottom"/>
            <w:tcBorders>
              <w:left w:val="single" w:sz="8" w:color="auto"/>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540" w:type="dxa"/>
            <w:vAlign w:val="bottom"/>
            <w:tcBorders>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315</w:t>
            </w:r>
          </w:p>
        </w:tc>
        <w:tc>
          <w:tcPr>
            <w:tcW w:w="16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315</w:t>
            </w:r>
          </w:p>
        </w:tc>
        <w:tc>
          <w:tcPr>
            <w:tcW w:w="0" w:type="dxa"/>
            <w:vAlign w:val="bottom"/>
          </w:tcPr>
          <w:p>
            <w:pPr>
              <w:spacing w:after="0"/>
              <w:rPr>
                <w:sz w:val="1"/>
                <w:szCs w:val="1"/>
                <w:color w:val="auto"/>
              </w:rPr>
            </w:pPr>
          </w:p>
        </w:tc>
      </w:tr>
      <w:tr>
        <w:trPr>
          <w:trHeight w:val="155"/>
        </w:trPr>
        <w:tc>
          <w:tcPr>
            <w:tcW w:w="1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Balances at March 31, 2021</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87,268,694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194,319</w:t>
            </w: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31,775,456</w:t>
            </w:r>
          </w:p>
        </w:tc>
        <w:tc>
          <w:tcPr>
            <w:tcW w:w="2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7,142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(22,505 )</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267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315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(14,757 )</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620" w:type="dxa"/>
            <w:vAlign w:val="bottom"/>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color w:val="auto"/>
              </w:rPr>
              <w:t>Exercise of stock options</w:t>
            </w: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tcBorders>
              <w:left w:val="single" w:sz="8" w:color="auto"/>
            </w:tcBorders>
            <w:shd w:val="clear" w:color="auto" w:fill="CFF0FC"/>
          </w:tcPr>
          <w:p>
            <w:pPr>
              <w:jc w:val="right"/>
              <w:ind w:right="57"/>
              <w:spacing w:after="0" w:line="143" w:lineRule="exact"/>
              <w:rPr>
                <w:sz w:val="20"/>
                <w:szCs w:val="20"/>
                <w:color w:val="auto"/>
              </w:rPr>
            </w:pPr>
            <w:r>
              <w:rPr>
                <w:rFonts w:ascii="Times New Roman" w:cs="Times New Roman" w:eastAsia="Times New Roman" w:hAnsi="Times New Roman"/>
                <w:sz w:val="13"/>
                <w:szCs w:val="13"/>
                <w:color w:val="auto"/>
              </w:rPr>
              <w:t>321,130</w:t>
            </w:r>
          </w:p>
        </w:tc>
        <w:tc>
          <w:tcPr>
            <w:tcW w:w="280" w:type="dxa"/>
            <w:vAlign w:val="bottom"/>
            <w:shd w:val="clear" w:color="auto" w:fill="CFF0FC"/>
          </w:tcPr>
          <w:p>
            <w:pPr>
              <w:spacing w:after="0"/>
              <w:rPr>
                <w:sz w:val="12"/>
                <w:szCs w:val="12"/>
                <w:color w:val="auto"/>
              </w:rPr>
            </w:pPr>
          </w:p>
        </w:tc>
        <w:tc>
          <w:tcPr>
            <w:tcW w:w="380" w:type="dxa"/>
            <w:vAlign w:val="bottom"/>
            <w:shd w:val="clear" w:color="auto" w:fill="CFF0FC"/>
          </w:tcPr>
          <w:p>
            <w:pPr>
              <w:jc w:val="right"/>
              <w:ind w:right="57"/>
              <w:spacing w:after="0" w:line="143"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97"/>
              <w:spacing w:after="0" w:line="143" w:lineRule="exact"/>
              <w:rPr>
                <w:sz w:val="20"/>
                <w:szCs w:val="20"/>
                <w:color w:val="auto"/>
              </w:rPr>
            </w:pPr>
            <w:r>
              <w:rPr>
                <w:rFonts w:ascii="Times New Roman" w:cs="Times New Roman" w:eastAsia="Times New Roman" w:hAnsi="Times New Roman"/>
                <w:sz w:val="13"/>
                <w:szCs w:val="13"/>
                <w:color w:val="auto"/>
              </w:rPr>
              <w:t>166</w:t>
            </w: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57"/>
              <w:spacing w:after="0" w:line="143" w:lineRule="exact"/>
              <w:rPr>
                <w:sz w:val="20"/>
                <w:szCs w:val="20"/>
                <w:color w:val="auto"/>
              </w:rPr>
            </w:pPr>
            <w:r>
              <w:rPr>
                <w:rFonts w:ascii="Times New Roman" w:cs="Times New Roman" w:eastAsia="Times New Roman" w:hAnsi="Times New Roman"/>
                <w:sz w:val="13"/>
                <w:szCs w:val="13"/>
                <w:color w:val="auto"/>
              </w:rPr>
              <w:t>166</w:t>
            </w:r>
          </w:p>
        </w:tc>
        <w:tc>
          <w:tcPr>
            <w:tcW w:w="0" w:type="dxa"/>
            <w:vAlign w:val="bottom"/>
          </w:tcPr>
          <w:p>
            <w:pPr>
              <w:spacing w:after="0"/>
              <w:rPr>
                <w:sz w:val="1"/>
                <w:szCs w:val="1"/>
                <w:color w:val="auto"/>
              </w:rPr>
            </w:pPr>
          </w:p>
        </w:tc>
      </w:tr>
      <w:tr>
        <w:trPr>
          <w:trHeight w:val="162"/>
        </w:trPr>
        <w:tc>
          <w:tcPr>
            <w:tcW w:w="1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lef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667</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667</w:t>
            </w:r>
          </w:p>
        </w:tc>
        <w:tc>
          <w:tcPr>
            <w:tcW w:w="0" w:type="dxa"/>
            <w:vAlign w:val="bottom"/>
          </w:tcPr>
          <w:p>
            <w:pPr>
              <w:spacing w:after="0"/>
              <w:rPr>
                <w:sz w:val="1"/>
                <w:szCs w:val="1"/>
                <w:color w:val="auto"/>
              </w:rPr>
            </w:pPr>
          </w:p>
        </w:tc>
      </w:tr>
      <w:tr>
        <w:trPr>
          <w:trHeight w:val="117"/>
        </w:trPr>
        <w:tc>
          <w:tcPr>
            <w:tcW w:w="162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7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tcBorders>
              <w:left w:val="single" w:sz="8" w:color="auto"/>
            </w:tcBorders>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5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adjustment,</w:t>
            </w:r>
          </w:p>
        </w:tc>
        <w:tc>
          <w:tcPr>
            <w:tcW w:w="7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tcBorders>
              <w:left w:val="single" w:sz="8" w:color="auto"/>
            </w:tcBorders>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160" w:type="dxa"/>
            <w:vAlign w:val="bottom"/>
            <w:vMerge w:val="restart"/>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269</w:t>
            </w:r>
          </w:p>
        </w:tc>
        <w:tc>
          <w:tcPr>
            <w:tcW w:w="160" w:type="dxa"/>
            <w:vAlign w:val="bottom"/>
            <w:shd w:val="clear" w:color="auto" w:fill="CFF0FC"/>
          </w:tcPr>
          <w:p>
            <w:pPr>
              <w:spacing w:after="0"/>
              <w:rPr>
                <w:sz w:val="11"/>
                <w:szCs w:val="11"/>
                <w:color w:val="auto"/>
              </w:rPr>
            </w:pPr>
          </w:p>
        </w:tc>
        <w:tc>
          <w:tcPr>
            <w:tcW w:w="1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269</w:t>
            </w:r>
          </w:p>
        </w:tc>
        <w:tc>
          <w:tcPr>
            <w:tcW w:w="0" w:type="dxa"/>
            <w:vAlign w:val="bottom"/>
          </w:tcPr>
          <w:p>
            <w:pPr>
              <w:spacing w:after="0"/>
              <w:rPr>
                <w:sz w:val="1"/>
                <w:szCs w:val="1"/>
                <w:color w:val="auto"/>
              </w:rPr>
            </w:pPr>
          </w:p>
        </w:tc>
      </w:tr>
      <w:tr>
        <w:trPr>
          <w:trHeight w:val="167"/>
        </w:trPr>
        <w:tc>
          <w:tcPr>
            <w:tcW w:w="1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net of tax</w:t>
            </w: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tcBorders>
              <w:left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6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lef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2,670</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2,670</w:t>
            </w:r>
          </w:p>
        </w:tc>
        <w:tc>
          <w:tcPr>
            <w:tcW w:w="0" w:type="dxa"/>
            <w:vAlign w:val="bottom"/>
          </w:tcPr>
          <w:p>
            <w:pPr>
              <w:spacing w:after="0"/>
              <w:rPr>
                <w:sz w:val="1"/>
                <w:szCs w:val="1"/>
                <w:color w:val="auto"/>
              </w:rPr>
            </w:pPr>
          </w:p>
        </w:tc>
      </w:tr>
      <w:tr>
        <w:trPr>
          <w:trHeight w:val="162"/>
        </w:trPr>
        <w:tc>
          <w:tcPr>
            <w:tcW w:w="1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Noncontrolling interest</w:t>
            </w:r>
          </w:p>
        </w:tc>
        <w:tc>
          <w:tcPr>
            <w:tcW w:w="780" w:type="dxa"/>
            <w:vAlign w:val="bottom"/>
            <w:tcBorders>
              <w:bottom w:val="single" w:sz="8" w:color="auto"/>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00" w:type="dxa"/>
            <w:vAlign w:val="bottom"/>
            <w:tcBorders>
              <w:left w:val="single" w:sz="8" w:color="auto"/>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54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1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Balances at June 30, 2021</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87,268,694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194,319</w:t>
            </w: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32,096,586</w:t>
            </w:r>
          </w:p>
        </w:tc>
        <w:tc>
          <w:tcPr>
            <w:tcW w:w="2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7,975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(19,835 )</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536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315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(10,985 )</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2178050</wp:posOffset>
            </wp:positionH>
            <wp:positionV relativeFrom="paragraph">
              <wp:posOffset>-4666615</wp:posOffset>
            </wp:positionV>
            <wp:extent cx="34290" cy="136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136525"/>
                    </a:xfrm>
                    <a:prstGeom prst="rect">
                      <a:avLst/>
                    </a:prstGeom>
                    <a:noFill/>
                  </pic:spPr>
                </pic:pic>
              </a:graphicData>
            </a:graphic>
          </wp:anchor>
        </w:drawing>
        <w:drawing>
          <wp:anchor simplePos="0" relativeHeight="251657728" behindDoc="1" locked="0" layoutInCell="0" allowOverlap="1">
            <wp:simplePos x="0" y="0"/>
            <wp:positionH relativeFrom="column">
              <wp:posOffset>2178050</wp:posOffset>
            </wp:positionH>
            <wp:positionV relativeFrom="paragraph">
              <wp:posOffset>-2138045</wp:posOffset>
            </wp:positionV>
            <wp:extent cx="3429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137160"/>
                    </a:xfrm>
                    <a:prstGeom prst="rect">
                      <a:avLst/>
                    </a:prstGeom>
                    <a:noFill/>
                  </pic:spPr>
                </pic:pic>
              </a:graphicData>
            </a:graphic>
          </wp:anchor>
        </w:drawing>
      </w: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interim consolidated financial statements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5</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Cytek Biosciences, Inc</w:t>
      </w:r>
    </w:p>
    <w:p>
      <w:pPr>
        <w:spacing w:after="0" w:line="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93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76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74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(2,860 )</w:t>
            </w:r>
          </w:p>
        </w:tc>
        <w:tc>
          <w:tcPr>
            <w:tcW w:w="5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2,772</w:t>
            </w:r>
          </w:p>
        </w:tc>
        <w:tc>
          <w:tcPr>
            <w:tcW w:w="0" w:type="dxa"/>
            <w:vAlign w:val="bottom"/>
          </w:tcPr>
          <w:p>
            <w:pPr>
              <w:spacing w:after="0"/>
              <w:rPr>
                <w:sz w:val="1"/>
                <w:szCs w:val="1"/>
                <w:color w:val="auto"/>
              </w:rPr>
            </w:pPr>
          </w:p>
        </w:tc>
      </w:tr>
      <w:tr>
        <w:trPr>
          <w:trHeight w:val="171"/>
        </w:trPr>
        <w:tc>
          <w:tcPr>
            <w:tcW w:w="7680" w:type="dxa"/>
            <w:vAlign w:val="bottom"/>
            <w:gridSpan w:val="2"/>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Adjustments to reconcile net (loss) income to net cash (used in) provided by</w:t>
            </w:r>
          </w:p>
        </w:tc>
        <w:tc>
          <w:tcPr>
            <w:tcW w:w="38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76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activities:</w:t>
            </w: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1,659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operating lease-right-of use assets</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1,365</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7,771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1,123</w:t>
            </w: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equity method investment</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16"/>
        </w:trPr>
        <w:tc>
          <w:tcPr>
            <w:tcW w:w="7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38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expenses for accretion of the legal settlement liabilities</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1,047</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16"/>
        </w:trPr>
        <w:tc>
          <w:tcPr>
            <w:tcW w:w="7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(7,964 )</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(6,054 )</w:t>
            </w:r>
          </w:p>
        </w:tc>
        <w:tc>
          <w:tcPr>
            <w:tcW w:w="0" w:type="dxa"/>
            <w:vAlign w:val="bottom"/>
          </w:tcPr>
          <w:p>
            <w:pPr>
              <w:spacing w:after="0"/>
              <w:rPr>
                <w:sz w:val="1"/>
                <w:szCs w:val="1"/>
                <w:color w:val="auto"/>
              </w:rPr>
            </w:pPr>
          </w:p>
        </w:tc>
      </w:tr>
      <w:tr>
        <w:trPr>
          <w:trHeight w:val="216"/>
        </w:trPr>
        <w:tc>
          <w:tcPr>
            <w:tcW w:w="7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(14,355 )</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(3,874 )</w:t>
            </w: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(8,664 )</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(2,557 )</w:t>
            </w:r>
          </w:p>
        </w:tc>
        <w:tc>
          <w:tcPr>
            <w:tcW w:w="0" w:type="dxa"/>
            <w:vAlign w:val="bottom"/>
          </w:tcPr>
          <w:p>
            <w:pPr>
              <w:spacing w:after="0"/>
              <w:rPr>
                <w:sz w:val="1"/>
                <w:szCs w:val="1"/>
                <w:color w:val="auto"/>
              </w:rPr>
            </w:pPr>
          </w:p>
        </w:tc>
      </w:tr>
      <w:tr>
        <w:trPr>
          <w:trHeight w:val="216"/>
        </w:trPr>
        <w:tc>
          <w:tcPr>
            <w:tcW w:w="7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Trade accounts payable</w:t>
            </w:r>
          </w:p>
        </w:tc>
        <w:tc>
          <w:tcPr>
            <w:tcW w:w="38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3,677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2,784</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6"/>
        </w:trPr>
        <w:tc>
          <w:tcPr>
            <w:tcW w:w="7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Legal settlement liabilities</w:t>
            </w:r>
          </w:p>
        </w:tc>
        <w:tc>
          <w:tcPr>
            <w:tcW w:w="38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4,598</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3,923</w:t>
            </w:r>
          </w:p>
        </w:tc>
        <w:tc>
          <w:tcPr>
            <w:tcW w:w="0" w:type="dxa"/>
            <w:vAlign w:val="bottom"/>
          </w:tcPr>
          <w:p>
            <w:pPr>
              <w:spacing w:after="0"/>
              <w:rPr>
                <w:sz w:val="1"/>
                <w:szCs w:val="1"/>
                <w:color w:val="auto"/>
              </w:rPr>
            </w:pPr>
          </w:p>
        </w:tc>
      </w:tr>
      <w:tr>
        <w:trPr>
          <w:trHeight w:val="216"/>
        </w:trPr>
        <w:tc>
          <w:tcPr>
            <w:tcW w:w="7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Lease liabilities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(798 )</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680" w:type="dxa"/>
            <w:vAlign w:val="bottom"/>
            <w:tcBorders>
              <w:bottom w:val="single" w:sz="8" w:color="CFF0FC"/>
            </w:tcBorders>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(10,920 )</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(1,979 )</w:t>
            </w:r>
          </w:p>
        </w:tc>
        <w:tc>
          <w:tcPr>
            <w:tcW w:w="0" w:type="dxa"/>
            <w:vAlign w:val="bottom"/>
          </w:tcPr>
          <w:p>
            <w:pPr>
              <w:spacing w:after="0"/>
              <w:rPr>
                <w:sz w:val="1"/>
                <w:szCs w:val="1"/>
                <w:color w:val="auto"/>
              </w:rPr>
            </w:pPr>
          </w:p>
        </w:tc>
      </w:tr>
      <w:tr>
        <w:trPr>
          <w:trHeight w:val="21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(2,108 )</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(1,760 )</w:t>
            </w:r>
          </w:p>
        </w:tc>
        <w:tc>
          <w:tcPr>
            <w:tcW w:w="0" w:type="dxa"/>
            <w:vAlign w:val="bottom"/>
          </w:tcPr>
          <w:p>
            <w:pPr>
              <w:spacing w:after="0"/>
              <w:rPr>
                <w:sz w:val="1"/>
                <w:szCs w:val="1"/>
                <w:color w:val="auto"/>
              </w:rPr>
            </w:pPr>
          </w:p>
        </w:tc>
      </w:tr>
      <w:tr>
        <w:trPr>
          <w:trHeight w:val="216"/>
        </w:trPr>
        <w:tc>
          <w:tcPr>
            <w:tcW w:w="7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Payment of investment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(1,587 )</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for additional investment in Cytek Japan, net of cash acquired</w:t>
            </w: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10"/>
        </w:trPr>
        <w:tc>
          <w:tcPr>
            <w:tcW w:w="76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(3,695 )</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(1,389 )</w:t>
            </w:r>
          </w:p>
        </w:tc>
        <w:tc>
          <w:tcPr>
            <w:tcW w:w="0" w:type="dxa"/>
            <w:vAlign w:val="bottom"/>
          </w:tcPr>
          <w:p>
            <w:pPr>
              <w:spacing w:after="0"/>
              <w:rPr>
                <w:sz w:val="1"/>
                <w:szCs w:val="1"/>
                <w:color w:val="auto"/>
              </w:rPr>
            </w:pPr>
          </w:p>
        </w:tc>
      </w:tr>
      <w:tr>
        <w:trPr>
          <w:trHeight w:val="210"/>
        </w:trPr>
        <w:tc>
          <w:tcPr>
            <w:tcW w:w="7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Repayment of Paycheck Protection Program loan</w:t>
            </w:r>
          </w:p>
        </w:tc>
        <w:tc>
          <w:tcPr>
            <w:tcW w:w="38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(2,772 )</w:t>
            </w: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of deferred offering cost</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(1,081 )</w:t>
            </w:r>
          </w:p>
        </w:tc>
        <w:tc>
          <w:tcPr>
            <w:tcW w:w="0" w:type="dxa"/>
            <w:vAlign w:val="bottom"/>
          </w:tcPr>
          <w:p>
            <w:pPr>
              <w:spacing w:after="0"/>
              <w:rPr>
                <w:sz w:val="1"/>
                <w:szCs w:val="1"/>
                <w:color w:val="auto"/>
              </w:rPr>
            </w:pPr>
          </w:p>
        </w:tc>
      </w:tr>
      <w:tr>
        <w:trPr>
          <w:trHeight w:val="216"/>
        </w:trPr>
        <w:tc>
          <w:tcPr>
            <w:tcW w:w="7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38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for taxes related to net share settlement of equity awards</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plans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810</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10"/>
        </w:trPr>
        <w:tc>
          <w:tcPr>
            <w:tcW w:w="7680" w:type="dxa"/>
            <w:vAlign w:val="bottom"/>
            <w:tcBorders>
              <w:bottom w:val="single" w:sz="8" w:color="CFF0FC"/>
            </w:tcBorders>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1,508</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(3,536 )</w:t>
            </w:r>
          </w:p>
        </w:tc>
        <w:tc>
          <w:tcPr>
            <w:tcW w:w="0" w:type="dxa"/>
            <w:vAlign w:val="bottom"/>
          </w:tcPr>
          <w:p>
            <w:pPr>
              <w:spacing w:after="0"/>
              <w:rPr>
                <w:sz w:val="1"/>
                <w:szCs w:val="1"/>
                <w:color w:val="auto"/>
              </w:rPr>
            </w:pPr>
          </w:p>
        </w:tc>
      </w:tr>
      <w:tr>
        <w:trPr>
          <w:trHeight w:val="209"/>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(1,617 )</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(14,724 )</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(6,273 )</w:t>
            </w:r>
          </w:p>
        </w:tc>
        <w:tc>
          <w:tcPr>
            <w:tcW w:w="0" w:type="dxa"/>
            <w:vAlign w:val="bottom"/>
          </w:tcPr>
          <w:p>
            <w:pPr>
              <w:spacing w:after="0"/>
              <w:rPr>
                <w:sz w:val="1"/>
                <w:szCs w:val="1"/>
                <w:color w:val="auto"/>
              </w:rPr>
            </w:pPr>
          </w:p>
        </w:tc>
      </w:tr>
      <w:tr>
        <w:trPr>
          <w:trHeight w:val="210"/>
        </w:trPr>
        <w:tc>
          <w:tcPr>
            <w:tcW w:w="76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364,618</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166,119</w:t>
            </w:r>
          </w:p>
        </w:tc>
        <w:tc>
          <w:tcPr>
            <w:tcW w:w="0" w:type="dxa"/>
            <w:vAlign w:val="bottom"/>
          </w:tcPr>
          <w:p>
            <w:pPr>
              <w:spacing w:after="0"/>
              <w:rPr>
                <w:sz w:val="1"/>
                <w:szCs w:val="1"/>
                <w:color w:val="auto"/>
              </w:rPr>
            </w:pPr>
          </w:p>
        </w:tc>
      </w:tr>
      <w:tr>
        <w:trPr>
          <w:trHeight w:val="21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349,894</w:t>
            </w:r>
          </w:p>
        </w:tc>
        <w:tc>
          <w:tcPr>
            <w:tcW w:w="5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159,846</w:t>
            </w:r>
          </w:p>
        </w:tc>
        <w:tc>
          <w:tcPr>
            <w:tcW w:w="0" w:type="dxa"/>
            <w:vAlign w:val="bottom"/>
          </w:tcPr>
          <w:p>
            <w:pPr>
              <w:spacing w:after="0"/>
              <w:rPr>
                <w:sz w:val="1"/>
                <w:szCs w:val="1"/>
                <w:color w:val="auto"/>
              </w:rPr>
            </w:pPr>
          </w:p>
        </w:tc>
      </w:tr>
      <w:tr>
        <w:trPr>
          <w:trHeight w:val="20"/>
        </w:trPr>
        <w:tc>
          <w:tcPr>
            <w:tcW w:w="768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80" w:type="dxa"/>
            <w:vAlign w:val="bottom"/>
            <w:gridSpan w:val="2"/>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Cash paid for taxes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7,657</w:t>
            </w:r>
          </w:p>
        </w:tc>
        <w:tc>
          <w:tcPr>
            <w:tcW w:w="5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2,007</w:t>
            </w:r>
          </w:p>
        </w:tc>
        <w:tc>
          <w:tcPr>
            <w:tcW w:w="0" w:type="dxa"/>
            <w:vAlign w:val="bottom"/>
          </w:tcPr>
          <w:p>
            <w:pPr>
              <w:spacing w:after="0"/>
              <w:rPr>
                <w:sz w:val="1"/>
                <w:szCs w:val="1"/>
                <w:color w:val="auto"/>
              </w:rPr>
            </w:pPr>
          </w:p>
        </w:tc>
      </w:tr>
      <w:tr>
        <w:trPr>
          <w:trHeight w:val="20"/>
        </w:trPr>
        <w:tc>
          <w:tcPr>
            <w:tcW w:w="768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80" w:type="dxa"/>
            <w:vAlign w:val="bottom"/>
            <w:tcBorders>
              <w:bottom w:val="single" w:sz="8" w:color="CFF0FC"/>
            </w:tcBorders>
            <w:gridSpan w:val="2"/>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3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Fixed asset purchases in accounts payable at period end</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251</w:t>
            </w:r>
          </w:p>
        </w:tc>
        <w:tc>
          <w:tcPr>
            <w:tcW w:w="5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0"/>
        </w:trPr>
        <w:tc>
          <w:tcPr>
            <w:tcW w:w="768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80" w:type="dxa"/>
            <w:vAlign w:val="bottom"/>
            <w:tcBorders>
              <w:bottom w:val="single" w:sz="8" w:color="CFF0FC"/>
            </w:tcBorders>
            <w:gridSpan w:val="2"/>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Intangible asset in accrued expenses at period end</w:t>
            </w:r>
          </w:p>
        </w:tc>
        <w:tc>
          <w:tcPr>
            <w:tcW w:w="38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2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7680" w:type="dxa"/>
            <w:vAlign w:val="bottom"/>
            <w:gridSpan w:val="2"/>
          </w:tcPr>
          <w:p>
            <w:pPr>
              <w:ind w:left="200"/>
              <w:spacing w:after="0" w:line="196" w:lineRule="exact"/>
              <w:rPr>
                <w:sz w:val="20"/>
                <w:szCs w:val="20"/>
                <w:color w:val="auto"/>
              </w:rPr>
            </w:pPr>
            <w:r>
              <w:rPr>
                <w:rFonts w:ascii="Times New Roman" w:cs="Times New Roman" w:eastAsia="Times New Roman" w:hAnsi="Times New Roman"/>
                <w:sz w:val="18"/>
                <w:szCs w:val="18"/>
                <w:color w:val="auto"/>
              </w:rPr>
              <w:t>Stock option exercise in accounts receivable at period end</w:t>
            </w:r>
          </w:p>
        </w:tc>
        <w:tc>
          <w:tcPr>
            <w:tcW w:w="38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768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80" w:type="dxa"/>
            <w:vAlign w:val="bottom"/>
            <w:tcBorders>
              <w:bottom w:val="single" w:sz="8" w:color="CFF0FC"/>
            </w:tcBorders>
            <w:gridSpan w:val="2"/>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Deferred financing costs in accounts payable at period end</w:t>
            </w:r>
          </w:p>
        </w:tc>
        <w:tc>
          <w:tcPr>
            <w:tcW w:w="38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1,691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-3514090</wp:posOffset>
            </wp:positionV>
            <wp:extent cx="1200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-2957195</wp:posOffset>
            </wp:positionV>
            <wp:extent cx="1200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-1833880</wp:posOffset>
            </wp:positionV>
            <wp:extent cx="120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-1268095</wp:posOffset>
            </wp:positionV>
            <wp:extent cx="120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-659765</wp:posOffset>
            </wp:positionV>
            <wp:extent cx="120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-351155</wp:posOffset>
            </wp:positionV>
            <wp:extent cx="12001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-334010</wp:posOffset>
            </wp:positionV>
            <wp:extent cx="1200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-25400</wp:posOffset>
            </wp:positionV>
            <wp:extent cx="1200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1200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interim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6</w:t>
      </w:r>
    </w:p>
    <w:p>
      <w:pPr>
        <w:spacing w:after="0" w:line="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Cytek Biosciences, Inc.</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84" w:lineRule="exact"/>
        <w:rPr>
          <w:sz w:val="20"/>
          <w:szCs w:val="20"/>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Cytek Biosciences, Inc. (“Cytek” or the “Company”) is a leading cell analysis solutions company advancing the next generation of cell analysis tools by leveraging novel technical approaches. The Company has focused on becoming the premier cell analysis company through continued innovation that facilitates scientific advances in biomedical research and clinical applications.</w:t>
      </w:r>
    </w:p>
    <w:p>
      <w:pPr>
        <w:spacing w:after="0" w:line="142"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The Company has successfully developed and manufactured its full spectrum flow cytometry platform (“instrument(s)” or “product(s)”). The Company believes its core instruments, the Aurora and Northern Lights systems, are the first full spectrum flow cytometers able to deliver high-resolution, high-content and high-sensitivity cell analysis by utilizing the full spectrum of fluorescence signatures from multiple lasers to distinguish fluorescent tags on single cells (“Full Spectrum Profiling” or “FSP”). The Company’s FSP platform includes instruments, accessories, reagents, software, and services to provide a comprehensive and integrated suite of solutions for its customers.</w:t>
      </w:r>
    </w:p>
    <w:p>
      <w:pPr>
        <w:spacing w:after="0" w:line="154"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was incorporated in the state of Delaware in December 2014 and is headquartered in Fremont, California with offices, manufacturing facilities and distribution channels across the globe.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89"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In July 2021, the Company priced its initial public offering (“IPO”) of 13,949,401 shares of common stock, which included the full exercise by the underwriters of their option to purchase an additional 2,184,695 shares from the Company, at an initial public offering price of $17.00 per share for gross proceeds of $237.1 million, which resulted in net proceeds to the Company of approximately $215.7 million, after deducting underwriting discounts and commissions of approximately $17.3 million and offering-related transaction costs of approximately $5.3 million. In addition, certain selling stockholders offered and sold an additional 2,799,929 shares or common stock in the IPO. The Company did not receive any proceeds from the sale of such shares by the selling stockholders.</w:t>
      </w:r>
    </w:p>
    <w:p>
      <w:pPr>
        <w:spacing w:after="0" w:line="155"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In addition, in connection with the completion of the IPO on July 27, 2021, all outstanding shares of convertible preferred stock (see Note 11) were automatically converted into 87,268,694 shares of the Company’s common stock and were reclassified as permanent equity. Further, immediately following the closing of the IPO, the Company amended and restated its certificate of incorporation such that the total number of shares of common stock authorized to be issued was 1,000,000,000 and the total number of shares of preferred stock authorized to be issued was 10,000,000. Following the IPO, there are no shares of convertible preferred stock outstanding</w:t>
      </w:r>
      <w:r>
        <w:rPr>
          <w:rFonts w:ascii="Times New Roman" w:cs="Times New Roman" w:eastAsia="Times New Roman" w:hAnsi="Times New Roman"/>
          <w:sz w:val="21"/>
          <w:szCs w:val="21"/>
          <w:color w:val="auto"/>
        </w:rPr>
        <w:t>.</w:t>
      </w:r>
    </w:p>
    <w:p>
      <w:pPr>
        <w:spacing w:after="0" w:line="151"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w:t>
      </w:r>
    </w:p>
    <w:p>
      <w:pPr>
        <w:spacing w:after="0" w:line="121"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The Company has prepared the accompanying unaudited interim consolidated financial statements in accordance with accounting principles generally accepted in the United States of America (“U.S. GAAP”). Any reference in these notes to applicable guidance is meant to refer to the authoritative U.S. GAAP as found in the Accounting Standards Codification (“ASC”) and Accounting Standards Updates (“ASUs”) of the Financial Accounting Standards Board (“FASB”).</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89"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The unaudited interim consolidated financial statements include the accounts of Cytek Biosciences, Inc., its wholly-owned subsidiaries, Cytek Limited (HK), Cytek Biosciences B.V. (Europe), Cytek (Shanghai) Biosciences Co., Ltd., Cytek Biosciences (Wuxi) Co., Ltd., Cytoville Biosciences Shanghai Co., Ltd. and Cytek (Shanghai) Software Development Technology Co., Ltd. and its majority-owned subsidiary, Cytek Japan Kabushiki Kaisha (“Cytek Japan”). The noncontrolling interest is presented in stockholders’ equity in the consolidated balance sheets and consolidated statements of redeemable convertible preferred stock and stockholders’ equity (deficit). All intercompany accounts and transactions have been eliminated in consolidation.</w:t>
      </w:r>
    </w:p>
    <w:p>
      <w:pPr>
        <w:spacing w:after="0" w:line="153"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On July 16, 2021, the Company effected a 1.3333-for-1 stock split of its common stock and redeemable convertible preferred stock (the “Stock Split”). All share and per share information has been retroactively adjusted to reflect the Stock Split for all periods presented.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 and voting interest entities</w:t>
      </w:r>
    </w:p>
    <w:p>
      <w:pPr>
        <w:spacing w:after="0" w:line="189"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The Company determines whether it has a controlling financial interest in an entity by first evaluating whether the entity is a variable interest entity (“VIE”) and therefore subject to the consolidation requirements under the VIE model. Only if the entity does not meet the definition of a VIE, the Company will apply the voting interest model (“VOE”) or other applicable GAAP. VOEs are entities in which the total equity investment at risk is sufficient to enable the entity to finance itself independently and provides the equity holders with the obligation to absorb losses, the right to receive residual returns and the right to make decisions about the entity’s activities. The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7</w:t>
      </w:r>
    </w:p>
    <w:p>
      <w:pPr>
        <w:spacing w:after="0" w:line="10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Company consolidates VOEs in which it has greater than 50% of the voting shares and that other equity holders do not have substantive voting, participating or liquidation rights. As defined in applicable accounting standards, VIEs are entities that lack one or more of the characteristics of a voting interest entity. A controlling financial interest in a VIE is present when an enterprise has both the power to direct the activities of the VIE that most significantly impact the VIE’s economic performance and an obligation to absorb losses or the right to receive benefits that could potentially be significant to the VIE. The Company consolidates a VIE where it has been determined that the Company is the primary beneficiary of the entity’s operations. The Company does not currently hold an interest in a VIE.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The preparation of the unaudited interim consolidated financial statements in conformity with U.S. GAAP requires management to make estimates and assumptions that affect the reported amounts of assets, liabilities, revenue and expenses and the disclosure of contingent assets and liabilities in the Company’s unaudited interim consolidated financial statements and accompanying notes as of the date of the unaudited interim consolidated financial statements.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189"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The global COVID-19 pandemic continues to evolve and the Company intends to continue to monitor it closely. In response to the COVID-19 pandemic and various resulting government directives, the Company took proactive measures to protect the health and safety of its employees, contractors, customers and visiting vendors and suppliers, including implementing social distancing and other protective measures, restricting business travel and limiting access to its facilities to vendors, suppliers and partners who are critical to its business operations. The Company communicates regularly with its suppliers so that its supply chain remains intact, and the Company has not experienced any material supply issues. The Company also developed, and continues to develop, remote learning capabilities to help its customers and partners operate and reduce the number of required customer/partner on-site visits for its field application scientists and field support engineers to comply with travel restrictions and country-specific quarantine requirements. While the COVID-19 pandemic has not had a material adverse effect on the Company's business, results of operations or the operation of financial reporting systems, internal control over financial reporting and disclosure controls and procedures, given the considerable uncertainty around the duration and extent of the pandemic, including the resurgence of infections or new strains of the virus, the related financial and operational impact cannot be reasonably estimated. The Company continues to monitor the implications of the COVID-19 pandemic on its business, as well as its customers’ and suppliers’ business. Potential impacts of the COVID-19 pandemic, some of which the Company has already experienced, include those described throughout the “Risk Factors” section, including “A pandemic, epidemic or outbreak of an infectious disease in the United States or worldwide could adversely affect our business. The COVID-19 pandemic has had and could continue to have an adverse impact on our business, operations, and the markets and communities in which we, our partners, and customers operate."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segments</w:t>
      </w:r>
    </w:p>
    <w:p>
      <w:pPr>
        <w:spacing w:after="0" w:line="189"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Company’s Chief Executive Officer, who is the chief operating decision maker, reviews financial information on an aggregate basis for allocating and evaluating financial performance. The Company operates and manages its business as one reportable and operating segment.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transactions</w:t>
      </w:r>
    </w:p>
    <w:p>
      <w:pPr>
        <w:spacing w:after="0" w:line="189"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The Company has determined that the functional and reporting currency for its operations across the globe is the functional currency of the Company’s international subsidiaries. Accordingly, all foreign balance sheet accounts have been translated into U.S. dollars using the rate of exchange at the respective balance sheet date. Components of the unaudited interim consolidated statements of operations and comprehensive income have been translated at the average exchange rate for the year or the reporting period. Translation gains and losses are recorded in accumulated other comprehensive income as a component of stockholders’ equity. Gains or losses arising from currency exchange rate fluctuations on transactions denominated in a currency other than the local functional currency are included in the unaudited interim consolidated statements of operations and comprehensive income.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 maturity of three months or less when purchased to be cash equivalents. Cash equivalents are carried at cost, which approximates fair value.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8</w:t>
      </w:r>
    </w:p>
    <w:p>
      <w:pPr>
        <w:spacing w:after="0" w:line="104"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The Company’s cash and cash equivalents consist of money held in demand depositary accounts and money market funds. The carrying amount of cash and cash equivalents was $349.9 million and $364.6 million as of June 30, 2022 and December 31, 2021, respectively, which approximates fair value and was determined based upon Level 1 inputs. The money market account is valued using quoted market prices with no valuation adjustments applied and is categorized as Level 1. The Company limits its credit risk associated with cash and cash equivalents by maintaining its bank accounts at major and reputable financial institutions. The Company’s cash and cash equivalents balance exceeded the federally insured limit of $250,000 as of June 30, 2022 and December 31, 2021.</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cash and cash equivalents on the consolidated balance sheets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060" w:type="dxa"/>
            <w:vAlign w:val="bottom"/>
          </w:tcPr>
          <w:p>
            <w:pPr>
              <w:spacing w:after="0"/>
              <w:rPr>
                <w:sz w:val="16"/>
                <w:szCs w:val="16"/>
                <w:color w:val="auto"/>
              </w:rPr>
            </w:pP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7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260" w:type="dxa"/>
            <w:vAlign w:val="bottom"/>
            <w:shd w:val="clear" w:color="auto" w:fill="CFF0FC"/>
          </w:tcPr>
          <w:p>
            <w:pPr>
              <w:jc w:val="right"/>
              <w:ind w:right="105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10,673</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18,939</w:t>
            </w:r>
          </w:p>
        </w:tc>
        <w:tc>
          <w:tcPr>
            <w:tcW w:w="0" w:type="dxa"/>
            <w:vAlign w:val="bottom"/>
          </w:tcPr>
          <w:p>
            <w:pPr>
              <w:spacing w:after="0"/>
              <w:rPr>
                <w:sz w:val="1"/>
                <w:szCs w:val="1"/>
                <w:color w:val="auto"/>
              </w:rPr>
            </w:pPr>
          </w:p>
        </w:tc>
      </w:tr>
      <w:tr>
        <w:trPr>
          <w:trHeight w:val="216"/>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26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327,272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345,679</w:t>
            </w:r>
          </w:p>
        </w:tc>
        <w:tc>
          <w:tcPr>
            <w:tcW w:w="0" w:type="dxa"/>
            <w:vAlign w:val="bottom"/>
          </w:tcPr>
          <w:p>
            <w:pPr>
              <w:spacing w:after="0"/>
              <w:rPr>
                <w:sz w:val="1"/>
                <w:szCs w:val="1"/>
                <w:color w:val="auto"/>
              </w:rPr>
            </w:pPr>
          </w:p>
        </w:tc>
      </w:tr>
      <w:tr>
        <w:trPr>
          <w:trHeight w:val="216"/>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2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11,949</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4"/>
        </w:trPr>
        <w:tc>
          <w:tcPr>
            <w:tcW w:w="706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Total cash and cash equivalents as presented on the</w:t>
            </w:r>
          </w:p>
        </w:tc>
        <w:tc>
          <w:tcPr>
            <w:tcW w:w="1260" w:type="dxa"/>
            <w:vAlign w:val="bottom"/>
            <w:vMerge w:val="restart"/>
          </w:tcPr>
          <w:p>
            <w:pPr>
              <w:jc w:val="right"/>
              <w:ind w:right="105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349,894</w:t>
            </w:r>
          </w:p>
        </w:tc>
        <w:tc>
          <w:tcPr>
            <w:tcW w:w="48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vMerge w:val="restart"/>
          </w:tcPr>
          <w:p>
            <w:pPr>
              <w:jc w:val="right"/>
              <w:ind w:right="36"/>
              <w:spacing w:after="0"/>
              <w:rPr>
                <w:sz w:val="20"/>
                <w:szCs w:val="20"/>
                <w:color w:val="auto"/>
              </w:rPr>
            </w:pPr>
            <w:r>
              <w:rPr>
                <w:rFonts w:ascii="Times New Roman" w:cs="Times New Roman" w:eastAsia="Times New Roman" w:hAnsi="Times New Roman"/>
                <w:sz w:val="18"/>
                <w:szCs w:val="18"/>
                <w:color w:val="auto"/>
              </w:rPr>
              <w:t>364,618</w:t>
            </w:r>
          </w:p>
        </w:tc>
        <w:tc>
          <w:tcPr>
            <w:tcW w:w="0" w:type="dxa"/>
            <w:vAlign w:val="bottom"/>
          </w:tcPr>
          <w:p>
            <w:pPr>
              <w:spacing w:after="0"/>
              <w:rPr>
                <w:sz w:val="1"/>
                <w:szCs w:val="1"/>
                <w:color w:val="auto"/>
              </w:rPr>
            </w:pPr>
          </w:p>
        </w:tc>
      </w:tr>
      <w:tr>
        <w:trPr>
          <w:trHeight w:val="194"/>
        </w:trPr>
        <w:tc>
          <w:tcPr>
            <w:tcW w:w="706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consolidated statements of cash flows</w:t>
            </w:r>
          </w:p>
        </w:tc>
        <w:tc>
          <w:tcPr>
            <w:tcW w:w="12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-265430</wp:posOffset>
            </wp:positionV>
            <wp:extent cx="1028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accounts receivable, net</w:t>
      </w:r>
    </w:p>
    <w:p>
      <w:pPr>
        <w:spacing w:after="0" w:line="189"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Trade accounts receivable are recorded at the invoiced amount and do not bear interest. The Company maintains an allowance for doubtful accounts for estimated losses inherent in its accounts receivable portfolio. In establishing the required allowance, management considers historical losses adjusted to take into account current market conditions and the Company’s customers’ respective financial conditions, the amounts of receivables in dispute and the current receivables aging and current payment patterns. To the extent identified, account balances are charged off against the allowance after all means of collection have been exhausted and the potential for recovery is considered remote. To date, the Company’s customers have primarily been large pharmaceutical companies, biopharmaceutical companies, leading academic research centers and clinical research organizations and therefore, the Company has not had any material write-offs or allowance for doubtful accounts for the presented periods. The following is a summary of the accounts receivables allowance for doubtful accounts for the six months ended June 30, 2022 and the year ended December 31, 2021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Allowance for doubtful accounts</w:t>
            </w:r>
          </w:p>
        </w:tc>
        <w:tc>
          <w:tcPr>
            <w:tcW w:w="10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6"/>
        </w:trPr>
        <w:tc>
          <w:tcPr>
            <w:tcW w:w="8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8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 during the period</w:t>
            </w:r>
          </w:p>
        </w:tc>
        <w:tc>
          <w:tcPr>
            <w:tcW w:w="104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Utilization of allowance for doubtful accounts</w:t>
            </w:r>
          </w:p>
        </w:tc>
        <w:tc>
          <w:tcPr>
            <w:tcW w:w="10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(172 )</w:t>
            </w:r>
          </w:p>
        </w:tc>
      </w:tr>
      <w:tr>
        <w:trPr>
          <w:trHeight w:val="210"/>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 during the period</w:t>
            </w:r>
          </w:p>
        </w:tc>
        <w:tc>
          <w:tcPr>
            <w:tcW w:w="104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Utilization of allowance for doubtful accounts</w:t>
            </w:r>
          </w:p>
        </w:tc>
        <w:tc>
          <w:tcPr>
            <w:tcW w:w="10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9"/>
        </w:trPr>
        <w:tc>
          <w:tcPr>
            <w:tcW w:w="8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89"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Inventories are stated at the lower of cost and net realizable value. Cost is computed using standard cost, which approximates actual cost on a first-in, first-out basis. Inventory that is obsolete or in excess of forecasted usage is written down to its estimated net realizable value based on assumptions about future demand and market conditions. Inventory write-downs are charged to cost of sales and establish a new cost basis for the inventory. Inventories include raw materials, work-in-process and finished goods.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Property and equipment are recorded at cost, net of accumulated depreciation. Depreciation is recorded using the straight-line method based on the estimated useful lives of the depreciable property or, for leasehold improvements, the remaining term of the lease, whichever is shorter. Assets not yet placed in use are not depreciated. The Company’s estimated useful lives of its property and equipment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400" w:type="dxa"/>
            <w:vAlign w:val="bottom"/>
            <w:gridSpan w:val="2"/>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rPr>
              <w:t>Estimated Useful Lives</w:t>
            </w:r>
          </w:p>
        </w:tc>
      </w:tr>
      <w:tr>
        <w:trPr>
          <w:trHeight w:val="21"/>
        </w:trPr>
        <w:tc>
          <w:tcPr>
            <w:tcW w:w="3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6"/>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900" w:type="dxa"/>
            <w:vAlign w:val="bottom"/>
            <w:shd w:val="clear" w:color="auto" w:fill="CFF0FC"/>
          </w:tcPr>
          <w:p>
            <w:pPr>
              <w:spacing w:after="0"/>
              <w:rPr>
                <w:sz w:val="18"/>
                <w:szCs w:val="18"/>
                <w:color w:val="auto"/>
              </w:rPr>
            </w:pPr>
          </w:p>
        </w:tc>
        <w:tc>
          <w:tcPr>
            <w:tcW w:w="3400" w:type="dxa"/>
            <w:vAlign w:val="bottom"/>
            <w:gridSpan w:val="2"/>
            <w:shd w:val="clear" w:color="auto" w:fill="CFF0FC"/>
          </w:tcPr>
          <w:p>
            <w:pPr>
              <w:jc w:val="center"/>
              <w:ind w:right="1620"/>
              <w:spacing w:after="0"/>
              <w:rPr>
                <w:sz w:val="20"/>
                <w:szCs w:val="20"/>
                <w:color w:val="auto"/>
              </w:rPr>
            </w:pPr>
            <w:r>
              <w:rPr>
                <w:rFonts w:ascii="Times New Roman" w:cs="Times New Roman" w:eastAsia="Times New Roman" w:hAnsi="Times New Roman"/>
                <w:sz w:val="18"/>
                <w:szCs w:val="18"/>
                <w:color w:val="auto"/>
                <w:w w:val="97"/>
              </w:rPr>
              <w:t>7 years</w:t>
            </w:r>
          </w:p>
        </w:tc>
      </w:tr>
      <w:tr>
        <w:trPr>
          <w:trHeight w:val="21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3900" w:type="dxa"/>
            <w:vAlign w:val="bottom"/>
          </w:tcPr>
          <w:p>
            <w:pPr>
              <w:spacing w:after="0"/>
              <w:rPr>
                <w:sz w:val="18"/>
                <w:szCs w:val="18"/>
                <w:color w:val="auto"/>
              </w:rPr>
            </w:pPr>
          </w:p>
        </w:tc>
        <w:tc>
          <w:tcPr>
            <w:tcW w:w="3400" w:type="dxa"/>
            <w:vAlign w:val="bottom"/>
            <w:gridSpan w:val="2"/>
          </w:tcPr>
          <w:p>
            <w:pPr>
              <w:jc w:val="center"/>
              <w:ind w:right="1620"/>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16"/>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3900" w:type="dxa"/>
            <w:vAlign w:val="bottom"/>
            <w:shd w:val="clear" w:color="auto" w:fill="CFF0FC"/>
          </w:tcPr>
          <w:p>
            <w:pPr>
              <w:spacing w:after="0"/>
              <w:rPr>
                <w:sz w:val="18"/>
                <w:szCs w:val="18"/>
                <w:color w:val="auto"/>
              </w:rPr>
            </w:pPr>
          </w:p>
        </w:tc>
        <w:tc>
          <w:tcPr>
            <w:tcW w:w="3400" w:type="dxa"/>
            <w:vAlign w:val="bottom"/>
            <w:gridSpan w:val="2"/>
            <w:shd w:val="clear" w:color="auto" w:fill="CFF0FC"/>
          </w:tcPr>
          <w:p>
            <w:pPr>
              <w:jc w:val="center"/>
              <w:ind w:right="1620"/>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23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7300" w:type="dxa"/>
            <w:vAlign w:val="bottom"/>
            <w:gridSpan w:val="3"/>
          </w:tcPr>
          <w:p>
            <w:pPr>
              <w:jc w:val="center"/>
              <w:ind w:left="2190"/>
              <w:spacing w:after="0"/>
              <w:rPr>
                <w:sz w:val="20"/>
                <w:szCs w:val="20"/>
                <w:color w:val="auto"/>
              </w:rPr>
            </w:pPr>
            <w:r>
              <w:rPr>
                <w:rFonts w:ascii="Times New Roman" w:cs="Times New Roman" w:eastAsia="Times New Roman" w:hAnsi="Times New Roman"/>
                <w:sz w:val="18"/>
                <w:szCs w:val="18"/>
                <w:color w:val="auto"/>
              </w:rPr>
              <w:t>Shorter of expected lease term or estimated useful life</w:t>
            </w:r>
          </w:p>
        </w:tc>
      </w:tr>
      <w:tr>
        <w:trPr>
          <w:trHeight w:val="549"/>
        </w:trPr>
        <w:tc>
          <w:tcPr>
            <w:tcW w:w="3940" w:type="dxa"/>
            <w:vAlign w:val="bottom"/>
          </w:tcPr>
          <w:p>
            <w:pPr>
              <w:spacing w:after="0"/>
              <w:rPr>
                <w:sz w:val="24"/>
                <w:szCs w:val="24"/>
                <w:color w:val="auto"/>
              </w:rPr>
            </w:pPr>
          </w:p>
        </w:tc>
        <w:tc>
          <w:tcPr>
            <w:tcW w:w="3900" w:type="dxa"/>
            <w:vAlign w:val="bottom"/>
          </w:tcPr>
          <w:p>
            <w:pPr>
              <w:jc w:val="right"/>
              <w:ind w:right="2090"/>
              <w:spacing w:after="0"/>
              <w:rPr>
                <w:sz w:val="20"/>
                <w:szCs w:val="20"/>
                <w:color w:val="auto"/>
              </w:rPr>
            </w:pPr>
            <w:r>
              <w:rPr>
                <w:rFonts w:ascii="Times New Roman" w:cs="Times New Roman" w:eastAsia="Times New Roman" w:hAnsi="Times New Roman"/>
                <w:sz w:val="18"/>
                <w:szCs w:val="18"/>
                <w:color w:val="auto"/>
              </w:rPr>
              <w:t>8</w:t>
            </w:r>
          </w:p>
        </w:tc>
        <w:tc>
          <w:tcPr>
            <w:tcW w:w="17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01"/>
        </w:trPr>
        <w:tc>
          <w:tcPr>
            <w:tcW w:w="3940" w:type="dxa"/>
            <w:vAlign w:val="bottom"/>
            <w:tcBorders>
              <w:bottom w:val="single" w:sz="8" w:color="9A9A9A"/>
            </w:tcBorders>
          </w:tcPr>
          <w:p>
            <w:pPr>
              <w:spacing w:after="0"/>
              <w:rPr>
                <w:sz w:val="8"/>
                <w:szCs w:val="8"/>
                <w:color w:val="auto"/>
              </w:rPr>
            </w:pPr>
          </w:p>
        </w:tc>
        <w:tc>
          <w:tcPr>
            <w:tcW w:w="390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9</w:t>
      </w:r>
    </w:p>
    <w:p>
      <w:pPr>
        <w:spacing w:after="0" w:line="77"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Upon sale or retirement of the assets, the cost and related accumulated depreciation are removed from the accounts and the resulting gain or loss is recognized in the consolidated statement of operations and comprehensive income. Expenditures for general maintenance and repairs are expensed as incurred.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 net</w:t>
      </w:r>
    </w:p>
    <w:p>
      <w:pPr>
        <w:spacing w:after="0" w:line="175"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 xml:space="preserve">In July 2015, the Company entered into a purchase agreement with Cytek Development Technology (“Cytek Tech”) involving the acquisition of substantially all assets of Cytek Tech for the aggregate purchase amount of $900,000 in cash and the assumption of Cytek Tech liabilities. The Company recorded goodwill of $476,000 and intangible assets of $476,000 at the transaction date. The addition of goodwill in 2021 is discussed in Note 8, </w:t>
      </w:r>
      <w:r>
        <w:rPr>
          <w:rFonts w:ascii="Times New Roman" w:cs="Times New Roman" w:eastAsia="Times New Roman" w:hAnsi="Times New Roman"/>
          <w:sz w:val="18"/>
          <w:szCs w:val="18"/>
          <w:i w:val="1"/>
          <w:iCs w:val="1"/>
          <w:color w:val="auto"/>
        </w:rPr>
        <w:t>Acquisition</w:t>
      </w:r>
      <w:r>
        <w:rPr>
          <w:rFonts w:ascii="Times New Roman" w:cs="Times New Roman" w:eastAsia="Times New Roman" w:hAnsi="Times New Roman"/>
          <w:sz w:val="18"/>
          <w:szCs w:val="18"/>
          <w:color w:val="auto"/>
        </w:rPr>
        <w:t>.</w:t>
      </w:r>
    </w:p>
    <w:p>
      <w:pPr>
        <w:spacing w:after="0" w:line="15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net tangible and identifiable intangible assets acquired in a business combination. Intangible assets resulting from the acquisition of entities are estimated by management based on the fair value of assets received. Intangible assets are amortized on a straight-line basis over the estimated useful lives. The Company’s estimated useful lives of its intangible assets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40" w:type="dxa"/>
            <w:vAlign w:val="bottom"/>
          </w:tcPr>
          <w:p>
            <w:pPr>
              <w:spacing w:after="0"/>
              <w:rPr>
                <w:sz w:val="17"/>
                <w:szCs w:val="17"/>
                <w:color w:val="auto"/>
              </w:rPr>
            </w:pPr>
          </w:p>
        </w:tc>
        <w:tc>
          <w:tcPr>
            <w:tcW w:w="3400" w:type="dxa"/>
            <w:vAlign w:val="bottom"/>
            <w:gridSpan w:val="2"/>
          </w:tcPr>
          <w:p>
            <w:pPr>
              <w:jc w:val="center"/>
              <w:ind w:right="1640"/>
              <w:spacing w:after="0"/>
              <w:rPr>
                <w:sz w:val="20"/>
                <w:szCs w:val="20"/>
                <w:color w:val="auto"/>
              </w:rPr>
            </w:pPr>
            <w:r>
              <w:rPr>
                <w:rFonts w:ascii="Times New Roman" w:cs="Times New Roman" w:eastAsia="Times New Roman" w:hAnsi="Times New Roman"/>
                <w:sz w:val="18"/>
                <w:szCs w:val="18"/>
                <w:b w:val="1"/>
                <w:bCs w:val="1"/>
                <w:color w:val="auto"/>
                <w:w w:val="99"/>
              </w:rPr>
              <w:t>Estimated Useful Lives</w:t>
            </w:r>
          </w:p>
        </w:tc>
      </w:tr>
      <w:tr>
        <w:trPr>
          <w:trHeight w:val="21"/>
        </w:trPr>
        <w:tc>
          <w:tcPr>
            <w:tcW w:w="7840" w:type="dxa"/>
            <w:vAlign w:val="bottom"/>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16"/>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Patent</w:t>
            </w:r>
          </w:p>
        </w:tc>
        <w:tc>
          <w:tcPr>
            <w:tcW w:w="3400" w:type="dxa"/>
            <w:vAlign w:val="bottom"/>
            <w:gridSpan w:val="2"/>
            <w:shd w:val="clear" w:color="auto" w:fill="CFF0FC"/>
          </w:tcPr>
          <w:p>
            <w:pPr>
              <w:jc w:val="center"/>
              <w:ind w:right="1640"/>
              <w:spacing w:after="0"/>
              <w:rPr>
                <w:sz w:val="20"/>
                <w:szCs w:val="20"/>
                <w:color w:val="auto"/>
              </w:rPr>
            </w:pPr>
            <w:r>
              <w:rPr>
                <w:rFonts w:ascii="Times New Roman" w:cs="Times New Roman" w:eastAsia="Times New Roman" w:hAnsi="Times New Roman"/>
                <w:sz w:val="18"/>
                <w:szCs w:val="18"/>
                <w:color w:val="auto"/>
                <w:w w:val="99"/>
              </w:rPr>
              <w:t>20 years</w:t>
            </w:r>
          </w:p>
        </w:tc>
      </w:tr>
      <w:tr>
        <w:trPr>
          <w:trHeight w:val="216"/>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3400" w:type="dxa"/>
            <w:vAlign w:val="bottom"/>
            <w:gridSpan w:val="2"/>
          </w:tcPr>
          <w:p>
            <w:pPr>
              <w:jc w:val="center"/>
              <w:ind w:right="1640"/>
              <w:spacing w:after="0"/>
              <w:rPr>
                <w:sz w:val="20"/>
                <w:szCs w:val="20"/>
                <w:color w:val="auto"/>
              </w:rPr>
            </w:pPr>
            <w:r>
              <w:rPr>
                <w:rFonts w:ascii="Times New Roman" w:cs="Times New Roman" w:eastAsia="Times New Roman" w:hAnsi="Times New Roman"/>
                <w:sz w:val="18"/>
                <w:szCs w:val="18"/>
                <w:color w:val="auto"/>
                <w:w w:val="99"/>
              </w:rPr>
              <w:t>10 years</w:t>
            </w:r>
          </w:p>
        </w:tc>
      </w:tr>
      <w:tr>
        <w:trPr>
          <w:trHeight w:val="216"/>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3400" w:type="dxa"/>
            <w:vAlign w:val="bottom"/>
            <w:gridSpan w:val="2"/>
            <w:shd w:val="clear" w:color="auto" w:fill="CFF0FC"/>
          </w:tcPr>
          <w:p>
            <w:pPr>
              <w:jc w:val="center"/>
              <w:ind w:right="1640"/>
              <w:spacing w:after="0"/>
              <w:rPr>
                <w:sz w:val="20"/>
                <w:szCs w:val="20"/>
                <w:color w:val="auto"/>
              </w:rPr>
            </w:pPr>
            <w:r>
              <w:rPr>
                <w:rFonts w:ascii="Times New Roman" w:cs="Times New Roman" w:eastAsia="Times New Roman" w:hAnsi="Times New Roman"/>
                <w:sz w:val="18"/>
                <w:szCs w:val="18"/>
                <w:color w:val="auto"/>
              </w:rPr>
              <w:t>4 years</w:t>
            </w:r>
          </w:p>
        </w:tc>
      </w:tr>
      <w:tr>
        <w:trPr>
          <w:trHeight w:val="216"/>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w:t>
            </w:r>
          </w:p>
        </w:tc>
        <w:tc>
          <w:tcPr>
            <w:tcW w:w="3400" w:type="dxa"/>
            <w:vAlign w:val="bottom"/>
            <w:gridSpan w:val="2"/>
          </w:tcPr>
          <w:p>
            <w:pPr>
              <w:jc w:val="center"/>
              <w:ind w:right="1640"/>
              <w:spacing w:after="0"/>
              <w:rPr>
                <w:sz w:val="20"/>
                <w:szCs w:val="20"/>
                <w:color w:val="auto"/>
              </w:rPr>
            </w:pPr>
            <w:r>
              <w:rPr>
                <w:rFonts w:ascii="Times New Roman" w:cs="Times New Roman" w:eastAsia="Times New Roman" w:hAnsi="Times New Roman"/>
                <w:sz w:val="18"/>
                <w:szCs w:val="18"/>
                <w:color w:val="auto"/>
              </w:rPr>
              <w:t>7 years</w:t>
            </w:r>
          </w:p>
        </w:tc>
      </w:tr>
      <w:tr>
        <w:trPr>
          <w:trHeight w:val="216"/>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Reagent licenses</w:t>
            </w:r>
          </w:p>
        </w:tc>
        <w:tc>
          <w:tcPr>
            <w:tcW w:w="3400" w:type="dxa"/>
            <w:vAlign w:val="bottom"/>
            <w:gridSpan w:val="2"/>
            <w:shd w:val="clear" w:color="auto" w:fill="CFF0FC"/>
          </w:tcPr>
          <w:p>
            <w:pPr>
              <w:jc w:val="center"/>
              <w:ind w:right="1640"/>
              <w:spacing w:after="0"/>
              <w:rPr>
                <w:sz w:val="20"/>
                <w:szCs w:val="20"/>
                <w:color w:val="auto"/>
              </w:rPr>
            </w:pPr>
            <w:r>
              <w:rPr>
                <w:rFonts w:ascii="Times New Roman" w:cs="Times New Roman" w:eastAsia="Times New Roman" w:hAnsi="Times New Roman"/>
                <w:sz w:val="18"/>
                <w:szCs w:val="18"/>
                <w:color w:val="auto"/>
              </w:rPr>
              <w:t>7 years</w:t>
            </w:r>
          </w:p>
        </w:tc>
      </w:tr>
      <w:tr>
        <w:trPr>
          <w:trHeight w:val="234"/>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IP license</w:t>
            </w:r>
          </w:p>
        </w:tc>
        <w:tc>
          <w:tcPr>
            <w:tcW w:w="3400" w:type="dxa"/>
            <w:vAlign w:val="bottom"/>
            <w:gridSpan w:val="2"/>
          </w:tcPr>
          <w:p>
            <w:pPr>
              <w:jc w:val="center"/>
              <w:ind w:right="1640"/>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Impairment of Long-Lived Assets</w:t>
      </w:r>
    </w:p>
    <w:p>
      <w:pPr>
        <w:spacing w:after="0" w:line="189"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Long-lived assets with finite lives include property and equipment and acquired intangible assets. The Company evaluates long-lived assets, including acquired intangible assets for impairment whenever events or changes in circumstances indicate that the carrying amount of an asset may not be recoverable. Recoverability of assets held and used is measured by comparison of the carrying amount of an asset or an asset group to estimated undiscounted future net cash flows expected to be generated by the asset or asset group. If the carrying amount of an asset exceeds these estimated future cash flows, an impairment charge is recognized by the amount by which the carrying amount of the assets exceeds the fair value of the asset or asset group.</w:t>
      </w:r>
    </w:p>
    <w:p>
      <w:pPr>
        <w:spacing w:after="0" w:line="357"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Goodwill and indefinite-lived intangible assets are not amortized but rather tested for impairment at least annually in the fourth quarter, or more frequently if events or changes in circumstances indicate that impairment may exist. Goodwill impairment is recognized when the quantitative assessment results in the carrying value of the reporting unit exceeding its fair value, in which case an impairment charge is recorded to goodwill to the extent the carrying value exceeds the fair value, limited to the amount of goodwill. The Company did not recognize any impairment of goodwill for all periods presented.</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75"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171" w:lineRule="exact"/>
        <w:rPr>
          <w:sz w:val="20"/>
          <w:szCs w:val="20"/>
          <w:color w:val="auto"/>
        </w:rPr>
      </w:pPr>
    </w:p>
    <w:p>
      <w:pPr>
        <w:jc w:val="both"/>
        <w:ind w:right="20" w:firstLine="509"/>
        <w:spacing w:after="0" w:line="258" w:lineRule="auto"/>
        <w:rPr>
          <w:sz w:val="20"/>
          <w:szCs w:val="20"/>
          <w:color w:val="auto"/>
        </w:rPr>
      </w:pPr>
      <w:r>
        <w:rPr>
          <w:rFonts w:ascii="Times New Roman" w:cs="Times New Roman" w:eastAsia="Times New Roman" w:hAnsi="Times New Roman"/>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4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3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categorization of a financial instrument within the valuation hierarchy is based on the lowest level of input that is significant to the fair value measurement. The Company recognizes transfers between levels of the fair value hierarchy on the date of the event or change in circumstances that caused the transfer.</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10</w:t>
      </w:r>
    </w:p>
    <w:p>
      <w:pPr>
        <w:spacing w:after="0" w:line="10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amounts reflected in the unaudited interim consolidated balance sheets for cash and cash equivalents, trade accounts receivable, net, trade accounts payable and accrued expenses approximate their fair values.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89"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The Company's investment consists of non-marketable equity investments in a privately held company. The Company’s non marketable equity investments do not have readily determinable fair values. Therefore, the Company elects to apply the measurement alternative and record these investments at cost, less any impairment, plus or minus observable price changes in orderly transactions for identical or similar investments of the same issuer. Investment are included within other noncurrent assets on our consolidated balance sheets and adjustments to their carrying amounts are recorded in other income (expense), net in the consolidated statements of operations. There were no material events or circumstances impacting the carrying amount of our strategic investments during the three months ended June 30, 2022.</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Company’s product revenue consists of sales of its instrument systems and accessories. The Company recognizes product revenue at the point in time when control of the instrument is transferred to the customer.</w:t>
      </w:r>
    </w:p>
    <w:p>
      <w:pPr>
        <w:spacing w:after="0" w:line="10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w:t>
      </w:r>
    </w:p>
    <w:p>
      <w:pPr>
        <w:spacing w:after="0" w:line="142"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54"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Invoicing for products occurs upon delivery and payment terms are 30 to 90 days. Service contracts are invoiced upfront and payment terms are generally 30 days. For those arrangements that have terms greater than one year, any payments received upfront are for reasons other than financing. Revenue is recognized only to the extent that it is probable that a significant reversal of the cumulative amount recognized will not occur in future periods. Variable consideration is not material.</w:t>
      </w:r>
    </w:p>
    <w:p>
      <w:pPr>
        <w:spacing w:after="0" w:line="150"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Certain of the Company’s sales contracts involve the delivery or performance of multiple products and services within contractually binding arrangements. The Company has determined these performance obligations qualify as distinct performance obligations, as the customer can benefit from the good or service on its own or together with other resources that are readily available to the customer, and the Company’s promise to transfer the good or service is separately identifiable from other promises in the contract. For these arrangements that contain multiple performance obligations, the Company allocates transaction price based on the relative standalone selling price (“SSP”) method by comparing the SSP of each distinct performance obligation to the total value of the contract. The Company uses a range of amounts to estimate SSP for products and services sold together in a contract to determine whether there is a discount to be allocated based on the relative SSP of the various products and services. In instances where SSP is not directly observable, such as when the Company does not sell the product or service separately, the Company determines the SSP using information that may include market conditions and other observable inputs.</w:t>
      </w:r>
    </w:p>
    <w:p>
      <w:pPr>
        <w:spacing w:after="0" w:line="16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Sales, value-add and other taxes, collected from customers concurrent with revenue generating activities and remitted to governmental authorities are not included in revenue. Shipping and handling costs associated with outbound freight are accounted for as a fulfillment cost and are included in cost of sales.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w:t>
      </w:r>
    </w:p>
    <w:p>
      <w:pPr>
        <w:spacing w:after="0" w:line="1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Company’s standard arrangement for sales to end users is a purchase order or an executed contract. Revenue is recognized upon transfer of control of the product to the customer, which occurs at a point in time depending on the shipping terms.</w:t>
      </w:r>
    </w:p>
    <w:p>
      <w:pPr>
        <w:spacing w:after="0" w:line="121" w:lineRule="exact"/>
        <w:rPr>
          <w:sz w:val="20"/>
          <w:szCs w:val="20"/>
          <w:color w:val="auto"/>
        </w:rPr>
      </w:pPr>
    </w:p>
    <w:p>
      <w:pPr>
        <w:jc w:val="both"/>
        <w:ind w:right="20" w:firstLine="509"/>
        <w:spacing w:after="0" w:line="250" w:lineRule="auto"/>
        <w:rPr>
          <w:sz w:val="20"/>
          <w:szCs w:val="20"/>
          <w:color w:val="auto"/>
        </w:rPr>
      </w:pPr>
      <w:r>
        <w:rPr>
          <w:rFonts w:ascii="Times New Roman" w:cs="Times New Roman" w:eastAsia="Times New Roman" w:hAnsi="Times New Roman"/>
          <w:sz w:val="18"/>
          <w:szCs w:val="18"/>
          <w:color w:val="auto"/>
        </w:rPr>
        <w:t>The Company’s arrangements with its distributors include a purchase order. The purchase order is governed by terms and conditions set forth in the applicable distribution agreement. Revenue is recognized upon transfer of control of the products to the distributor, which occurs at a point in time depending on the shipping terms.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11</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revenue</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 Service contracts are typically between one and three years.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175"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Contract liabilities consist of fees invoiced or paid by the Company’s customers for which the associated services have not been performed and revenue has not been recognized based on the Company’s revenue recognition criteria described above. Such amounts are reported as deferred revenue for service and customer deposits for instruments on the consolidated balance sheets. Deferred revenue that is expected to be recognized during the following 12 months is recorded as a current liability and the remaining portion is recorded as noncurrent.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Assurance-type product warranties</w:t>
      </w:r>
    </w:p>
    <w:p>
      <w:pPr>
        <w:spacing w:after="0" w:line="189"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The Company provides a one-year assurance-type warranty that is included with the sale of its instruments. At the time revenue is recognized for the products, the Company establishes an accrual for estimated warranty expense based on historical data and trends of product reliability and costs of repairing and replacing defective products. The Company exercises judgment in estimating the expected product warranty costs, using data such as the historical repair costs. While management believes that historical experience provides a reliable basis for estimating such warranty cost, unforeseen quality issues or component failure rates could result in future costs in excess of such estimates, or alternatively, improved quality and reliability in the Company’s products could result in actual expenses that are below those currently estimated.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75"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Deferred offering costs, which consist of direct incremental legal, consulting, banking and accounting fees relating to the Company’s planned initial public offering, are capitalized, and will be offset against proceeds from the IPO upon the effectiveness of the offering. In the event an anticipated offering is terminated, deferred offering costs will be expensed. On July 27, 2021, the Company completed the IPO; accordingly, the Company recognized the initial public offering costs of approximately $5.3 million as a reduction from gross proceeds associated with the IPO through additional paid-in capital in the accompanying consolidated balance sheet. Accordingly, there were no deferred offering costs as of June 30, 2022 and December 31, 2021.</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89"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to date consist primarily of salaries, benefits, stock-based compensation, independent contractor costs, laboratory supplies, equipment maintenance, materials expenses, and software license fees. Payments made prior to the receipt of goods or services to be used in research and development activities are recorded as prepaid expenses until the related goods or services are received.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cost of advertising, marketing and media is expensed as incurred. For the three and six months ended June 30, 2022, advertising, marketing and media expenses totaled $0.8 million and $1.1 million, respectively. For the three and six months ended June 30, 2021, advertising, marketing and media expenses totaled $0.4 million and $0.6 million,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The Company maintains an equity incentive compensation plan under which incentive stock options and nonqualified stock options to purchase common stock, and restricted stock units for common stock, are granted to employees and non-employee consultants. Stock-based compensation cost is measured at the grant date, based on the fair value of the award, and is recognized as expense over the requisite service period. The fair value of stock options granted to employees is estimated using the Black-Scholes option pricing model. The Company records forfeitures as they occur. The weighted-average assumptions used in estimating the fair value of stock options granted during each of the periods presented are:</w:t>
      </w:r>
    </w:p>
    <w:p>
      <w:pPr>
        <w:spacing w:after="0" w:line="1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Expected Volatility—Expected volatility is estimated by studying the volatility of selected industry peers deemed to be comparable to the Company's business corresponding to the expected term of the awards.</w:t>
      </w:r>
    </w:p>
    <w:p>
      <w:pPr>
        <w:spacing w:after="0" w:line="10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Expected Term—Expected term represents the period that the Company's stock-based awards are expected to be outstanding and is determined using the simplified method.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12</w:t>
      </w:r>
    </w:p>
    <w:p>
      <w:pPr>
        <w:spacing w:after="0" w:line="10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Dividend Yield— The expected dividend yield is zero as the Company has never declared or paid cash dividends and has no current plans to do so in the foreseeable future.</w:t>
      </w:r>
    </w:p>
    <w:p>
      <w:pPr>
        <w:spacing w:after="0" w:line="10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Risk-Free Interest Rate—The risk-free interest rate is based on the U.S. Treasury zero-coupon issued in effect at the time of grant for periods corresponding with the expected term of the option.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Company accounts for income taxes under an asset and liability approach. Deferred income taxes comprise the impact of temporary differences between assets and liabilities recognized for financial reporting purposes and the amounts recognized for income tax reporting purposes, net operating loss carryforwards, and other tax credit carryforwards measured by applying currently enacted tax laws. A valuation allowance is provided when necessary to reduce deferred tax assets to an amount that is more likely than not to be realized.</w:t>
      </w:r>
    </w:p>
    <w:p>
      <w:pPr>
        <w:spacing w:after="0" w:line="150"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The Company determines whether a tax position is more likely than not to be sustained upon examination, including resolution of any related appeals or litigation processes, based on the technical merits of the position. The Company uses a two-step approach to recognize and measure uncertain tax positions.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that is more than 50% likely of being realized upon ultimate settlement. The Company’s policy for interest and penalties related to uncertain tax positions is to recognize interest and penalties, if any, in interest expense and other expense, respectively, in the accompanying consolidated statement of operations. Accrued interest and penalties, if any, are included in accrued expenses in the consolidated balance sheet.</w:t>
      </w:r>
    </w:p>
    <w:p>
      <w:pPr>
        <w:spacing w:after="0" w:line="159"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various U.S. state jurisdictions and foreign jurisdictions. The U.S. state and foreign jurisdictions have statutes of limitations that generally range from three to five years. The Company’s federal, state and foreign income tax returns are subject to examination unless the statutes of limitations close. The Company is not currently under examination for federal, state, and foreign income tax purposes.</w:t>
      </w:r>
    </w:p>
    <w:p>
      <w:pPr>
        <w:spacing w:after="0" w:line="150"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The Company intends to reinvest its undistributed earnings of its foreign operations. Following enactment of the 2017 Tax Cuts and Jobs Act, the repatriation of cash to the United States is generally no longer taxable for federal income tax purposes. However, the repatriation of cash held outside the United States could be subject to applicable foreign withholding taxes and state income taxes. The Company may remit foreign earnings to the United States to the extent it is tax efficient to do so. It does not expect the tax impact from remitting these earnings to be material. The Company adopted this guidance on January 1, 2021 on a prospective basis, and the adoption did not have a material impact to the Company’s unaudited interim consolidated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attributable to common stockholders per share</w:t>
      </w:r>
    </w:p>
    <w:p>
      <w:pPr>
        <w:spacing w:after="0" w:line="189"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Basic net (loss) income attributable to common stockholders per share and diluted net (loss) income attributable to common stockholders per share are computed using the weighted-average number of shares of common stock outstanding for the period. Net (loss) income per share attributable to common stockholders is calculated using the two-class method, which is an earnings allocation formula that determines net (loss) income per share for the holders of shares of the Company’s common stock and participating securities. The Company’s redeemable convertible preferred stock contains participation rights in any dividend paid by the Company and is deemed to be a participating security. The participating securities include a contractual obligation to participate in the income of the Company and are included in the calculation of net (loss) income per share in the periods in which net (loss) income is recorded.</w:t>
      </w:r>
    </w:p>
    <w:p>
      <w:pPr>
        <w:spacing w:after="0" w:line="154"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Diluted net (loss) income attributable to common stockholders per share is computed using the more dilutive of (a) the two-class method or (b) the if-converted method. The Company allocates earnings first to preferred stockholders based on non-cumulative dividend rights if and when declared and then to common and preferred stockholders based on ownership interests. The weighted-average number of shares of common stock included in the computation of diluted net (loss) income attributable to common stockholders per share gives effect to all potentially dilutive common stock equivalents, including outstanding options and redeemable convertible preferred stock.</w:t>
      </w:r>
    </w:p>
    <w:p>
      <w:pPr>
        <w:spacing w:after="0" w:line="1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Common stock equivalents are excluded from the computation of diluted net (loss) income attributable to common stockholders per share if their effect is antidilutive.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87"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color w:val="auto"/>
        </w:rPr>
        <w:t xml:space="preserve">The Company uses the acquisition method of accounting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Each acquired company’s operating results are included in the Company's consolidated financial statements starting on the date of acquisition. The purchase price is equivalent to the fair value of consideration transferred. Tangible and identifiable intangible assets acquired and liabilities assumed</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13</w:t>
      </w:r>
    </w:p>
    <w:p>
      <w:pPr>
        <w:spacing w:after="0" w:line="1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acquisition are recorded at the acquisition date fair value. Goodwill is recognized for the excess of purchase price over the net fair value of assets acquired and liabilities assumed.</w:t>
      </w:r>
    </w:p>
    <w:p>
      <w:pPr>
        <w:spacing w:after="0" w:line="10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Amounts allocated to assets and liabilities are based upon fair values. Such valuations require management to make significant estimates and assumptions, especially with respect to the identifiable intangible assets. Management makes estimates of fair value based upon assumptions believed to be reasonable and that of a market participant. These estimates are based on historical experience and information obtained from the management of the acquired companies and the estimates are inherently uncertain. The separately identifiable intangible assets generally include customer relationships, trade names, and reagent licenses.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5"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The Company has, however, elected to early- adopt as permitted certain new or revised accounting standards as of dates that may or may not coincide with the effective dates of public companies. These standards include the following:</w:t>
      </w:r>
    </w:p>
    <w:p>
      <w:pPr>
        <w:spacing w:after="0" w:line="152"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xml:space="preserve"> ("Topic 740"). The objective of the guidance is to simplify the accounting for income taxes by removing certain exceptions to the general principles in Topic 740 and to provide more consistent application to improve the comparability of financial statements. The guidance is effective for fiscal years beginning after December 15, 2021, and interim periods within fiscal years beginning after December 15, 2022, with early adoption permitted. The Company early adopted this guidance on January 1, 2021, and the adoption did not have a material impact to the Company’s unaudited interim consolidated financial statements.</w:t>
      </w:r>
    </w:p>
    <w:p>
      <w:pPr>
        <w:spacing w:after="0" w:line="150"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to improve financial reporting and disclosures about leasing transactions. This ASU requires companies that lease assets to recognize on the balance sheet the assets and liabilities for the rights and obligations created by those leases, for substantially all leases. The recognition, measurement and presentation of expense and cash flows arising from a lease by a lessee will depend primarily on its classification as a finance or operating lease; both types of leases will be recognized on the balance sheet. This ASU also requires disclosures to help financial statement users to better understand the amount, timing and uncertainty of cash flows arising from leases. As the Company qualifies as an emerging growth company, the new lease standard was adopted by the Company on its effective date of January 1, 2022. The Company used the optional transition method to the modified retrospective approach in which results for reporting periods beginning on January 1, 2022 are presented under Topic 842, while prior period amounts continue to be reported and disclosed in accordance with the Company’s historical accounting treatment under ASC Topic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363"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A number of practical expedients and policy elections are available under the new guidance to reduce the burden of adoption and ongoing compliance with Topic 842. The Company elected the "package of practical expedients" permitted under the transition guidance, which did not require reassessment of whether contracts entered into prior to January 1, 2022 are or contain leases, and allowed carryforward of the historical lease classification for existing leases. The Company has not elected to adopt the “hindsight” practical expedient, and therefore will measure the right-of-use (ROU) asset and lease liability using the remaining portion of the lease term at adoption on January 1, 2022.</w:t>
      </w:r>
    </w:p>
    <w:p>
      <w:pPr>
        <w:spacing w:after="0" w:line="154"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Company made an accounting policy election under Topic 842 not to recognize ROU assets and lease liabilities for leases with a term of twelve months or less. For all other leases, the Company recognizes ROU assets and lease liabilities based on the present value of lease payments over the lease term at the commencement date of the lease (or January 1, 2022 for existing leases upon the adoption of Topic 842). The ROU assets also include any initial direct costs incurred and lease payments made at or before the commencement date and are reduced by any lease incentives.</w:t>
      </w:r>
    </w:p>
    <w:p>
      <w:pPr>
        <w:spacing w:after="0" w:line="150"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Future lease payments may include fixed rent escalation clauses or payments that depend on an index (such as the consumer price index). Subsequent changes an index and other periodic market-rate adjustments to base rent are recorded in variable lease expense in the period incurred. Residual value guarantees and payments for terminating a lease are included in the lease payments only when it is probable they will be incurred.</w:t>
      </w:r>
    </w:p>
    <w:p>
      <w:pPr>
        <w:spacing w:after="0" w:line="150"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Company’s leases may include a non-lease component representing additional services transferred to the Company, such as common area maintenance for real estate. The Company made an accounting policy election to account for each separate lease component and the non-lease components associated with that lease component as a single lease component. The non-lease components are generally variable in nature and recorded in variable lease expense in the period incurred.</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14</w:t>
      </w:r>
    </w:p>
    <w:p>
      <w:pPr>
        <w:spacing w:after="0" w:line="104"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Company uses its incremental borrowing rate to determine the present value of lease payments, as the Company’s leases do not have a readily determinable implicit discount rate. The incremental borrowing rate is the rate of interest the Company would have to pay to borrow on a collateralized basis over a similar term and amount in a similar economic environment. Judgement is applied in assessing factors such as Company-specific credit risk, lease term, nature and quality of the underlying collateral, currency, and economic environment in determining the incremental borrowing rate to apply to each lease.</w:t>
      </w:r>
    </w:p>
    <w:p>
      <w:pPr>
        <w:spacing w:after="0" w:line="137"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Adoption of Topic 842 resulted in the recording of ROU assets and lease liabilities related to the Company’s operating leases of approximately $14.6 million and $15.2 million, respectively, on January 1, 2022. The adoption of the new lease standard did not materially impact the Company's consolidated net income or consolidated cash flows and did not result in a cumulative-effect adjustment to the opening balance of retained earnings. Refer to Note 16 for additional disclosures.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 (Topic 326): Measurement of Credit Losses on Financial</w:t>
      </w:r>
    </w:p>
    <w:p>
      <w:pPr>
        <w:spacing w:after="0" w:line="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which replaces the existing incurred loss impairment model with an expected credit loss model and requires a financial asset measured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amortized cost to be presented at the net amount expected to be collected. As the Company will lose its emerging growth company (“EGC”) status as of December 31, 2022, and the Company will be required to apply the provision of ASU 2016-13 beginning with the annual reporting period ended December 31, 2022. Company is currently evaluating the impact of adoption this guidance on the consolidated financial statements and related disclosures.</w:t>
      </w:r>
    </w:p>
    <w:p>
      <w:pPr>
        <w:spacing w:after="0" w:line="138"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Concentrations of credit risk and other risks and uncertainties</w:t>
      </w:r>
    </w:p>
    <w:p>
      <w:pPr>
        <w:spacing w:after="0" w:line="189"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and cash equivalents. The Company maintains accounts in federally insured financial institutions in excess of federally insured limits. Management believes the Company is not exposed to significant credit risk due to the financial position of the depository institutions in which these deposits are held and of the money market funds in which these investments are made.</w:t>
      </w:r>
    </w:p>
    <w:p>
      <w:pPr>
        <w:spacing w:after="0" w:line="146" w:lineRule="exact"/>
        <w:rPr>
          <w:sz w:val="20"/>
          <w:szCs w:val="20"/>
          <w:color w:val="auto"/>
        </w:rPr>
      </w:pPr>
    </w:p>
    <w:p>
      <w:pPr>
        <w:ind w:right="7680" w:firstLine="8"/>
        <w:spacing w:after="0" w:line="396" w:lineRule="auto"/>
        <w:tabs>
          <w:tab w:leader="none" w:pos="509"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from contracts with customers </w:t>
      </w:r>
      <w:r>
        <w:rPr>
          <w:rFonts w:ascii="Times New Roman" w:cs="Times New Roman" w:eastAsia="Times New Roman" w:hAnsi="Times New Roman"/>
          <w:sz w:val="18"/>
          <w:szCs w:val="18"/>
          <w:i w:val="1"/>
          <w:iCs w:val="1"/>
          <w:color w:val="auto"/>
        </w:rPr>
        <w:t>Disaggregation of revenue</w:t>
      </w:r>
    </w:p>
    <w:p>
      <w:pPr>
        <w:spacing w:after="0" w:line="23" w:lineRule="exact"/>
        <w:rPr>
          <w:sz w:val="20"/>
          <w:szCs w:val="20"/>
          <w:color w:val="auto"/>
        </w:rPr>
      </w:pPr>
    </w:p>
    <w:p>
      <w:pPr>
        <w:ind w:right="66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depicts the disaggregation of revenue by sales channel mix and customer mix as defined by the nature of workflows (in thousands):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Sales channel mix</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 sales channel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33,602</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25,703</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64,521</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45,565</w:t>
            </w:r>
          </w:p>
        </w:tc>
        <w:tc>
          <w:tcPr>
            <w:tcW w:w="0" w:type="dxa"/>
            <w:vAlign w:val="bottom"/>
          </w:tcPr>
          <w:p>
            <w:pPr>
              <w:spacing w:after="0"/>
              <w:rPr>
                <w:sz w:val="1"/>
                <w:szCs w:val="1"/>
                <w:color w:val="auto"/>
              </w:rPr>
            </w:pPr>
          </w:p>
        </w:tc>
      </w:tr>
      <w:tr>
        <w:trPr>
          <w:trHeight w:val="216"/>
        </w:trPr>
        <w:tc>
          <w:tcPr>
            <w:tcW w:w="5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Distributor channel</w:t>
            </w: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6,557</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4,705</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10,702</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9,115</w:t>
            </w:r>
          </w:p>
        </w:tc>
        <w:tc>
          <w:tcPr>
            <w:tcW w:w="0" w:type="dxa"/>
            <w:vAlign w:val="bottom"/>
          </w:tcPr>
          <w:p>
            <w:pPr>
              <w:spacing w:after="0"/>
              <w:rPr>
                <w:sz w:val="1"/>
                <w:szCs w:val="1"/>
                <w:color w:val="auto"/>
              </w:rPr>
            </w:pPr>
          </w:p>
        </w:tc>
      </w:tr>
      <w:tr>
        <w:trPr>
          <w:trHeight w:val="20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 net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40,159</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30,408</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75,223</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54,680</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mix</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Academia and government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15,406</w:t>
            </w:r>
          </w:p>
        </w:tc>
        <w:tc>
          <w:tcPr>
            <w:tcW w:w="4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13,754</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29,813</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23,870</w:t>
            </w:r>
          </w:p>
        </w:tc>
        <w:tc>
          <w:tcPr>
            <w:tcW w:w="0" w:type="dxa"/>
            <w:vAlign w:val="bottom"/>
          </w:tcPr>
          <w:p>
            <w:pPr>
              <w:spacing w:after="0"/>
              <w:rPr>
                <w:sz w:val="1"/>
                <w:szCs w:val="1"/>
                <w:color w:val="auto"/>
              </w:rPr>
            </w:pPr>
          </w:p>
        </w:tc>
      </w:tr>
      <w:tr>
        <w:trPr>
          <w:trHeight w:val="171"/>
        </w:trPr>
        <w:tc>
          <w:tcPr>
            <w:tcW w:w="574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Biotechnology, pharmaceutical, distributor and contract research</w:t>
            </w:r>
          </w:p>
        </w:tc>
        <w:tc>
          <w:tcPr>
            <w:tcW w:w="260" w:type="dxa"/>
            <w:vAlign w:val="bottom"/>
          </w:tcPr>
          <w:p>
            <w:pPr>
              <w:spacing w:after="0"/>
              <w:rPr>
                <w:sz w:val="14"/>
                <w:szCs w:val="14"/>
                <w:color w:val="auto"/>
              </w:rPr>
            </w:pPr>
          </w:p>
        </w:tc>
        <w:tc>
          <w:tcPr>
            <w:tcW w:w="102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24,753</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16,654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45,410</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30,810</w:t>
            </w:r>
          </w:p>
        </w:tc>
        <w:tc>
          <w:tcPr>
            <w:tcW w:w="0" w:type="dxa"/>
            <w:vAlign w:val="bottom"/>
          </w:tcPr>
          <w:p>
            <w:pPr>
              <w:spacing w:after="0"/>
              <w:rPr>
                <w:sz w:val="1"/>
                <w:szCs w:val="1"/>
                <w:color w:val="auto"/>
              </w:rPr>
            </w:pPr>
          </w:p>
        </w:tc>
      </w:tr>
      <w:tr>
        <w:trPr>
          <w:trHeight w:val="221"/>
        </w:trPr>
        <w:tc>
          <w:tcPr>
            <w:tcW w:w="5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organizations</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 net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40,159</w:t>
            </w:r>
          </w:p>
        </w:tc>
        <w:tc>
          <w:tcPr>
            <w:tcW w:w="1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30,408</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75,223</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54,680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-1002030</wp:posOffset>
            </wp:positionV>
            <wp:extent cx="939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-1002030</wp:posOffset>
            </wp:positionV>
            <wp:extent cx="857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-1002030</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-24765</wp:posOffset>
            </wp:positionV>
            <wp:extent cx="939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-7620</wp:posOffset>
            </wp:positionV>
            <wp:extent cx="939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-24765</wp:posOffset>
            </wp:positionV>
            <wp:extent cx="857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857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-24765</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Revenue by geographical markets is presented in Note 21, </w:t>
      </w:r>
      <w:r>
        <w:rPr>
          <w:rFonts w:ascii="Times New Roman" w:cs="Times New Roman" w:eastAsia="Times New Roman" w:hAnsi="Times New Roman"/>
          <w:sz w:val="18"/>
          <w:szCs w:val="18"/>
          <w:i w:val="1"/>
          <w:iCs w:val="1"/>
          <w:color w:val="auto"/>
        </w:rPr>
        <w:t>Geographic areas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17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includes estimated revenues expected to be recognized in the future related to performance obligations that are unsatisfied (or partially satisfied) as of June 30, 2022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160" w:type="dxa"/>
            <w:vAlign w:val="bottom"/>
          </w:tcPr>
          <w:p>
            <w:pPr>
              <w:spacing w:after="0"/>
              <w:rPr>
                <w:sz w:val="16"/>
                <w:szCs w:val="16"/>
                <w:color w:val="auto"/>
              </w:rPr>
            </w:pPr>
          </w:p>
        </w:tc>
        <w:tc>
          <w:tcPr>
            <w:tcW w:w="14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Greater than 1 year</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3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3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9,919</w:t>
            </w:r>
          </w:p>
        </w:tc>
        <w:tc>
          <w:tcPr>
            <w:tcW w:w="1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11,020</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20,939</w:t>
            </w:r>
          </w:p>
        </w:tc>
      </w:tr>
      <w:tr>
        <w:trPr>
          <w:trHeight w:val="250"/>
        </w:trPr>
        <w:tc>
          <w:tcPr>
            <w:tcW w:w="3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3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9,991</w:t>
            </w:r>
          </w:p>
        </w:tc>
        <w:tc>
          <w:tcPr>
            <w:tcW w:w="1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11,020</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21,011</w:t>
            </w:r>
          </w:p>
        </w:tc>
      </w:tr>
      <w:tr>
        <w:trPr>
          <w:trHeight w:val="547"/>
        </w:trPr>
        <w:tc>
          <w:tcPr>
            <w:tcW w:w="3360" w:type="dxa"/>
            <w:vAlign w:val="bottom"/>
          </w:tcPr>
          <w:p>
            <w:pPr>
              <w:spacing w:after="0"/>
              <w:rPr>
                <w:sz w:val="24"/>
                <w:szCs w:val="24"/>
                <w:color w:val="auto"/>
              </w:rPr>
            </w:pPr>
          </w:p>
        </w:tc>
        <w:tc>
          <w:tcPr>
            <w:tcW w:w="31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88"/>
        </w:trPr>
        <w:tc>
          <w:tcPr>
            <w:tcW w:w="3360" w:type="dxa"/>
            <w:vAlign w:val="bottom"/>
            <w:tcBorders>
              <w:bottom w:val="single" w:sz="8" w:color="9A9A9A"/>
            </w:tcBorders>
          </w:tcPr>
          <w:p>
            <w:pPr>
              <w:spacing w:after="0"/>
              <w:rPr>
                <w:sz w:val="7"/>
                <w:szCs w:val="7"/>
                <w:color w:val="auto"/>
              </w:rPr>
            </w:pPr>
          </w:p>
        </w:tc>
        <w:tc>
          <w:tcPr>
            <w:tcW w:w="31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-453390</wp:posOffset>
            </wp:positionV>
            <wp:extent cx="1028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-436880</wp:posOffset>
            </wp:positionV>
            <wp:extent cx="1028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-453390</wp:posOffset>
            </wp:positionV>
            <wp:extent cx="1028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-436880</wp:posOffset>
            </wp:positionV>
            <wp:extent cx="1028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15</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about receivables, deferred revenue from contracts with customers, and customer deposits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060" w:type="dxa"/>
            <w:vAlign w:val="bottom"/>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8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1060" w:type="dxa"/>
            <w:vAlign w:val="bottom"/>
            <w:tcBorders>
              <w:bottom w:val="single" w:sz="8" w:color="auto"/>
            </w:tcBorders>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7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060" w:type="dxa"/>
            <w:vAlign w:val="bottom"/>
            <w:shd w:val="clear" w:color="auto" w:fill="CFF0FC"/>
          </w:tcPr>
          <w:p>
            <w:pPr>
              <w:jc w:val="right"/>
              <w:ind w:right="87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36,811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29,760</w:t>
            </w:r>
          </w:p>
        </w:tc>
      </w:tr>
      <w:tr>
        <w:trPr>
          <w:trHeight w:val="216"/>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180" w:type="dxa"/>
            <w:vAlign w:val="bottom"/>
            <w:shd w:val="clear" w:color="auto" w:fill="CFF0FC"/>
          </w:tcPr>
          <w:p>
            <w:pPr>
              <w:spacing w:after="0"/>
              <w:rPr>
                <w:sz w:val="18"/>
                <w:szCs w:val="18"/>
                <w:color w:val="auto"/>
              </w:rPr>
            </w:pPr>
          </w:p>
        </w:tc>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060" w:type="dxa"/>
            <w:vAlign w:val="bottom"/>
            <w:shd w:val="clear" w:color="auto" w:fill="CFF0FC"/>
          </w:tcPr>
          <w:p>
            <w:pPr>
              <w:jc w:val="right"/>
              <w:ind w:right="87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21,011</w:t>
            </w:r>
          </w:p>
        </w:tc>
        <w:tc>
          <w:tcPr>
            <w:tcW w:w="54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16,871</w:t>
            </w:r>
          </w:p>
        </w:tc>
      </w:tr>
      <w:tr>
        <w:trPr>
          <w:trHeight w:val="216"/>
        </w:trPr>
        <w:tc>
          <w:tcPr>
            <w:tcW w:w="180" w:type="dxa"/>
            <w:vAlign w:val="bottom"/>
          </w:tcPr>
          <w:p>
            <w:pPr>
              <w:spacing w:after="0"/>
              <w:rPr>
                <w:sz w:val="18"/>
                <w:szCs w:val="18"/>
                <w:color w:val="auto"/>
              </w:rPr>
            </w:pPr>
          </w:p>
        </w:tc>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deposits, which are included in 'Other current liabilities'</w:t>
            </w: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1,018</w:t>
            </w:r>
          </w:p>
        </w:tc>
      </w:tr>
      <w:tr>
        <w:trPr>
          <w:trHeight w:val="250"/>
        </w:trPr>
        <w:tc>
          <w:tcPr>
            <w:tcW w:w="180" w:type="dxa"/>
            <w:vAlign w:val="bottom"/>
            <w:tcBorders>
              <w:bottom w:val="single" w:sz="8" w:color="CFF0FC"/>
            </w:tcBorders>
            <w:shd w:val="clear" w:color="auto" w:fill="CFF0FC"/>
          </w:tcPr>
          <w:p>
            <w:pPr>
              <w:spacing w:after="0"/>
              <w:rPr>
                <w:sz w:val="21"/>
                <w:szCs w:val="21"/>
                <w:color w:val="auto"/>
              </w:rPr>
            </w:pPr>
          </w:p>
        </w:tc>
        <w:tc>
          <w:tcPr>
            <w:tcW w:w="74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1060" w:type="dxa"/>
            <w:vAlign w:val="bottom"/>
            <w:tcBorders>
              <w:bottom w:val="single" w:sz="8" w:color="auto"/>
            </w:tcBorders>
            <w:shd w:val="clear" w:color="auto" w:fill="CFF0FC"/>
          </w:tcPr>
          <w:p>
            <w:pPr>
              <w:jc w:val="right"/>
              <w:ind w:right="87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21,747</w:t>
            </w:r>
          </w:p>
        </w:tc>
        <w:tc>
          <w:tcPr>
            <w:tcW w:w="12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17,889</w:t>
            </w:r>
          </w:p>
        </w:tc>
      </w:tr>
      <w:tr>
        <w:trPr>
          <w:trHeight w:val="520"/>
        </w:trPr>
        <w:tc>
          <w:tcPr>
            <w:tcW w:w="180" w:type="dxa"/>
            <w:vAlign w:val="bottom"/>
          </w:tcPr>
          <w:p>
            <w:pPr>
              <w:spacing w:after="0"/>
              <w:rPr>
                <w:sz w:val="24"/>
                <w:szCs w:val="24"/>
                <w:color w:val="auto"/>
              </w:rPr>
            </w:pPr>
          </w:p>
        </w:tc>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provides a roll-forward of the contract liabilities (in thousands):</w:t>
            </w: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38"/>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Contract liabilities</w:t>
            </w: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6"/>
        </w:trPr>
        <w:tc>
          <w:tcPr>
            <w:tcW w:w="7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0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7,745</w:t>
            </w:r>
          </w:p>
        </w:tc>
      </w:tr>
      <w:tr>
        <w:trPr>
          <w:trHeight w:val="216"/>
        </w:trPr>
        <w:tc>
          <w:tcPr>
            <w:tcW w:w="180" w:type="dxa"/>
            <w:vAlign w:val="bottom"/>
          </w:tcPr>
          <w:p>
            <w:pPr>
              <w:spacing w:after="0"/>
              <w:rPr>
                <w:sz w:val="18"/>
                <w:szCs w:val="18"/>
                <w:color w:val="auto"/>
              </w:rPr>
            </w:pPr>
          </w:p>
        </w:tc>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(15,008 )</w:t>
            </w:r>
          </w:p>
        </w:tc>
      </w:tr>
      <w:tr>
        <w:trPr>
          <w:trHeight w:val="216"/>
        </w:trPr>
        <w:tc>
          <w:tcPr>
            <w:tcW w:w="180" w:type="dxa"/>
            <w:vAlign w:val="bottom"/>
            <w:tcBorders>
              <w:bottom w:val="single" w:sz="8" w:color="CFF0FC"/>
            </w:tcBorders>
            <w:shd w:val="clear" w:color="auto" w:fill="CFF0FC"/>
          </w:tcPr>
          <w:p>
            <w:pPr>
              <w:spacing w:after="0"/>
              <w:rPr>
                <w:sz w:val="18"/>
                <w:szCs w:val="18"/>
                <w:color w:val="auto"/>
              </w:rPr>
            </w:pPr>
          </w:p>
        </w:tc>
        <w:tc>
          <w:tcPr>
            <w:tcW w:w="7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deferred</w:t>
            </w:r>
          </w:p>
        </w:tc>
        <w:tc>
          <w:tcPr>
            <w:tcW w:w="10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25,152</w:t>
            </w:r>
          </w:p>
        </w:tc>
      </w:tr>
      <w:tr>
        <w:trPr>
          <w:trHeight w:val="209"/>
        </w:trPr>
        <w:tc>
          <w:tcPr>
            <w:tcW w:w="7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17,889</w:t>
            </w:r>
          </w:p>
        </w:tc>
      </w:tr>
      <w:tr>
        <w:trPr>
          <w:trHeight w:val="216"/>
        </w:trPr>
        <w:tc>
          <w:tcPr>
            <w:tcW w:w="180" w:type="dxa"/>
            <w:vAlign w:val="bottom"/>
            <w:shd w:val="clear" w:color="auto" w:fill="CFF0FC"/>
          </w:tcPr>
          <w:p>
            <w:pPr>
              <w:spacing w:after="0"/>
              <w:rPr>
                <w:sz w:val="18"/>
                <w:szCs w:val="18"/>
                <w:color w:val="auto"/>
              </w:rPr>
            </w:pPr>
          </w:p>
        </w:tc>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10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(12,060 )</w:t>
            </w:r>
          </w:p>
        </w:tc>
      </w:tr>
      <w:tr>
        <w:trPr>
          <w:trHeight w:val="216"/>
        </w:trPr>
        <w:tc>
          <w:tcPr>
            <w:tcW w:w="180" w:type="dxa"/>
            <w:vAlign w:val="bottom"/>
          </w:tcPr>
          <w:p>
            <w:pPr>
              <w:spacing w:after="0"/>
              <w:rPr>
                <w:sz w:val="18"/>
                <w:szCs w:val="18"/>
                <w:color w:val="auto"/>
              </w:rPr>
            </w:pPr>
          </w:p>
        </w:tc>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deferred</w:t>
            </w: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15,918</w:t>
            </w:r>
          </w:p>
        </w:tc>
      </w:tr>
      <w:tr>
        <w:trPr>
          <w:trHeight w:val="250"/>
        </w:trPr>
        <w:tc>
          <w:tcPr>
            <w:tcW w:w="764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0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21,747</w:t>
            </w:r>
          </w:p>
        </w:tc>
      </w:tr>
      <w:tr>
        <w:trPr>
          <w:trHeight w:val="521"/>
        </w:trPr>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Balance sheet details</w:t>
            </w: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91"/>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78"/>
        </w:trPr>
        <w:tc>
          <w:tcPr>
            <w:tcW w:w="180" w:type="dxa"/>
            <w:vAlign w:val="bottom"/>
          </w:tcPr>
          <w:p>
            <w:pPr>
              <w:spacing w:after="0"/>
              <w:rPr>
                <w:sz w:val="24"/>
                <w:szCs w:val="24"/>
                <w:color w:val="auto"/>
              </w:rPr>
            </w:pPr>
          </w:p>
        </w:tc>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shows the components of inventory (in thousands):</w:t>
            </w: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40"/>
        </w:trPr>
        <w:tc>
          <w:tcPr>
            <w:tcW w:w="18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1060" w:type="dxa"/>
            <w:vAlign w:val="bottom"/>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18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1060" w:type="dxa"/>
            <w:vAlign w:val="bottom"/>
            <w:tcBorders>
              <w:bottom w:val="single" w:sz="8" w:color="auto"/>
            </w:tcBorders>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7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060" w:type="dxa"/>
            <w:vAlign w:val="bottom"/>
            <w:shd w:val="clear" w:color="auto" w:fill="CFF0FC"/>
          </w:tcPr>
          <w:p>
            <w:pPr>
              <w:jc w:val="right"/>
              <w:ind w:right="87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25,828</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17,260</w:t>
            </w:r>
          </w:p>
        </w:tc>
      </w:tr>
      <w:tr>
        <w:trPr>
          <w:trHeight w:val="216"/>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2,297</w:t>
            </w:r>
          </w:p>
        </w:tc>
      </w:tr>
      <w:tr>
        <w:trPr>
          <w:trHeight w:val="216"/>
        </w:trPr>
        <w:tc>
          <w:tcPr>
            <w:tcW w:w="76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0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17,042</w:t>
            </w:r>
          </w:p>
        </w:tc>
        <w:tc>
          <w:tcPr>
            <w:tcW w:w="1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12,614</w:t>
            </w:r>
          </w:p>
        </w:tc>
      </w:tr>
      <w:tr>
        <w:trPr>
          <w:trHeight w:val="210"/>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060" w:type="dxa"/>
            <w:vAlign w:val="bottom"/>
          </w:tcPr>
          <w:p>
            <w:pPr>
              <w:jc w:val="right"/>
              <w:ind w:right="87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45,345</w:t>
            </w:r>
          </w:p>
        </w:tc>
        <w:tc>
          <w:tcPr>
            <w:tcW w:w="5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32,171</w:t>
            </w:r>
          </w:p>
        </w:tc>
      </w:tr>
      <w:tr>
        <w:trPr>
          <w:trHeight w:val="20"/>
        </w:trPr>
        <w:tc>
          <w:tcPr>
            <w:tcW w:w="18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-3342640</wp:posOffset>
            </wp:positionV>
            <wp:extent cx="1200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-3325495</wp:posOffset>
            </wp:positionV>
            <wp:extent cx="1200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-170815</wp:posOffset>
            </wp:positionV>
            <wp:extent cx="12001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the components of prepaid expenses and other current assets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480" w:type="dxa"/>
            <w:vAlign w:val="bottom"/>
          </w:tcPr>
          <w:p>
            <w:pPr>
              <w:spacing w:after="0"/>
              <w:rPr>
                <w:sz w:val="15"/>
                <w:szCs w:val="15"/>
                <w:color w:val="auto"/>
              </w:rPr>
            </w:pPr>
          </w:p>
        </w:tc>
        <w:tc>
          <w:tcPr>
            <w:tcW w:w="42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16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inventory</w:t>
            </w:r>
          </w:p>
        </w:tc>
        <w:tc>
          <w:tcPr>
            <w:tcW w:w="4260" w:type="dxa"/>
            <w:vAlign w:val="bottom"/>
            <w:gridSpan w:val="2"/>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2,262</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rent</w:t>
            </w:r>
          </w:p>
        </w:tc>
        <w:tc>
          <w:tcPr>
            <w:tcW w:w="3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215</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insurance</w:t>
            </w:r>
          </w:p>
        </w:tc>
        <w:tc>
          <w:tcPr>
            <w:tcW w:w="3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1,873</w:t>
            </w: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income tax</w:t>
            </w:r>
          </w:p>
        </w:tc>
        <w:tc>
          <w:tcPr>
            <w:tcW w:w="3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4,406</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2,345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2,132</w:t>
            </w: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refund receivable</w:t>
            </w:r>
          </w:p>
        </w:tc>
        <w:tc>
          <w:tcPr>
            <w:tcW w:w="3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16"/>
        </w:trPr>
        <w:tc>
          <w:tcPr>
            <w:tcW w:w="4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1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1,495</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1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4260" w:type="dxa"/>
            <w:vAlign w:val="bottom"/>
            <w:gridSpan w:val="2"/>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11,220</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5,184</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160" w:type="dxa"/>
            <w:vAlign w:val="bottom"/>
            <w:vMerge w:val="restart"/>
          </w:tcPr>
          <w:p>
            <w:pPr>
              <w:jc w:val="right"/>
              <w:ind w:right="1835"/>
              <w:spacing w:after="0"/>
              <w:rPr>
                <w:sz w:val="20"/>
                <w:szCs w:val="20"/>
                <w:color w:val="auto"/>
              </w:rPr>
            </w:pPr>
            <w:r>
              <w:rPr>
                <w:rFonts w:ascii="Times New Roman" w:cs="Times New Roman" w:eastAsia="Times New Roman" w:hAnsi="Times New Roman"/>
                <w:sz w:val="18"/>
                <w:szCs w:val="18"/>
                <w:color w:val="auto"/>
              </w:rPr>
              <w:t>15</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448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480" w:type="dxa"/>
            <w:vAlign w:val="bottom"/>
            <w:tcBorders>
              <w:bottom w:val="single" w:sz="8" w:color="9A9A9A"/>
            </w:tcBorders>
          </w:tcPr>
          <w:p>
            <w:pPr>
              <w:spacing w:after="0"/>
              <w:rPr>
                <w:sz w:val="7"/>
                <w:szCs w:val="7"/>
                <w:color w:val="auto"/>
              </w:rPr>
            </w:pPr>
          </w:p>
        </w:tc>
        <w:tc>
          <w:tcPr>
            <w:tcW w:w="31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-599440</wp:posOffset>
            </wp:positionV>
            <wp:extent cx="93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16</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the components of accrued expenses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620" w:type="dxa"/>
            <w:vAlign w:val="bottom"/>
          </w:tcPr>
          <w:p>
            <w:pPr>
              <w:spacing w:after="0"/>
              <w:rPr>
                <w:sz w:val="16"/>
                <w:szCs w:val="16"/>
                <w:color w:val="auto"/>
              </w:rPr>
            </w:pPr>
          </w:p>
        </w:tc>
        <w:tc>
          <w:tcPr>
            <w:tcW w:w="1080" w:type="dxa"/>
            <w:vAlign w:val="bottom"/>
            <w:gridSpan w:val="2"/>
          </w:tcPr>
          <w:p>
            <w:pPr>
              <w:jc w:val="center"/>
              <w:ind w:lef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r>
      <w:tr>
        <w:trPr>
          <w:trHeight w:val="216"/>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1080" w:type="dxa"/>
            <w:vAlign w:val="bottom"/>
            <w:gridSpan w:val="2"/>
          </w:tcPr>
          <w:p>
            <w:pPr>
              <w:jc w:val="right"/>
              <w:ind w:right="88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7,787</w:t>
            </w:r>
          </w:p>
        </w:tc>
        <w:tc>
          <w:tcPr>
            <w:tcW w:w="40" w:type="dxa"/>
            <w:vAlign w:val="bottom"/>
          </w:tcPr>
          <w:p>
            <w:pPr>
              <w:spacing w:after="0"/>
              <w:rPr>
                <w:sz w:val="18"/>
                <w:szCs w:val="18"/>
                <w:color w:val="auto"/>
              </w:rPr>
            </w:pPr>
          </w:p>
        </w:tc>
        <w:tc>
          <w:tcPr>
            <w:tcW w:w="4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9,117</w:t>
            </w:r>
          </w:p>
        </w:tc>
      </w:tr>
      <w:tr>
        <w:trPr>
          <w:trHeight w:val="216"/>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Professional service fees</w:t>
            </w:r>
          </w:p>
        </w:tc>
        <w:tc>
          <w:tcPr>
            <w:tcW w:w="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1,119</w:t>
            </w:r>
          </w:p>
        </w:tc>
      </w:tr>
      <w:tr>
        <w:trPr>
          <w:trHeight w:val="216"/>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2,483</w:t>
            </w:r>
          </w:p>
        </w:tc>
      </w:tr>
      <w:tr>
        <w:trPr>
          <w:trHeight w:val="216"/>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Product warranty</w:t>
            </w:r>
          </w:p>
        </w:tc>
        <w:tc>
          <w:tcPr>
            <w:tcW w:w="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1,760</w:t>
            </w:r>
          </w:p>
        </w:tc>
      </w:tr>
      <w:tr>
        <w:trPr>
          <w:trHeight w:val="216"/>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772</w:t>
            </w:r>
          </w:p>
        </w:tc>
      </w:tr>
      <w:tr>
        <w:trPr>
          <w:trHeight w:val="249"/>
        </w:trPr>
        <w:tc>
          <w:tcPr>
            <w:tcW w:w="7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88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17,841</w:t>
            </w:r>
          </w:p>
        </w:tc>
        <w:tc>
          <w:tcPr>
            <w:tcW w:w="4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15,251</w:t>
            </w:r>
          </w:p>
        </w:tc>
      </w:tr>
      <w:tr>
        <w:trPr>
          <w:trHeight w:val="521"/>
        </w:trPr>
        <w:tc>
          <w:tcPr>
            <w:tcW w:w="7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 the product warranty analysis refer to Note 19.</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05"/>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liabilities</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92"/>
        </w:trPr>
        <w:tc>
          <w:tcPr>
            <w:tcW w:w="76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following table shows the components of other current liabilities (in thousands):</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26"/>
        </w:trPr>
        <w:tc>
          <w:tcPr>
            <w:tcW w:w="7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620" w:type="dxa"/>
            <w:vAlign w:val="bottom"/>
          </w:tcPr>
          <w:p>
            <w:pPr>
              <w:spacing w:after="0"/>
              <w:rPr>
                <w:sz w:val="16"/>
                <w:szCs w:val="16"/>
                <w:color w:val="auto"/>
              </w:rPr>
            </w:pPr>
          </w:p>
        </w:tc>
        <w:tc>
          <w:tcPr>
            <w:tcW w:w="1080" w:type="dxa"/>
            <w:vAlign w:val="bottom"/>
            <w:tcBorders>
              <w:bottom w:val="single" w:sz="8" w:color="auto"/>
            </w:tcBorders>
            <w:gridSpan w:val="2"/>
          </w:tcPr>
          <w:p>
            <w:pPr>
              <w:jc w:val="center"/>
              <w:ind w:lef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09"/>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16"/>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Customer deposits</w:t>
            </w:r>
          </w:p>
        </w:tc>
        <w:tc>
          <w:tcPr>
            <w:tcW w:w="1080" w:type="dxa"/>
            <w:vAlign w:val="bottom"/>
            <w:gridSpan w:val="2"/>
          </w:tcPr>
          <w:p>
            <w:pPr>
              <w:jc w:val="right"/>
              <w:ind w:right="90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736</w:t>
            </w:r>
          </w:p>
        </w:tc>
        <w:tc>
          <w:tcPr>
            <w:tcW w:w="40" w:type="dxa"/>
            <w:vAlign w:val="bottom"/>
          </w:tcPr>
          <w:p>
            <w:pPr>
              <w:spacing w:after="0"/>
              <w:rPr>
                <w:sz w:val="18"/>
                <w:szCs w:val="18"/>
                <w:color w:val="auto"/>
              </w:rPr>
            </w:pPr>
          </w:p>
        </w:tc>
        <w:tc>
          <w:tcPr>
            <w:tcW w:w="4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1,018</w:t>
            </w:r>
          </w:p>
        </w:tc>
      </w:tr>
      <w:tr>
        <w:trPr>
          <w:trHeight w:val="216"/>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payable</w:t>
            </w:r>
          </w:p>
        </w:tc>
        <w:tc>
          <w:tcPr>
            <w:tcW w:w="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2,476</w:t>
            </w:r>
          </w:p>
        </w:tc>
      </w:tr>
      <w:tr>
        <w:trPr>
          <w:trHeight w:val="216"/>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use tax payable</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1,403</w:t>
            </w:r>
          </w:p>
        </w:tc>
      </w:tr>
      <w:tr>
        <w:trPr>
          <w:trHeight w:val="216"/>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2,529</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1,074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1,455</w:t>
            </w:r>
          </w:p>
        </w:tc>
      </w:tr>
      <w:tr>
        <w:trPr>
          <w:trHeight w:val="250"/>
        </w:trPr>
        <w:tc>
          <w:tcPr>
            <w:tcW w:w="7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1080" w:type="dxa"/>
            <w:vAlign w:val="bottom"/>
            <w:tcBorders>
              <w:bottom w:val="single" w:sz="8" w:color="auto"/>
            </w:tcBorders>
            <w:gridSpan w:val="2"/>
            <w:shd w:val="clear" w:color="auto" w:fill="CFF0FC"/>
          </w:tcPr>
          <w:p>
            <w:pPr>
              <w:jc w:val="right"/>
              <w:ind w:right="90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5,630</w:t>
            </w:r>
          </w:p>
        </w:tc>
        <w:tc>
          <w:tcPr>
            <w:tcW w:w="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6,352</w:t>
            </w:r>
          </w:p>
        </w:tc>
      </w:tr>
      <w:tr>
        <w:trPr>
          <w:trHeight w:val="547"/>
        </w:trPr>
        <w:tc>
          <w:tcPr>
            <w:tcW w:w="762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02"/>
        </w:trPr>
        <w:tc>
          <w:tcPr>
            <w:tcW w:w="76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-2639695</wp:posOffset>
            </wp:positionV>
            <wp:extent cx="1200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-2622550</wp:posOffset>
            </wp:positionV>
            <wp:extent cx="12001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-462280</wp:posOffset>
            </wp:positionV>
            <wp:extent cx="1200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-445135</wp:posOffset>
            </wp:positionV>
            <wp:extent cx="1200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17</w:t>
      </w:r>
    </w:p>
    <w:p>
      <w:pPr>
        <w:spacing w:after="0" w:line="100"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89"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(an exit price) in an orderly transaction between market participants at the reporting date. The categorization of a financial instrument within the valuation hierarchy is based on the lowest level of input that is significant to the fair value measurement. The following table sets forth the fair value of the Company’s financial assets and liabilities by level within the fair value hierarchy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6"/>
        </w:trPr>
        <w:tc>
          <w:tcPr>
            <w:tcW w:w="5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6"/>
        </w:trPr>
        <w:tc>
          <w:tcPr>
            <w:tcW w:w="5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30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Significant</w:t>
            </w:r>
          </w:p>
        </w:tc>
      </w:tr>
      <w:tr>
        <w:trPr>
          <w:trHeight w:val="175"/>
        </w:trPr>
        <w:tc>
          <w:tcPr>
            <w:tcW w:w="5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identical</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unobservable</w:t>
            </w:r>
          </w:p>
        </w:tc>
      </w:tr>
      <w:tr>
        <w:trPr>
          <w:trHeight w:val="176"/>
        </w:trPr>
        <w:tc>
          <w:tcPr>
            <w:tcW w:w="5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187"/>
        </w:trPr>
        <w:tc>
          <w:tcPr>
            <w:tcW w:w="5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center"/>
              <w:ind w:right="30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0"/>
        </w:trPr>
        <w:tc>
          <w:tcPr>
            <w:tcW w:w="52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r>
      <w:tr>
        <w:trPr>
          <w:trHeight w:val="21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345,679</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345,679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5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345,679</w:t>
            </w:r>
          </w:p>
        </w:tc>
        <w:tc>
          <w:tcPr>
            <w:tcW w:w="1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345,679</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347"/>
        </w:trPr>
        <w:tc>
          <w:tcPr>
            <w:tcW w:w="5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6"/>
        </w:trPr>
        <w:tc>
          <w:tcPr>
            <w:tcW w:w="5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6"/>
        </w:trPr>
        <w:tc>
          <w:tcPr>
            <w:tcW w:w="5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Significant</w:t>
            </w:r>
          </w:p>
        </w:tc>
      </w:tr>
      <w:tr>
        <w:trPr>
          <w:trHeight w:val="175"/>
        </w:trPr>
        <w:tc>
          <w:tcPr>
            <w:tcW w:w="5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identical</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unobservable</w:t>
            </w:r>
          </w:p>
        </w:tc>
      </w:tr>
      <w:tr>
        <w:trPr>
          <w:trHeight w:val="176"/>
        </w:trPr>
        <w:tc>
          <w:tcPr>
            <w:tcW w:w="5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187"/>
        </w:trPr>
        <w:tc>
          <w:tcPr>
            <w:tcW w:w="5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0"/>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480" w:type="dxa"/>
            <w:vAlign w:val="bottom"/>
            <w:gridSpan w:val="4"/>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327,272</w:t>
            </w:r>
          </w:p>
        </w:tc>
        <w:tc>
          <w:tcPr>
            <w:tcW w:w="3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327,272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Borders>
              <w:bottom w:val="single" w:sz="8" w:color="CFF0FC"/>
            </w:tcBorders>
            <w:gridSpan w:val="3"/>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11,949</w:t>
            </w:r>
          </w:p>
        </w:tc>
        <w:tc>
          <w:tcPr>
            <w:tcW w:w="10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gridSpan w:val="2"/>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11,949</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gridSpan w:val="4"/>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339,221</w:t>
            </w:r>
          </w:p>
        </w:tc>
        <w:tc>
          <w:tcPr>
            <w:tcW w:w="3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327,272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11,949</w:t>
            </w:r>
          </w:p>
        </w:tc>
        <w:tc>
          <w:tcPr>
            <w:tcW w:w="3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-1414145</wp:posOffset>
            </wp:positionV>
            <wp:extent cx="857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-1396365</wp:posOffset>
            </wp:positionV>
            <wp:extent cx="857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-1414145</wp:posOffset>
            </wp:positionV>
            <wp:extent cx="857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-1396365</wp:posOffset>
            </wp:positionV>
            <wp:extent cx="857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-1414145</wp:posOffset>
            </wp:positionV>
            <wp:extent cx="857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-1396365</wp:posOffset>
            </wp:positionV>
            <wp:extent cx="857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-170815</wp:posOffset>
            </wp:positionV>
            <wp:extent cx="939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-170815</wp:posOffset>
            </wp:positionV>
            <wp:extent cx="85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-170815</wp:posOffset>
            </wp:positionV>
            <wp:extent cx="857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did not have any transfers of financial assets measured at fair value on a recurring basis to or from Level 1, Level 2 or Level 3 for any of the periods presented.</w:t>
      </w:r>
    </w:p>
    <w:p>
      <w:pPr>
        <w:spacing w:after="0" w:line="13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table above does not include the Company's investments in privately held equity securities. Non-marketable equity investments of $1.6 million are included within Other noncurrent assets on the unaudited consolidated balance sheet as of June 30, 2022.</w:t>
      </w:r>
    </w:p>
    <w:p>
      <w:pPr>
        <w:spacing w:after="0" w:line="131"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88"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shows the components of property and equipment, net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360" w:type="dxa"/>
            <w:vAlign w:val="bottom"/>
          </w:tcPr>
          <w:p>
            <w:pPr>
              <w:spacing w:after="0"/>
              <w:rPr>
                <w:sz w:val="16"/>
                <w:szCs w:val="16"/>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102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3,673</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2,410</w:t>
            </w: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02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3,180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3,021</w:t>
            </w:r>
          </w:p>
        </w:tc>
      </w:tr>
      <w:tr>
        <w:trPr>
          <w:trHeight w:val="21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225</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344</w:t>
            </w: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102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673</w:t>
            </w:r>
          </w:p>
        </w:tc>
      </w:tr>
      <w:tr>
        <w:trPr>
          <w:trHeight w:val="216"/>
        </w:trPr>
        <w:tc>
          <w:tcPr>
            <w:tcW w:w="7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0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1,731</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1,263</w:t>
            </w:r>
          </w:p>
        </w:tc>
      </w:tr>
      <w:tr>
        <w:trPr>
          <w:trHeight w:val="210"/>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02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9,607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7,711</w:t>
            </w:r>
          </w:p>
        </w:tc>
      </w:tr>
      <w:tr>
        <w:trPr>
          <w:trHeight w:val="216"/>
        </w:trPr>
        <w:tc>
          <w:tcPr>
            <w:tcW w:w="7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(2,267 )</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(1,860 )</w:t>
            </w:r>
          </w:p>
        </w:tc>
      </w:tr>
      <w:tr>
        <w:trPr>
          <w:trHeight w:val="209"/>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7,340</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5,851</w:t>
            </w:r>
          </w:p>
        </w:tc>
      </w:tr>
      <w:tr>
        <w:trPr>
          <w:trHeight w:val="20"/>
        </w:trPr>
        <w:tc>
          <w:tcPr>
            <w:tcW w:w="73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-454025</wp:posOffset>
            </wp:positionV>
            <wp:extent cx="111125" cy="146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1125" cy="14605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-170815</wp:posOffset>
            </wp:positionV>
            <wp:extent cx="111125"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1125" cy="171450"/>
                    </a:xfrm>
                    <a:prstGeom prst="rect">
                      <a:avLst/>
                    </a:prstGeom>
                    <a:noFill/>
                  </pic:spPr>
                </pic:pic>
              </a:graphicData>
            </a:graphic>
          </wp:anchor>
        </w:drawing>
      </w:r>
    </w:p>
    <w:p>
      <w:pPr>
        <w:spacing w:after="0" w:line="27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Total depreciation expense for the three and six months ended June 30, 2022 was $398,000 and $738,000, respectively. Total depreciation expense for the three and six months ended June 30, 2021 was $199,000 and $366,000, respectively.</w:t>
      </w:r>
    </w:p>
    <w:p>
      <w:pPr>
        <w:spacing w:after="0" w:line="200" w:lineRule="exact"/>
        <w:rPr>
          <w:sz w:val="20"/>
          <w:szCs w:val="20"/>
          <w:color w:val="auto"/>
        </w:rPr>
      </w:pPr>
    </w:p>
    <w:p>
      <w:pPr>
        <w:spacing w:after="0" w:line="242"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w:t>
      </w:r>
    </w:p>
    <w:p>
      <w:pPr>
        <w:spacing w:after="0" w:line="189"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On November 2, 2021, the Company completed the acquisition of the reagents business of Tonbo Biotechnologies Corporation ("Tonbo") for an aggregate cash consideration of $17 million. The acquired assets include a portfolio of life science research reagents related to cell preparation, flow cytometry, molecular immunology/polymerase chain reaction and cell culture covering application areas across immunology, apoptosis and immunoprofiling.</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18</w:t>
      </w:r>
    </w:p>
    <w:p>
      <w:pPr>
        <w:spacing w:after="0" w:line="104"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in accordance with ASC 805. The tangible and intangible assets acquired were recorded at fair value on the acquisition date. The purchase price allocation is based upon preliminary valuations and estimates and assumptions which are subject to change within the purchase price allocation period, generally one year from the acquisition date. The following table represents the allocation of the purchase price to the assets acquired by the Company as part of the acquisition included in the Company’s consolidated balance sheets, and is reconciled to the purchase price.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ind w:right="791"/>
              <w:spacing w:after="0"/>
              <w:rPr>
                <w:sz w:val="20"/>
                <w:szCs w:val="20"/>
                <w:color w:val="auto"/>
              </w:rPr>
            </w:pPr>
            <w:r>
              <w:rPr>
                <w:rFonts w:ascii="Times New Roman" w:cs="Times New Roman" w:eastAsia="Times New Roman" w:hAnsi="Times New Roman"/>
                <w:sz w:val="18"/>
                <w:szCs w:val="18"/>
                <w:b w:val="1"/>
                <w:bCs w:val="1"/>
                <w:color w:val="auto"/>
              </w:rPr>
              <w:t>Tonbo</w:t>
            </w:r>
          </w:p>
        </w:tc>
      </w:tr>
      <w:tr>
        <w:trPr>
          <w:trHeight w:val="220"/>
        </w:trPr>
        <w:tc>
          <w:tcPr>
            <w:tcW w:w="9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ind w:right="571"/>
              <w:spacing w:after="0"/>
              <w:rPr>
                <w:sz w:val="20"/>
                <w:szCs w:val="20"/>
                <w:color w:val="auto"/>
              </w:rPr>
            </w:pPr>
            <w:r>
              <w:rPr>
                <w:rFonts w:ascii="Times New Roman" w:cs="Times New Roman" w:eastAsia="Times New Roman" w:hAnsi="Times New Roman"/>
                <w:sz w:val="16"/>
                <w:szCs w:val="16"/>
                <w:color w:val="auto"/>
              </w:rPr>
              <w:t>(in thousands)</w:t>
            </w:r>
          </w:p>
        </w:tc>
      </w:tr>
      <w:tr>
        <w:trPr>
          <w:trHeight w:val="226"/>
        </w:trPr>
        <w:tc>
          <w:tcPr>
            <w:tcW w:w="9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2,549</w:t>
            </w:r>
          </w:p>
        </w:tc>
      </w:tr>
      <w:tr>
        <w:trPr>
          <w:trHeight w:val="216"/>
        </w:trPr>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Assets</w:t>
            </w:r>
          </w:p>
        </w:tc>
        <w:tc>
          <w:tcPr>
            <w:tcW w:w="320" w:type="dxa"/>
            <w:vAlign w:val="bottom"/>
          </w:tcPr>
          <w:p>
            <w:pPr>
              <w:spacing w:after="0"/>
              <w:rPr>
                <w:sz w:val="18"/>
                <w:szCs w:val="18"/>
                <w:color w:val="auto"/>
              </w:rPr>
            </w:pPr>
          </w:p>
        </w:tc>
        <w:tc>
          <w:tcPr>
            <w:tcW w:w="1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9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Reagent licenses</w:t>
            </w:r>
          </w:p>
        </w:tc>
        <w:tc>
          <w:tcPr>
            <w:tcW w:w="320" w:type="dxa"/>
            <w:vAlign w:val="bottom"/>
            <w:shd w:val="clear" w:color="auto" w:fill="CFF0FC"/>
          </w:tcPr>
          <w:p>
            <w:pPr>
              <w:spacing w:after="0"/>
              <w:rPr>
                <w:sz w:val="18"/>
                <w:szCs w:val="18"/>
                <w:color w:val="auto"/>
              </w:rPr>
            </w:pPr>
          </w:p>
        </w:tc>
        <w:tc>
          <w:tcPr>
            <w:tcW w:w="18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1,800</w:t>
            </w:r>
          </w:p>
        </w:tc>
      </w:tr>
      <w:tr>
        <w:trPr>
          <w:trHeight w:val="216"/>
        </w:trPr>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320" w:type="dxa"/>
            <w:vAlign w:val="bottom"/>
          </w:tcPr>
          <w:p>
            <w:pPr>
              <w:spacing w:after="0"/>
              <w:rPr>
                <w:sz w:val="18"/>
                <w:szCs w:val="18"/>
                <w:color w:val="auto"/>
              </w:rPr>
            </w:pPr>
          </w:p>
        </w:tc>
        <w:tc>
          <w:tcPr>
            <w:tcW w:w="1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700</w:t>
            </w:r>
          </w:p>
        </w:tc>
      </w:tr>
      <w:tr>
        <w:trPr>
          <w:trHeight w:val="216"/>
        </w:trPr>
        <w:tc>
          <w:tcPr>
            <w:tcW w:w="9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2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2,200</w:t>
            </w:r>
          </w:p>
        </w:tc>
      </w:tr>
      <w:tr>
        <w:trPr>
          <w:trHeight w:val="210"/>
        </w:trPr>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 acquired</w:t>
            </w:r>
          </w:p>
        </w:tc>
        <w:tc>
          <w:tcPr>
            <w:tcW w:w="320" w:type="dxa"/>
            <w:vAlign w:val="bottom"/>
          </w:tcPr>
          <w:p>
            <w:pPr>
              <w:spacing w:after="0"/>
              <w:rPr>
                <w:sz w:val="18"/>
                <w:szCs w:val="18"/>
                <w:color w:val="auto"/>
              </w:rPr>
            </w:pPr>
          </w:p>
        </w:tc>
        <w:tc>
          <w:tcPr>
            <w:tcW w:w="1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7,332</w:t>
            </w:r>
          </w:p>
        </w:tc>
      </w:tr>
      <w:tr>
        <w:trPr>
          <w:trHeight w:val="216"/>
        </w:trPr>
        <w:tc>
          <w:tcPr>
            <w:tcW w:w="9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9,668</w:t>
            </w:r>
          </w:p>
        </w:tc>
      </w:tr>
      <w:tr>
        <w:trPr>
          <w:trHeight w:val="209"/>
        </w:trPr>
        <w:tc>
          <w:tcPr>
            <w:tcW w:w="9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17,000</w:t>
            </w:r>
          </w:p>
        </w:tc>
      </w:tr>
      <w:tr>
        <w:trPr>
          <w:trHeight w:val="20"/>
        </w:trPr>
        <w:tc>
          <w:tcPr>
            <w:tcW w:w="9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$9.7 million of goodwill arising from the Tonbo acquisition is primarily attributed to significant time-to-market advantages, as the Company gained immediate access to Tonbo’s products, existing relationships and business infrastructure and Tonbo’s knowledgeable and experienced workforce. The goodwill is expected to be deductible for tax purposes.</w:t>
      </w:r>
    </w:p>
    <w:p>
      <w:pPr>
        <w:spacing w:after="0" w:line="15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Intangible assets eligible for recognition separate from goodwill were those that satisfied either the contractual or legal criterion or the separability criterion in the accounting guidance. The identifiable intangible assets acquired and their estimated useful lives for amortization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2"/>
          </w:tcPr>
          <w:p>
            <w:pPr>
              <w:jc w:val="center"/>
              <w:ind w:right="2830"/>
              <w:spacing w:after="0"/>
              <w:rPr>
                <w:sz w:val="20"/>
                <w:szCs w:val="20"/>
                <w:color w:val="auto"/>
              </w:rPr>
            </w:pPr>
            <w:r>
              <w:rPr>
                <w:rFonts w:ascii="Times New Roman" w:cs="Times New Roman" w:eastAsia="Times New Roman" w:hAnsi="Times New Roman"/>
                <w:sz w:val="18"/>
                <w:szCs w:val="18"/>
                <w:b w:val="1"/>
                <w:bCs w:val="1"/>
                <w:color w:val="auto"/>
                <w:w w:val="95"/>
              </w:rPr>
              <w:t>Tonbo</w:t>
            </w:r>
          </w:p>
        </w:tc>
      </w:tr>
      <w:tr>
        <w:trPr>
          <w:trHeight w:val="210"/>
        </w:trPr>
        <w:tc>
          <w:tcPr>
            <w:tcW w:w="4640" w:type="dxa"/>
            <w:vAlign w:val="bottom"/>
          </w:tcPr>
          <w:p>
            <w:pPr>
              <w:spacing w:after="0"/>
              <w:rPr>
                <w:sz w:val="18"/>
                <w:szCs w:val="18"/>
                <w:color w:val="auto"/>
              </w:rPr>
            </w:pPr>
          </w:p>
        </w:tc>
        <w:tc>
          <w:tcPr>
            <w:tcW w:w="2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8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Useful life (years)</w:t>
            </w:r>
          </w:p>
        </w:tc>
      </w:tr>
      <w:tr>
        <w:trPr>
          <w:trHeight w:val="196"/>
        </w:trPr>
        <w:tc>
          <w:tcPr>
            <w:tcW w:w="46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560" w:type="dxa"/>
            <w:vAlign w:val="bottom"/>
            <w:gridSpan w:val="3"/>
          </w:tcPr>
          <w:p>
            <w:pPr>
              <w:jc w:val="center"/>
              <w:ind w:right="1950"/>
              <w:spacing w:after="0"/>
              <w:rPr>
                <w:sz w:val="20"/>
                <w:szCs w:val="20"/>
                <w:color w:val="auto"/>
              </w:rPr>
            </w:pPr>
            <w:r>
              <w:rPr>
                <w:rFonts w:ascii="Times New Roman" w:cs="Times New Roman" w:eastAsia="Times New Roman" w:hAnsi="Times New Roman"/>
                <w:sz w:val="16"/>
                <w:szCs w:val="16"/>
                <w:color w:val="auto"/>
              </w:rPr>
              <w:t>(In thousands, except for years)</w:t>
            </w:r>
          </w:p>
        </w:tc>
      </w:tr>
      <w:tr>
        <w:trPr>
          <w:trHeight w:val="216"/>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40" w:type="dxa"/>
            <w:vAlign w:val="bottom"/>
            <w:shd w:val="clear" w:color="auto" w:fill="CFF0FC"/>
          </w:tcPr>
          <w:p>
            <w:pPr>
              <w:jc w:val="right"/>
              <w:ind w:right="18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2,200</w:t>
            </w:r>
          </w:p>
        </w:tc>
        <w:tc>
          <w:tcPr>
            <w:tcW w:w="3680" w:type="dxa"/>
            <w:vAlign w:val="bottom"/>
            <w:gridSpan w:val="2"/>
            <w:shd w:val="clear" w:color="auto" w:fill="CFF0FC"/>
          </w:tcPr>
          <w:p>
            <w:pPr>
              <w:jc w:val="center"/>
              <w:ind w:left="270"/>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Reagent licenses</w:t>
            </w:r>
          </w:p>
        </w:tc>
        <w:tc>
          <w:tcPr>
            <w:tcW w:w="204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1,800</w:t>
            </w:r>
          </w:p>
        </w:tc>
        <w:tc>
          <w:tcPr>
            <w:tcW w:w="36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4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20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700</w:t>
            </w:r>
          </w:p>
        </w:tc>
        <w:tc>
          <w:tcPr>
            <w:tcW w:w="3680" w:type="dxa"/>
            <w:vAlign w:val="bottom"/>
            <w:tcBorders>
              <w:bottom w:val="single" w:sz="8" w:color="CFF0FC"/>
            </w:tcBorders>
            <w:gridSpan w:val="2"/>
            <w:shd w:val="clear" w:color="auto" w:fill="CFF0FC"/>
          </w:tcPr>
          <w:p>
            <w:pPr>
              <w:jc w:val="center"/>
              <w:ind w:left="270"/>
              <w:spacing w:after="0"/>
              <w:rPr>
                <w:sz w:val="20"/>
                <w:szCs w:val="20"/>
                <w:color w:val="auto"/>
              </w:rPr>
            </w:pPr>
            <w:r>
              <w:rPr>
                <w:rFonts w:ascii="Times New Roman" w:cs="Times New Roman" w:eastAsia="Times New Roman" w:hAnsi="Times New Roman"/>
                <w:sz w:val="18"/>
                <w:szCs w:val="18"/>
                <w:color w:val="auto"/>
                <w:w w:val="88"/>
              </w:rPr>
              <w:t>4</w:t>
            </w:r>
          </w:p>
        </w:tc>
      </w:tr>
      <w:tr>
        <w:trPr>
          <w:trHeight w:val="210"/>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040" w:type="dxa"/>
            <w:vAlign w:val="bottom"/>
            <w:tcBorders>
              <w:bottom w:val="single" w:sz="8" w:color="auto"/>
            </w:tcBorders>
          </w:tcPr>
          <w:p>
            <w:pPr>
              <w:jc w:val="right"/>
              <w:ind w:right="18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4,700</w:t>
            </w:r>
          </w:p>
        </w:tc>
        <w:tc>
          <w:tcPr>
            <w:tcW w:w="36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-170815</wp:posOffset>
            </wp:positionV>
            <wp:extent cx="22288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286"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customer relationships intangible asset represents the fair value of the underlying relationships with Tonbo’s customers. The tradename intangible asset represents the fair value of brand and name recognition associated with the marketing of Tonbo's reagents. The reagent license intangible asset represents the fair value of access to certain antibodies to manufacture reagents.</w:t>
      </w:r>
    </w:p>
    <w:p>
      <w:pPr>
        <w:spacing w:after="0" w:line="150"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The fair value of the customer relationships intangible asset was determined based on the excess earnings method; the fair values of the tradename intangible assets were determined based on the relief-from-royalty method; and the fair value of the reagent license intangible asset was determined based on the cost approach method. The key assumptions used in estimating the fair values of intangible assets included forecasted financial information; customer retention rates; royalty rate of 2.0% for the tradename intangible assets; discount rate of 13.0% for all intangible assets; and certain other assumptions.</w:t>
      </w:r>
    </w:p>
    <w:p>
      <w:pPr>
        <w:spacing w:after="0" w:line="1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acquired intangibles are being amortized over their estimated useful lives using the straight-line method of amortization.</w:t>
      </w:r>
    </w:p>
    <w:p>
      <w:pPr>
        <w:spacing w:after="0" w:line="18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fair value assigned to the assets acquired are based on reasonable assumptions and estimates that market participants would use. Actual results may differ from these estimates and assumptions.</w:t>
      </w:r>
    </w:p>
    <w:p>
      <w:pPr>
        <w:spacing w:after="0" w:line="135"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The results of operations for the acquisition are included in the consolidated financial statements of the Company from the date of the acquisition and net revenues and operating loss are not material. The Company has not included pro forma financial information related to the acquisition as the overall impact to the financial statements was not material. Transaction costs incurred by the Company related to the acquisition totaled approximately $230,000 for the year ended December 31, 2021, which were expensed and recorded as a component of general and administrative expenses in the consolidated statement of operations.</w:t>
      </w:r>
    </w:p>
    <w:p>
      <w:pPr>
        <w:spacing w:after="0" w:line="150"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 net</w:t>
      </w:r>
    </w:p>
    <w:p>
      <w:pPr>
        <w:spacing w:after="0" w:line="18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addition of goodwill for the year ended December 31, 2021 is discussed in Note 8. There were no changes in goodwill for the six months ended June 30, 2022.</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19</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the components of intangible assets, net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660" w:type="dxa"/>
            <w:vAlign w:val="bottom"/>
          </w:tcPr>
          <w:p>
            <w:pPr>
              <w:spacing w:after="0"/>
              <w:rPr>
                <w:sz w:val="16"/>
                <w:szCs w:val="16"/>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Patents and trademarks</w:t>
            </w:r>
          </w:p>
        </w:tc>
        <w:tc>
          <w:tcPr>
            <w:tcW w:w="1060" w:type="dxa"/>
            <w:vAlign w:val="bottom"/>
            <w:shd w:val="clear" w:color="auto" w:fill="CFF0FC"/>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428</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387</w:t>
            </w: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106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700</w:t>
            </w:r>
          </w:p>
        </w:tc>
      </w:tr>
      <w:tr>
        <w:trPr>
          <w:trHeight w:val="21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IP license</w:t>
            </w: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476</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476</w:t>
            </w: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6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2,200</w:t>
            </w:r>
          </w:p>
        </w:tc>
      </w:tr>
      <w:tr>
        <w:trPr>
          <w:trHeight w:val="216"/>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Reagent license</w:t>
            </w:r>
          </w:p>
        </w:tc>
        <w:tc>
          <w:tcPr>
            <w:tcW w:w="10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1,800</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1,800</w:t>
            </w:r>
          </w:p>
        </w:tc>
      </w:tr>
      <w:tr>
        <w:trPr>
          <w:trHeight w:val="20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intangible assets</w:t>
            </w:r>
          </w:p>
        </w:tc>
        <w:tc>
          <w:tcPr>
            <w:tcW w:w="106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5,604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5,563</w:t>
            </w:r>
          </w:p>
        </w:tc>
      </w:tr>
      <w:tr>
        <w:trPr>
          <w:trHeight w:val="216"/>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0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(1,745 )</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(824 )</w:t>
            </w:r>
          </w:p>
        </w:tc>
      </w:tr>
      <w:tr>
        <w:trPr>
          <w:trHeight w:val="210"/>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 net</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3,859</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4,739</w:t>
            </w:r>
          </w:p>
        </w:tc>
      </w:tr>
      <w:tr>
        <w:trPr>
          <w:trHeight w:val="20"/>
        </w:trPr>
        <w:tc>
          <w:tcPr>
            <w:tcW w:w="76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-453390</wp:posOffset>
            </wp:positionV>
            <wp:extent cx="1111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-170815</wp:posOffset>
            </wp:positionV>
            <wp:extent cx="1111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272"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Total amortization expense for the three and six months ended June 30, 2022 was approximately $468,000 and $921,000, respectively. Total amortization expense for the three and six months ended June 30, 2021 was less than $1,000 and $2,000, respectively.</w:t>
      </w:r>
    </w:p>
    <w:p>
      <w:pPr>
        <w:spacing w:after="0" w:line="117"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 settlement liability</w:t>
      </w:r>
    </w:p>
    <w:p>
      <w:pPr>
        <w:spacing w:after="0" w:line="175"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On February 13, 2018, Becton, Dickinson, and Company (“BD”) filed a lawsuit against the Company alleging trade secret misappropriation and copyright infringement. On October 6, 2020, the Company entered into a Settlement, License and Equity Issuance Agreement with BD pursuant to which the Company and BD agreed to a mutual release of all claims against each other as of the date thereof (the “BD Agreement”). Additionally, BD granted Cytek a non-exclusive, irrevocable, perpetual, worldwide and non-transferrable license to certain BD patents and covenanted that it would not enforce or permit or encourage the enforcement of BD patents against Cytek or its affiliates in connection with the development, manufacture, use, importation, offer for sale or sale of its then-current instruments. In exchange, the Company agreed that Cytek and its affiliates would not dispute or challenge in a legal proceeding the validity, enforceability or scope of the applicable BD patent claims and agreed to make certain payments to BD, including (i) a one-time upfront payment of $2.0 million, (ii) a low single digit royalty payment for ten years, based on net sales of certain of its products, (iii) $6.0 million milestone payment upon the occurrence of a certain sales threshold, and (iv) a specified payment upon the closing of a change of control transaction, if any. The Company also issued 2,087,545 shares of the Company’s common stock to BD during the year ended December 31, 2020 in connection with the BD settlement. In the fourth quarter of 2021, the Company achieved the milestone and made the payment.</w:t>
      </w:r>
    </w:p>
    <w:p>
      <w:pPr>
        <w:spacing w:after="0" w:line="161"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The Company separated the settlement agreement into two elements, the litigation settlement and future licensing rights. The Company could not readily determine the fair value of the litigation settlement of prior infringement claims between the Company and BD. Therefore, the Company applied the residual method and allocated the difference between the total present value consideration payable under the BD Agreement and the estimated fair value of the future licensing rights to the litigation settlement element. The Company determined the estimated fair value of the future licensing rights based on the relief from royalty method. The significant assumptions used were the market royalty rate estimated as a royalty rate that a market participant would pay to license the BD intellectual property, forecasted sales subject to the market royalty rate and the discount rate.</w:t>
      </w:r>
    </w:p>
    <w:p>
      <w:pPr>
        <w:spacing w:after="0" w:line="153"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The patents in question were determined to have an average useful life of 18 months. Accordingly, beginning the second quarter of 2022, the remaining contractual payments will be classified as operating expenses as they are considered to be represented of deferred litigation settlement. The Company did not record any product cost of sales related to royalty expenses for the three months ended June 30, 2022. The Company recorded $0.8 million product cost of sales related to royalty expense for the six months ended June 30, 2022. The Company recorded $0.7 million and $1.4 million product cost of sales related to royalty expense for the three and six months ended June 30, 2021, respectively. The Company recorded $0.5 million and $1.0 million of interest expense for the three and six months ended June 30, 2022, respectively, and $0.4 million and $0.8 million of interest expense for the three and six months ended June 30, 2021, respectively, to accrete the present value discount of the payment streams over the payment period of ten years from the settlement date using the effective interest rate method. The Company made a one-time upfront payment and issued 2,087,545 shares of the Company’s common stock to BD during the year ended December 31, 2020. The Company recorded legal settlement liability on the consolidated balance sheets of $16.8 million and $15.2 million as of June 30, 2022 and December 31, 2021, respectively, and will record licensing expense in future periods.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20</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the components of the legal settlement liability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280" w:type="dxa"/>
            <w:vAlign w:val="bottom"/>
          </w:tcPr>
          <w:p>
            <w:pPr>
              <w:spacing w:after="0"/>
              <w:rPr>
                <w:sz w:val="16"/>
                <w:szCs w:val="16"/>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6"/>
        </w:trPr>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Legal settlement liability</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2,139</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1,463</w:t>
            </w:r>
          </w:p>
        </w:tc>
      </w:tr>
      <w:tr>
        <w:trPr>
          <w:trHeight w:val="216"/>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6"/>
        </w:trPr>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Legal settlement liability</w:t>
            </w: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6"/>
              </w:rPr>
              <w:t>14,649</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13,745</w:t>
            </w:r>
          </w:p>
        </w:tc>
      </w:tr>
      <w:tr>
        <w:trPr>
          <w:trHeight w:val="249"/>
        </w:trPr>
        <w:tc>
          <w:tcPr>
            <w:tcW w:w="7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legal settlement liability</w:t>
            </w:r>
          </w:p>
        </w:tc>
        <w:tc>
          <w:tcPr>
            <w:tcW w:w="1040" w:type="dxa"/>
            <w:vAlign w:val="bottom"/>
            <w:tcBorders>
              <w:bottom w:val="single" w:sz="8" w:color="auto"/>
            </w:tcBorders>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16,788</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15,208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-25400</wp:posOffset>
            </wp:positionV>
            <wp:extent cx="1111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1111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68"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convertible preferred stock</w:t>
      </w:r>
    </w:p>
    <w:p>
      <w:pPr>
        <w:spacing w:after="0" w:line="189"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In March 2015, the Company entered into a Series A Preferred Stock Purchase Agreement (“Series A Agreement”) with certain investors pursuant to which it sold and issued 9,799,755 shares of Series A redeemable convertible preferred stock (“Series A shares”) at a purchase price of $0.38 per share in the initial closing. In July 2015, the Company sold and issued an additional 8,166,462 Series A shares at a purchase price of $0.38 per share pursuant to a subsequent closing under the Series A Agreement. In October 2015, the Company sold and issued an additional 14,699,632 Series A shares at a purchase price of $0.38 per share pursuant to a milestone closing under the Series A Agreement. A total of 32,665,849 Series A shares were issued for $12.2 million, net of issuance costs of $89,000.</w:t>
      </w:r>
    </w:p>
    <w:p>
      <w:pPr>
        <w:spacing w:after="0" w:line="153"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December 2016, the Company entered into a Series B Preferred Stock Purchase Agreement (“Series B Agreement”) with certain investors pursuant to which it sold and issued 9,888,639 shares of Series B convertible redeemable preferred stock (“Series B shares”) at a purchase price of $0.75 per share in the initial closing. In January 2018, the Company sold and issued an additional 6,110,957 Series B shares at a purchase price of $0.75 per share pursuant to a milestone closing under the Series B Agreement.</w:t>
      </w:r>
    </w:p>
    <w:p>
      <w:pPr>
        <w:spacing w:after="0" w:line="150"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In September 2018, the Company entered into a Series C Preferred Stock Purchase Agreement (“Series C Agreement”) with certain investors pursuant to which it sold and issued 18,717,804 shares of Series C convertible redeemable preferred stock (“Series C shares” and together with Series A shares, Series B shares and Series C shares, the “2018 Preferred Stock”) at a purchase price of $2.40 per share in the initial closing. In November and December 2018, the Company sold and issued an additional 2,501,265 and 2,084,387 Series C shares, respectively, at a purchase price of $2.40 per share pursuant to subsequent closings under the Series C Agreement.</w:t>
      </w:r>
    </w:p>
    <w:p>
      <w:pPr>
        <w:spacing w:after="0" w:line="154"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In October 2018, the Company repurchased 2,452,270 Series A shares at a price per share of $2.04 (“Series A Repurchase”), for an aggregate purchase price of $5.0 million. In connection with the Series A Repurchase, the Company filed a Certificate of Retirement with the Secretary of State in the State of Delaware to (i) cancel and retire the repurchased shares as required by the Company’s Amended and Restated Certificate of Incorporation, (ii) reduce the number of 2018 Preferred Stock authorized under the Company’s Amended and Restated Certificate of Incorporation to 70,212,570 from 72,664,850 and (iii) reduce the number of Series A shares authorized under the Company’s Amended and Restated Certificate of Incorporation 30,213,574 from 32,665,849.</w:t>
      </w:r>
    </w:p>
    <w:p>
      <w:pPr>
        <w:spacing w:after="0" w:line="155"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October 2020, under the amended and restated certificate of incorporation dated October 22, 2020 (“October COI”), the Company issued 17,752,068 shares of Series D redeemable convertible preferred stock (“Series D shares” and together with Series A shares, Series B shares, Series C shares, the “Preferred Stock”) at a purchase price of $6.76 per share for net proceeds of $119.7 million and authorized the reduction of the Series C to 23,303,456.</w:t>
      </w:r>
    </w:p>
    <w:p>
      <w:pPr>
        <w:spacing w:after="0" w:line="15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July 2021, all of the then-outstanding shares of Preferred Stock automatically converted into 87,268,694 shares of common stock immediately upon the closing of Company’s IPO.</w:t>
      </w:r>
    </w:p>
    <w:p>
      <w:pPr>
        <w:spacing w:after="0" w:line="13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classified its Preferred Stock as temporary equity in the accompanying unaudited interim consolidated balance sheets due to terms that allow for redemption of the shares upon certain change in control events that are outside of the Company’s control, including sale or transfer of control of the Company, as holders of the Preferred Stock could cause redemption of the shares in these situations.</w:t>
      </w:r>
    </w:p>
    <w:p>
      <w:pPr>
        <w:spacing w:after="0" w:line="125"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189" w:lineRule="exact"/>
        <w:rPr>
          <w:sz w:val="20"/>
          <w:szCs w:val="20"/>
          <w:color w:val="auto"/>
        </w:rPr>
      </w:pPr>
    </w:p>
    <w:p>
      <w:pPr>
        <w:jc w:val="both"/>
        <w:ind w:left="20" w:right="20" w:firstLine="509"/>
        <w:spacing w:after="0" w:line="250" w:lineRule="auto"/>
        <w:rPr>
          <w:sz w:val="20"/>
          <w:szCs w:val="20"/>
          <w:color w:val="auto"/>
        </w:rPr>
      </w:pPr>
      <w:r>
        <w:rPr>
          <w:rFonts w:ascii="Times New Roman" w:cs="Times New Roman" w:eastAsia="Times New Roman" w:hAnsi="Times New Roman"/>
          <w:sz w:val="18"/>
          <w:szCs w:val="18"/>
          <w:color w:val="auto"/>
        </w:rPr>
        <w:t>As of June 30, 2022, the Company has authorized 1,000,000,000 shares of common stock at $0.001 par value. Holders of common stock are entitled to one vote per share, and to receive dividends, only and if declared by the Board of Directors and, upon liquidation or dissolution, are entitled to receive all assets available for distribution to stockholders, subordinate to the rights, preferences and privileges of any outstanding Preferred Stock with respect to dividends and in connection with a liquidation, winding up and dissolution of the Company. The holders have no preemptive or other subscription rights.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21</w:t>
      </w:r>
    </w:p>
    <w:p>
      <w:pPr>
        <w:spacing w:after="0" w:line="94" w:lineRule="exact"/>
        <w:rPr>
          <w:sz w:val="20"/>
          <w:szCs w:val="20"/>
          <w:color w:val="auto"/>
        </w:rPr>
      </w:pPr>
    </w:p>
    <w:p>
      <w:pPr>
        <w:jc w:val="both"/>
        <w:ind w:left="20" w:firstLine="509"/>
        <w:spacing w:after="0" w:line="284" w:lineRule="auto"/>
        <w:rPr>
          <w:sz w:val="20"/>
          <w:szCs w:val="20"/>
          <w:color w:val="auto"/>
        </w:rPr>
      </w:pPr>
      <w:r>
        <w:rPr>
          <w:rFonts w:ascii="Times New Roman" w:cs="Times New Roman" w:eastAsia="Times New Roman" w:hAnsi="Times New Roman"/>
          <w:sz w:val="22"/>
          <w:szCs w:val="22"/>
          <w:color w:val="auto"/>
        </w:rPr>
        <w:t>O</w:t>
      </w:r>
      <w:r>
        <w:rPr>
          <w:rFonts w:ascii="Times New Roman" w:cs="Times New Roman" w:eastAsia="Times New Roman" w:hAnsi="Times New Roman"/>
          <w:sz w:val="17"/>
          <w:szCs w:val="17"/>
          <w:color w:val="auto"/>
        </w:rPr>
        <w:t>n July 16, 2021, the Board and the Company’s stockholders approved an amendment and restatement of the Company’s certificate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incorporation to effect the Stock Split, which became effective upon filing with the Secretary of State of the State of Delaware on July 16, 2021</w:t>
      </w:r>
      <w:r>
        <w:rPr>
          <w:rFonts w:ascii="Times New Roman" w:cs="Times New Roman" w:eastAsia="Times New Roman" w:hAnsi="Times New Roman"/>
          <w:sz w:val="21"/>
          <w:szCs w:val="21"/>
          <w:color w:val="auto"/>
        </w:rPr>
        <w:t>.</w:t>
      </w:r>
    </w:p>
    <w:p>
      <w:pPr>
        <w:spacing w:after="0" w:line="113" w:lineRule="exact"/>
        <w:rPr>
          <w:sz w:val="20"/>
          <w:szCs w:val="20"/>
          <w:color w:val="auto"/>
        </w:rPr>
      </w:pPr>
    </w:p>
    <w:p>
      <w:pPr>
        <w:jc w:val="both"/>
        <w:ind w:left="20" w:firstLine="509"/>
        <w:spacing w:after="0" w:line="250" w:lineRule="auto"/>
        <w:rPr>
          <w:sz w:val="20"/>
          <w:szCs w:val="20"/>
          <w:color w:val="auto"/>
        </w:rPr>
      </w:pPr>
      <w:r>
        <w:rPr>
          <w:rFonts w:ascii="Times New Roman" w:cs="Times New Roman" w:eastAsia="Times New Roman" w:hAnsi="Times New Roman"/>
          <w:sz w:val="18"/>
          <w:szCs w:val="18"/>
          <w:color w:val="auto"/>
        </w:rPr>
        <w:t>On July 16, 2021, the Board and the Company’s stockholders approved an amendment and restatement of the Company’s certificate of incorporation, which became effective immediately following the closing of the IPO on July 27, 2021 and filing with the Secretary of State of the State of Delaware.</w:t>
      </w:r>
    </w:p>
    <w:p>
      <w:pPr>
        <w:spacing w:after="0" w:line="146"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plan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Plans</w:t>
      </w:r>
    </w:p>
    <w:p>
      <w:pPr>
        <w:spacing w:after="0" w:line="1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As of June 30, 2022, the Company had three stock-based compensation plans (the “Plans”) which are described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2015 Equity Incentive Plan</w:t>
      </w:r>
    </w:p>
    <w:p>
      <w:pPr>
        <w:spacing w:after="0" w:line="173" w:lineRule="exact"/>
        <w:rPr>
          <w:sz w:val="20"/>
          <w:szCs w:val="20"/>
          <w:color w:val="auto"/>
        </w:rPr>
      </w:pPr>
    </w:p>
    <w:p>
      <w:pPr>
        <w:jc w:val="both"/>
        <w:ind w:left="20" w:firstLine="509"/>
        <w:spacing w:after="0" w:line="250" w:lineRule="auto"/>
        <w:rPr>
          <w:sz w:val="20"/>
          <w:szCs w:val="20"/>
          <w:color w:val="auto"/>
        </w:rPr>
      </w:pPr>
      <w:r>
        <w:rPr>
          <w:rFonts w:ascii="Times New Roman" w:cs="Times New Roman" w:eastAsia="Times New Roman" w:hAnsi="Times New Roman"/>
          <w:sz w:val="18"/>
          <w:szCs w:val="18"/>
          <w:color w:val="auto"/>
        </w:rPr>
        <w:t>In March 2015, the Board approved the 2015 Equity Incentive Plan (“2015 Plan”), which provided for the granting of stock options to employees, directors and consultants of the Company. As of the effective date of the 2021 Plan described below, the 2015 Plan was terminated and no further equity awards may be granted pursuant to the 2015 Plan. Outstanding stock options granted under the 2015 Plan will continue to be governed by the provisions of the 2015 Plan until expiration or exercise, whichever is earlier.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Equity Incentive Plan</w:t>
      </w:r>
    </w:p>
    <w:p>
      <w:pPr>
        <w:spacing w:after="0" w:line="187" w:lineRule="exact"/>
        <w:rPr>
          <w:sz w:val="20"/>
          <w:szCs w:val="20"/>
          <w:color w:val="auto"/>
        </w:rPr>
      </w:pPr>
    </w:p>
    <w:p>
      <w:pPr>
        <w:jc w:val="both"/>
        <w:ind w:left="20" w:firstLine="509"/>
        <w:spacing w:after="0" w:line="243" w:lineRule="auto"/>
        <w:rPr>
          <w:sz w:val="20"/>
          <w:szCs w:val="20"/>
          <w:color w:val="auto"/>
        </w:rPr>
      </w:pPr>
      <w:r>
        <w:rPr>
          <w:rFonts w:ascii="Times New Roman" w:cs="Times New Roman" w:eastAsia="Times New Roman" w:hAnsi="Times New Roman"/>
          <w:sz w:val="18"/>
          <w:szCs w:val="18"/>
          <w:color w:val="auto"/>
        </w:rPr>
        <w:t>In July 2021, the Board approved the 2021 Equity Incentive Plan (the “2021 Plan”), which provides for the granting of stock options, stock appreciation rights, restricted stock awards, restricted stock unit ("RSU") awards, performance awards, and other awards to employees, directors and consultants of the Company. The 2021 Plan became effective on July 22, 2021 in connection with the IPO. Upon the 2021 Plan’s effective date, there were 18,000,000 shares of the Company’s common stock reserved for issuance thereunder. On January 1 of each year commencing after the effective date of the IPO and continuing through and including January 1, 2031, the number of shares of the Company’s common stock reserved for issuance under the 2021 Plan will increase automatically by an amount equal to 4% of the number of shares of the Company’s common stock outstanding on the preceding December 31, unless the Company’s Board of Directors elects to authorize a lesser number of shares prior to the applicable January 1. As of June 30, 2022, the total number of shares of common stock available for issuance under the 2021 Plan was 18,813,465 shares.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Employee Stock Purchase Plan</w:t>
      </w:r>
    </w:p>
    <w:p>
      <w:pPr>
        <w:spacing w:after="0" w:line="187" w:lineRule="exact"/>
        <w:rPr>
          <w:sz w:val="20"/>
          <w:szCs w:val="20"/>
          <w:color w:val="auto"/>
        </w:rPr>
      </w:pPr>
    </w:p>
    <w:p>
      <w:pPr>
        <w:jc w:val="both"/>
        <w:ind w:left="20" w:firstLine="509"/>
        <w:spacing w:after="0" w:line="247" w:lineRule="auto"/>
        <w:rPr>
          <w:sz w:val="20"/>
          <w:szCs w:val="20"/>
          <w:color w:val="auto"/>
        </w:rPr>
      </w:pPr>
      <w:r>
        <w:rPr>
          <w:rFonts w:ascii="Times New Roman" w:cs="Times New Roman" w:eastAsia="Times New Roman" w:hAnsi="Times New Roman"/>
          <w:sz w:val="18"/>
          <w:szCs w:val="18"/>
          <w:color w:val="auto"/>
        </w:rPr>
        <w:t>In July 2021, the Board approved the 2021 Employee Stock Purchase Plan (the “ESPP”). The ESPP became effective on July 22, 2021 in connection with the IPO. Upon the ESPP’s effective date, there were 2,000,000 shares of the Company’s common stock reserved for issuance thereunder. On January 1 of each year commencing after the effective date of the IPO and continuing through and including January 1, 2031, the number of shares of the Company’s common stock reserved for issuance under the ESPP will increase automatically by an amount equal to the lesser of (1) 1% of the number of shares of the Company’s common stock outstanding on the preceding December 31, (2) 5,000,000 shares and (3) a number of shares determined by the Board. During the six months ended June 30, 2022, 92,638 shares were issued pursuant to purchases under the ESPP.</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valuation assumptions</w:t>
      </w:r>
    </w:p>
    <w:p>
      <w:pPr>
        <w:spacing w:after="0" w:line="187" w:lineRule="exact"/>
        <w:rPr>
          <w:sz w:val="20"/>
          <w:szCs w:val="20"/>
          <w:color w:val="auto"/>
        </w:rPr>
      </w:pPr>
    </w:p>
    <w:p>
      <w:pPr>
        <w:jc w:val="both"/>
        <w:ind w:left="20" w:firstLine="509"/>
        <w:spacing w:after="0" w:line="245" w:lineRule="auto"/>
        <w:rPr>
          <w:sz w:val="20"/>
          <w:szCs w:val="20"/>
          <w:color w:val="auto"/>
        </w:rPr>
      </w:pPr>
      <w:r>
        <w:rPr>
          <w:rFonts w:ascii="Times New Roman" w:cs="Times New Roman" w:eastAsia="Times New Roman" w:hAnsi="Times New Roman"/>
          <w:sz w:val="18"/>
          <w:szCs w:val="18"/>
          <w:color w:val="auto"/>
        </w:rPr>
        <w:t>The Company estimates the fair value of each stock option grant on the date of grant using the Black-Scholes option pricing model. The model assumptions include expected volatility, expected term, dividend yield, and the risk-free interest rate. The expected volatility was based on the volatility of a group of similar entities. The Company derived expected term by using the “simplified” method (the expected term is determined as the average of the time-to-vesting and contractual life of the option), as the Company has limited historical information to develop expectations about future exercise patterns and post vesting employment termination behavior. The Company based the risk-free rate on U.S. Treasury zero-coupon issues with remaining terms similar to the expected term of the option. The Company has never paid any dividends and does not anticipate paying dividends in the foreseeable future, and therefore used an expected dividend yield of zero in the valuation model.</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22</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stock option activity during the periods indicated (in thousands except share and per share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48"/>
        </w:trPr>
        <w:tc>
          <w:tcPr>
            <w:tcW w:w="48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60"/>
        </w:trPr>
        <w:tc>
          <w:tcPr>
            <w:tcW w:w="4880" w:type="dxa"/>
            <w:vAlign w:val="bottom"/>
          </w:tcPr>
          <w:p>
            <w:pPr>
              <w:spacing w:after="0"/>
              <w:rPr>
                <w:sz w:val="13"/>
                <w:szCs w:val="13"/>
                <w:color w:val="auto"/>
              </w:rPr>
            </w:pPr>
          </w:p>
        </w:tc>
        <w:tc>
          <w:tcPr>
            <w:tcW w:w="1440" w:type="dxa"/>
            <w:vAlign w:val="bottom"/>
          </w:tcPr>
          <w:p>
            <w:pPr>
              <w:jc w:val="right"/>
              <w:ind w:right="134"/>
              <w:spacing w:after="0" w:line="160" w:lineRule="exact"/>
              <w:rPr>
                <w:sz w:val="20"/>
                <w:szCs w:val="20"/>
                <w:color w:val="auto"/>
              </w:rPr>
            </w:pPr>
            <w:r>
              <w:rPr>
                <w:rFonts w:ascii="Times New Roman" w:cs="Times New Roman" w:eastAsia="Times New Roman" w:hAnsi="Times New Roman"/>
                <w:sz w:val="14"/>
                <w:szCs w:val="14"/>
                <w:b w:val="1"/>
                <w:bCs w:val="1"/>
                <w:color w:val="auto"/>
              </w:rPr>
              <w:t>Number of options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right"/>
              <w:ind w:right="194"/>
              <w:spacing w:after="0" w:line="160"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160" w:type="dxa"/>
            <w:vAlign w:val="bottom"/>
          </w:tcPr>
          <w:p>
            <w:pPr>
              <w:spacing w:after="0"/>
              <w:rPr>
                <w:sz w:val="13"/>
                <w:szCs w:val="13"/>
                <w:color w:val="auto"/>
              </w:rPr>
            </w:pPr>
          </w:p>
        </w:tc>
        <w:tc>
          <w:tcPr>
            <w:tcW w:w="1500" w:type="dxa"/>
            <w:vAlign w:val="bottom"/>
          </w:tcPr>
          <w:p>
            <w:pPr>
              <w:jc w:val="center"/>
              <w:ind w:right="62"/>
              <w:spacing w:after="0" w:line="160" w:lineRule="exact"/>
              <w:rPr>
                <w:sz w:val="20"/>
                <w:szCs w:val="20"/>
                <w:color w:val="auto"/>
              </w:rPr>
            </w:pPr>
            <w:r>
              <w:rPr>
                <w:rFonts w:ascii="Times New Roman" w:cs="Times New Roman" w:eastAsia="Times New Roman" w:hAnsi="Times New Roman"/>
                <w:sz w:val="14"/>
                <w:szCs w:val="14"/>
                <w:b w:val="1"/>
                <w:bCs w:val="1"/>
                <w:color w:val="auto"/>
              </w:rPr>
              <w:t>contractual term (in</w:t>
            </w:r>
          </w:p>
        </w:tc>
        <w:tc>
          <w:tcPr>
            <w:tcW w:w="140" w:type="dxa"/>
            <w:vAlign w:val="bottom"/>
          </w:tcPr>
          <w:p>
            <w:pPr>
              <w:spacing w:after="0"/>
              <w:rPr>
                <w:sz w:val="13"/>
                <w:szCs w:val="13"/>
                <w:color w:val="auto"/>
              </w:rPr>
            </w:pPr>
          </w:p>
        </w:tc>
        <w:tc>
          <w:tcPr>
            <w:tcW w:w="1440" w:type="dxa"/>
            <w:vAlign w:val="bottom"/>
            <w:gridSpan w:val="2"/>
          </w:tcPr>
          <w:p>
            <w:pPr>
              <w:jc w:val="right"/>
              <w:ind w:right="115"/>
              <w:spacing w:after="0" w:line="160" w:lineRule="exact"/>
              <w:rPr>
                <w:sz w:val="20"/>
                <w:szCs w:val="20"/>
                <w:color w:val="auto"/>
              </w:rPr>
            </w:pPr>
            <w:r>
              <w:rPr>
                <w:rFonts w:ascii="Times New Roman" w:cs="Times New Roman" w:eastAsia="Times New Roman" w:hAnsi="Times New Roman"/>
                <w:sz w:val="14"/>
                <w:szCs w:val="14"/>
                <w:b w:val="1"/>
                <w:bCs w:val="1"/>
                <w:color w:val="auto"/>
              </w:rPr>
              <w:t>Aggregate intrinsic</w:t>
            </w:r>
          </w:p>
        </w:tc>
      </w:tr>
      <w:tr>
        <w:trPr>
          <w:trHeight w:val="189"/>
        </w:trPr>
        <w:tc>
          <w:tcPr>
            <w:tcW w:w="4880" w:type="dxa"/>
            <w:vAlign w:val="bottom"/>
          </w:tcPr>
          <w:p>
            <w:pPr>
              <w:spacing w:after="0"/>
              <w:rPr>
                <w:sz w:val="16"/>
                <w:szCs w:val="16"/>
                <w:color w:val="auto"/>
              </w:rPr>
            </w:pPr>
          </w:p>
        </w:tc>
        <w:tc>
          <w:tcPr>
            <w:tcW w:w="14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0" w:type="dxa"/>
            <w:vAlign w:val="bottom"/>
          </w:tcPr>
          <w:p>
            <w:pPr>
              <w:spacing w:after="0"/>
              <w:rPr>
                <w:sz w:val="16"/>
                <w:szCs w:val="16"/>
                <w:color w:val="auto"/>
              </w:rPr>
            </w:pPr>
          </w:p>
        </w:tc>
        <w:tc>
          <w:tcPr>
            <w:tcW w:w="150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10"/>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8,805,850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6.56</w:t>
            </w: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8.03</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147,623</w:t>
            </w:r>
          </w:p>
        </w:tc>
      </w:tr>
      <w:tr>
        <w:trPr>
          <w:trHeight w:val="216"/>
        </w:trPr>
        <w:tc>
          <w:tcPr>
            <w:tcW w:w="4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Options granted</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690,751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12.32</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Options exercised</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(689,288 )</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4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Options forfeited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(536,796 )</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9.89</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8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Options expired</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(59,345 )</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0.96</w:t>
            </w:r>
          </w:p>
        </w:tc>
        <w:tc>
          <w:tcPr>
            <w:tcW w:w="16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r>
      <w:tr>
        <w:trPr>
          <w:trHeight w:val="21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2022</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8,211,172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7.31</w:t>
            </w:r>
          </w:p>
        </w:tc>
        <w:tc>
          <w:tcPr>
            <w:tcW w:w="166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7.86</w:t>
            </w:r>
          </w:p>
        </w:tc>
        <w:tc>
          <w:tcPr>
            <w:tcW w:w="4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45,345,842</w:t>
            </w:r>
          </w:p>
        </w:tc>
      </w:tr>
      <w:tr>
        <w:trPr>
          <w:trHeight w:val="20"/>
        </w:trPr>
        <w:tc>
          <w:tcPr>
            <w:tcW w:w="48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488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Options exercisable as of June 30, 2022</w:t>
            </w:r>
          </w:p>
        </w:tc>
        <w:tc>
          <w:tcPr>
            <w:tcW w:w="1440" w:type="dxa"/>
            <w:vAlign w:val="bottom"/>
            <w:tcBorders>
              <w:bottom w:val="single" w:sz="8" w:color="auto"/>
            </w:tcBorders>
            <w:shd w:val="clear" w:color="auto" w:fill="CFF0FC"/>
          </w:tcPr>
          <w:p>
            <w:pPr>
              <w:jc w:val="right"/>
              <w:ind w:right="34"/>
              <w:spacing w:after="0" w:line="196" w:lineRule="exact"/>
              <w:rPr>
                <w:sz w:val="20"/>
                <w:szCs w:val="20"/>
                <w:color w:val="auto"/>
              </w:rPr>
            </w:pPr>
            <w:r>
              <w:rPr>
                <w:rFonts w:ascii="Times New Roman" w:cs="Times New Roman" w:eastAsia="Times New Roman" w:hAnsi="Times New Roman"/>
                <w:sz w:val="18"/>
                <w:szCs w:val="18"/>
                <w:color w:val="auto"/>
              </w:rPr>
              <w:t>3,317,673</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FF0FC"/>
          </w:tcPr>
          <w:p>
            <w:pPr>
              <w:jc w:val="right"/>
              <w:ind w:right="54"/>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160" w:type="dxa"/>
            <w:vAlign w:val="bottom"/>
            <w:tcBorders>
              <w:bottom w:val="single" w:sz="8" w:color="CFF0FC"/>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ind w:right="42"/>
              <w:spacing w:after="0" w:line="196" w:lineRule="exact"/>
              <w:rPr>
                <w:sz w:val="20"/>
                <w:szCs w:val="20"/>
                <w:color w:val="auto"/>
              </w:rPr>
            </w:pPr>
            <w:r>
              <w:rPr>
                <w:rFonts w:ascii="Times New Roman" w:cs="Times New Roman" w:eastAsia="Times New Roman" w:hAnsi="Times New Roman"/>
                <w:sz w:val="18"/>
                <w:szCs w:val="18"/>
                <w:color w:val="auto"/>
              </w:rPr>
              <w:t>6.40</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96"/>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31,614,268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-334010</wp:posOffset>
            </wp:positionV>
            <wp:extent cx="1028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-334010</wp:posOffset>
            </wp:positionV>
            <wp:extent cx="1028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-334010</wp:posOffset>
            </wp:positionV>
            <wp:extent cx="9461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-25400</wp:posOffset>
            </wp:positionV>
            <wp:extent cx="1028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-7620</wp:posOffset>
            </wp:positionV>
            <wp:extent cx="1028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-25400</wp:posOffset>
            </wp:positionV>
            <wp:extent cx="1028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1028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9461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946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272" w:lineRule="exact"/>
        <w:rPr>
          <w:sz w:val="20"/>
          <w:szCs w:val="20"/>
          <w:color w:val="auto"/>
        </w:rPr>
      </w:pPr>
    </w:p>
    <w:p>
      <w:pPr>
        <w:jc w:val="both"/>
        <w:ind w:right="400" w:firstLine="581"/>
        <w:spacing w:after="0" w:line="258"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during the three months ended June 30, 2022 and 2021 was $6.51 and $4.27 per share, respectively. The weighted-average grant date fair value of options granted during the six months ended June 30, 2022 and 2021 was $8.74 and $3.74 per share, respectively.</w:t>
      </w:r>
    </w:p>
    <w:p>
      <w:pPr>
        <w:spacing w:after="0" w:line="129" w:lineRule="exact"/>
        <w:rPr>
          <w:sz w:val="20"/>
          <w:szCs w:val="20"/>
          <w:color w:val="auto"/>
        </w:rPr>
      </w:pPr>
    </w:p>
    <w:p>
      <w:pPr>
        <w:jc w:val="both"/>
        <w:ind w:right="80" w:firstLine="554"/>
        <w:spacing w:after="0" w:line="258" w:lineRule="auto"/>
        <w:rPr>
          <w:sz w:val="20"/>
          <w:szCs w:val="20"/>
          <w:color w:val="auto"/>
        </w:rPr>
      </w:pPr>
      <w:r>
        <w:rPr>
          <w:rFonts w:ascii="Times New Roman" w:cs="Times New Roman" w:eastAsia="Times New Roman" w:hAnsi="Times New Roman"/>
          <w:sz w:val="18"/>
          <w:szCs w:val="18"/>
          <w:color w:val="auto"/>
        </w:rPr>
        <w:t>There was $33.9 million and $9.7 million of unrecognized stock-based compensation expense related to unvested stock options as of June 30, 2022 and 2021, respectively. The unrecognized stock-based compensation expense is estimated to be recognized over a period of 2.66 years and 2.89 years as of June 30, 2022 and 2021, respectively.</w:t>
      </w:r>
    </w:p>
    <w:p>
      <w:pPr>
        <w:spacing w:after="0" w:line="13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Company currently uses authorized and unissued shares to satisfy option exercises</w:t>
      </w:r>
      <w:r>
        <w:rPr>
          <w:rFonts w:ascii="Times New Roman" w:cs="Times New Roman" w:eastAsia="Times New Roman" w:hAnsi="Times New Roman"/>
          <w:sz w:val="21"/>
          <w:szCs w:val="21"/>
          <w:color w:val="auto"/>
        </w:rPr>
        <w:t>.</w:t>
      </w:r>
    </w:p>
    <w:p>
      <w:pPr>
        <w:spacing w:after="0" w:line="213" w:lineRule="exact"/>
        <w:rPr>
          <w:sz w:val="20"/>
          <w:szCs w:val="20"/>
          <w:color w:val="auto"/>
        </w:rPr>
      </w:pPr>
    </w:p>
    <w:p>
      <w:pPr>
        <w:ind w:firstLine="563"/>
        <w:spacing w:after="0" w:line="294"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and the estimated fair value of the Company’s common stock as of June 30, 2022</w:t>
      </w:r>
      <w:r>
        <w:rPr>
          <w:rFonts w:ascii="Times New Roman" w:cs="Times New Roman" w:eastAsia="Times New Roman" w:hAnsi="Times New Roman"/>
          <w:sz w:val="21"/>
          <w:szCs w:val="21"/>
          <w:color w:val="auto"/>
        </w:rPr>
        <w: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 Awards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RSU awards activity during the periods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3"/>
                <w:szCs w:val="13"/>
                <w:color w:val="auto"/>
              </w:rPr>
            </w:pPr>
          </w:p>
        </w:tc>
        <w:tc>
          <w:tcPr>
            <w:tcW w:w="1700" w:type="dxa"/>
            <w:vAlign w:val="bottom"/>
            <w:vMerge w:val="restart"/>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3"/>
                <w:szCs w:val="13"/>
                <w:color w:val="auto"/>
              </w:rPr>
            </w:pPr>
          </w:p>
        </w:tc>
        <w:tc>
          <w:tcPr>
            <w:tcW w:w="172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87"/>
        </w:trPr>
        <w:tc>
          <w:tcPr>
            <w:tcW w:w="7620" w:type="dxa"/>
            <w:vAlign w:val="bottom"/>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c>
          <w:tcPr>
            <w:tcW w:w="0" w:type="dxa"/>
            <w:vAlign w:val="bottom"/>
          </w:tcPr>
          <w:p>
            <w:pPr>
              <w:spacing w:after="0"/>
              <w:rPr>
                <w:sz w:val="1"/>
                <w:szCs w:val="1"/>
                <w:color w:val="auto"/>
              </w:rPr>
            </w:pPr>
          </w:p>
        </w:tc>
      </w:tr>
      <w:tr>
        <w:trPr>
          <w:trHeight w:val="210"/>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balance at December 31, 2021</w:t>
            </w:r>
          </w:p>
        </w:tc>
        <w:tc>
          <w:tcPr>
            <w:tcW w:w="17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104,876</w:t>
            </w: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59"/>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21.10</w:t>
            </w:r>
          </w:p>
        </w:tc>
        <w:tc>
          <w:tcPr>
            <w:tcW w:w="0" w:type="dxa"/>
            <w:vAlign w:val="bottom"/>
          </w:tcPr>
          <w:p>
            <w:pPr>
              <w:spacing w:after="0"/>
              <w:rPr>
                <w:sz w:val="1"/>
                <w:szCs w:val="1"/>
                <w:color w:val="auto"/>
              </w:rPr>
            </w:pPr>
          </w:p>
        </w:tc>
      </w:tr>
      <w:tr>
        <w:trPr>
          <w:trHeight w:val="216"/>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1,250,251</w:t>
            </w:r>
          </w:p>
        </w:tc>
        <w:tc>
          <w:tcPr>
            <w:tcW w:w="840" w:type="dxa"/>
            <w:vAlign w:val="bottom"/>
            <w:gridSpan w:val="2"/>
          </w:tcPr>
          <w:p>
            <w:pPr>
              <w:jc w:val="right"/>
              <w:ind w:right="45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12.83</w:t>
            </w: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(76,990 )</w:t>
            </w:r>
          </w:p>
        </w:tc>
        <w:tc>
          <w:tcPr>
            <w:tcW w:w="840" w:type="dxa"/>
            <w:vAlign w:val="bottom"/>
            <w:gridSpan w:val="2"/>
            <w:shd w:val="clear" w:color="auto" w:fill="CFF0FC"/>
          </w:tcPr>
          <w:p>
            <w:pPr>
              <w:jc w:val="right"/>
              <w:ind w:right="45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13.64</w:t>
            </w:r>
          </w:p>
        </w:tc>
        <w:tc>
          <w:tcPr>
            <w:tcW w:w="0" w:type="dxa"/>
            <w:vAlign w:val="bottom"/>
          </w:tcPr>
          <w:p>
            <w:pPr>
              <w:spacing w:after="0"/>
              <w:rPr>
                <w:sz w:val="1"/>
                <w:szCs w:val="1"/>
                <w:color w:val="auto"/>
              </w:rPr>
            </w:pPr>
          </w:p>
        </w:tc>
      </w:tr>
      <w:tr>
        <w:trPr>
          <w:trHeight w:val="216"/>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(35,800 )</w:t>
            </w:r>
          </w:p>
        </w:tc>
        <w:tc>
          <w:tcPr>
            <w:tcW w:w="840" w:type="dxa"/>
            <w:vAlign w:val="bottom"/>
            <w:gridSpan w:val="2"/>
          </w:tcPr>
          <w:p>
            <w:pPr>
              <w:jc w:val="right"/>
              <w:ind w:right="45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14.98</w:t>
            </w:r>
          </w:p>
        </w:tc>
        <w:tc>
          <w:tcPr>
            <w:tcW w:w="0" w:type="dxa"/>
            <w:vAlign w:val="bottom"/>
          </w:tcPr>
          <w:p>
            <w:pPr>
              <w:spacing w:after="0"/>
              <w:rPr>
                <w:sz w:val="1"/>
                <w:szCs w:val="1"/>
                <w:color w:val="auto"/>
              </w:rPr>
            </w:pPr>
          </w:p>
        </w:tc>
      </w:tr>
      <w:tr>
        <w:trPr>
          <w:trHeight w:val="250"/>
        </w:trPr>
        <w:tc>
          <w:tcPr>
            <w:tcW w:w="7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balance at June 30, 2022</w:t>
            </w:r>
          </w:p>
        </w:tc>
        <w:tc>
          <w:tcPr>
            <w:tcW w:w="170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1,242,337</w:t>
            </w:r>
          </w:p>
        </w:tc>
        <w:tc>
          <w:tcPr>
            <w:tcW w:w="20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top w:val="single" w:sz="8" w:color="auto"/>
              <w:bottom w:val="single" w:sz="8" w:color="auto"/>
            </w:tcBorders>
            <w:shd w:val="clear" w:color="auto" w:fill="CFF0FC"/>
          </w:tcPr>
          <w:p>
            <w:pPr>
              <w:jc w:val="right"/>
              <w:ind w:right="459"/>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-24765</wp:posOffset>
            </wp:positionV>
            <wp:extent cx="1200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1200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70"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There was $15.7 million of unrecognized stock-based compensation expense related to unvested RSU awards as of June 30, 2022. The unrecognized stock-based compensation expense is estimated to be recognized over a period of 3.67 years as of June 30, 2022.</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the allocation of stock-based compensation expense related to the Company’s stock-based awards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40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4"/>
                <w:szCs w:val="14"/>
                <w:color w:val="auto"/>
              </w:rPr>
            </w:pP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40" w:type="dxa"/>
            <w:vAlign w:val="bottom"/>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749</w:t>
            </w:r>
          </w:p>
        </w:tc>
        <w:tc>
          <w:tcPr>
            <w:tcW w:w="16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1,455</w:t>
            </w:r>
          </w:p>
        </w:tc>
        <w:tc>
          <w:tcPr>
            <w:tcW w:w="1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1,087</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2,352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304</w:t>
            </w:r>
          </w:p>
        </w:tc>
      </w:tr>
      <w:tr>
        <w:trPr>
          <w:trHeight w:val="216"/>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6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856</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1,634</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4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1,242</w:t>
            </w:r>
          </w:p>
        </w:tc>
        <w:tc>
          <w:tcPr>
            <w:tcW w:w="16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2,330</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284</w:t>
            </w:r>
          </w:p>
        </w:tc>
      </w:tr>
      <w:tr>
        <w:trPr>
          <w:trHeight w:val="250"/>
        </w:trPr>
        <w:tc>
          <w:tcPr>
            <w:tcW w:w="4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64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3,934</w:t>
            </w:r>
          </w:p>
        </w:tc>
        <w:tc>
          <w:tcPr>
            <w:tcW w:w="16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667</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7,771</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1,123</w:t>
            </w:r>
          </w:p>
        </w:tc>
      </w:tr>
      <w:tr>
        <w:trPr>
          <w:trHeight w:val="547"/>
        </w:trPr>
        <w:tc>
          <w:tcPr>
            <w:tcW w:w="4020" w:type="dxa"/>
            <w:vAlign w:val="bottom"/>
          </w:tcPr>
          <w:p>
            <w:pPr>
              <w:spacing w:after="0"/>
              <w:rPr>
                <w:sz w:val="24"/>
                <w:szCs w:val="24"/>
                <w:color w:val="auto"/>
              </w:rPr>
            </w:pPr>
          </w:p>
        </w:tc>
        <w:tc>
          <w:tcPr>
            <w:tcW w:w="2340" w:type="dxa"/>
            <w:vAlign w:val="bottom"/>
            <w:gridSpan w:val="2"/>
          </w:tcPr>
          <w:p>
            <w:pPr>
              <w:jc w:val="right"/>
              <w:ind w:right="559"/>
              <w:spacing w:after="0"/>
              <w:rPr>
                <w:sz w:val="20"/>
                <w:szCs w:val="20"/>
                <w:color w:val="auto"/>
              </w:rPr>
            </w:pPr>
            <w:r>
              <w:rPr>
                <w:rFonts w:ascii="Times New Roman" w:cs="Times New Roman" w:eastAsia="Times New Roman" w:hAnsi="Times New Roman"/>
                <w:sz w:val="18"/>
                <w:szCs w:val="18"/>
                <w:color w:val="auto"/>
              </w:rPr>
              <w:t>22</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-470535</wp:posOffset>
            </wp:positionV>
            <wp:extent cx="946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-453390</wp:posOffset>
            </wp:positionV>
            <wp:extent cx="9461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-470535</wp:posOffset>
            </wp:positionV>
            <wp:extent cx="857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-453390</wp:posOffset>
            </wp:positionV>
            <wp:extent cx="857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-470535</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-453390</wp:posOffset>
            </wp:positionV>
            <wp:extent cx="768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23</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the weighted-average valuation assumptions used in determining the fair value of employee stock options: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60" w:type="dxa"/>
            <w:vAlign w:val="bottom"/>
          </w:tcPr>
          <w:p>
            <w:pPr>
              <w:spacing w:after="0"/>
              <w:rPr>
                <w:sz w:val="16"/>
                <w:szCs w:val="16"/>
                <w:color w:val="auto"/>
              </w:rPr>
            </w:pPr>
          </w:p>
        </w:tc>
        <w:tc>
          <w:tcPr>
            <w:tcW w:w="228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0" w:type="dxa"/>
            <w:vAlign w:val="bottom"/>
          </w:tcPr>
          <w:p>
            <w:pPr>
              <w:spacing w:after="0"/>
              <w:rPr>
                <w:sz w:val="16"/>
                <w:szCs w:val="16"/>
                <w:color w:val="auto"/>
              </w:rPr>
            </w:pPr>
          </w:p>
        </w:tc>
        <w:tc>
          <w:tcPr>
            <w:tcW w:w="256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5660" w:type="dxa"/>
            <w:vAlign w:val="bottom"/>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8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209"/>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80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5.80</w:t>
            </w:r>
          </w:p>
        </w:tc>
        <w:tc>
          <w:tcPr>
            <w:tcW w:w="14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6.02</w:t>
            </w:r>
          </w:p>
        </w:tc>
        <w:tc>
          <w:tcPr>
            <w:tcW w:w="108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5.99</w:t>
            </w:r>
          </w:p>
        </w:tc>
        <w:tc>
          <w:tcPr>
            <w:tcW w:w="60" w:type="dxa"/>
            <w:vAlign w:val="bottom"/>
          </w:tcPr>
          <w:p>
            <w:pPr>
              <w:spacing w:after="0"/>
              <w:rPr>
                <w:sz w:val="18"/>
                <w:szCs w:val="18"/>
                <w:color w:val="auto"/>
              </w:rPr>
            </w:pPr>
          </w:p>
        </w:tc>
      </w:tr>
      <w:tr>
        <w:trPr>
          <w:trHeight w:val="216"/>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75 %</w:t>
            </w:r>
          </w:p>
        </w:tc>
        <w:tc>
          <w:tcPr>
            <w:tcW w:w="820" w:type="dxa"/>
            <w:vAlign w:val="bottom"/>
          </w:tcPr>
          <w:p>
            <w:pPr>
              <w:spacing w:after="0"/>
              <w:rPr>
                <w:sz w:val="18"/>
                <w:szCs w:val="18"/>
                <w:color w:val="auto"/>
              </w:rPr>
            </w:pP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90 %</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91 %</w:t>
            </w:r>
          </w:p>
        </w:tc>
      </w:tr>
      <w:tr>
        <w:trPr>
          <w:trHeight w:val="216"/>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3 %</w:t>
            </w:r>
          </w:p>
        </w:tc>
        <w:tc>
          <w:tcPr>
            <w:tcW w:w="820" w:type="dxa"/>
            <w:vAlign w:val="bottom"/>
          </w:tcPr>
          <w:p>
            <w:pPr>
              <w:spacing w:after="0"/>
              <w:rPr>
                <w:sz w:val="18"/>
                <w:szCs w:val="18"/>
                <w:color w:val="auto"/>
              </w:rPr>
            </w:pP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1.06 %</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34"/>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480" w:type="dxa"/>
            <w:vAlign w:val="bottom"/>
            <w:gridSpan w:val="3"/>
          </w:tcPr>
          <w:p>
            <w:pPr>
              <w:jc w:val="right"/>
              <w:ind w:right="1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54"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weighted-average assumptions used in estimating the fair value of the ESPP for the current offering period using the Black-Scholes option-pricing model:</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60" w:type="dxa"/>
            <w:vAlign w:val="bottom"/>
          </w:tcPr>
          <w:p>
            <w:pPr>
              <w:spacing w:after="0"/>
              <w:rPr>
                <w:sz w:val="15"/>
                <w:szCs w:val="15"/>
                <w:color w:val="auto"/>
              </w:rPr>
            </w:pPr>
          </w:p>
        </w:tc>
        <w:tc>
          <w:tcPr>
            <w:tcW w:w="23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720" w:type="dxa"/>
            <w:vAlign w:val="bottom"/>
          </w:tcPr>
          <w:p>
            <w:pPr>
              <w:spacing w:after="0"/>
              <w:rPr>
                <w:sz w:val="15"/>
                <w:szCs w:val="15"/>
                <w:color w:val="auto"/>
              </w:rPr>
            </w:pPr>
          </w:p>
        </w:tc>
        <w:tc>
          <w:tcPr>
            <w:tcW w:w="258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87"/>
        </w:trPr>
        <w:tc>
          <w:tcPr>
            <w:tcW w:w="6500" w:type="dxa"/>
            <w:vAlign w:val="bottom"/>
            <w:gridSpan w:val="2"/>
          </w:tcPr>
          <w:p>
            <w:pPr>
              <w:ind w:left="6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0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720" w:type="dxa"/>
            <w:vAlign w:val="bottom"/>
          </w:tcPr>
          <w:p>
            <w:pPr>
              <w:spacing w:after="0"/>
              <w:rPr>
                <w:sz w:val="16"/>
                <w:szCs w:val="16"/>
                <w:color w:val="auto"/>
              </w:rPr>
            </w:pPr>
          </w:p>
        </w:tc>
        <w:tc>
          <w:tcPr>
            <w:tcW w:w="1400" w:type="dxa"/>
            <w:vAlign w:val="bottom"/>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6"/>
                <w:szCs w:val="16"/>
                <w:color w:val="auto"/>
              </w:rPr>
            </w:pPr>
          </w:p>
        </w:tc>
      </w:tr>
      <w:tr>
        <w:trPr>
          <w:trHeight w:val="209"/>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84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jc w:val="right"/>
              <w:ind w:right="1074"/>
              <w:spacing w:after="0"/>
              <w:rPr>
                <w:sz w:val="20"/>
                <w:szCs w:val="20"/>
                <w:color w:val="auto"/>
              </w:rPr>
            </w:pPr>
            <w:r>
              <w:rPr>
                <w:rFonts w:ascii="Times New Roman" w:cs="Times New Roman" w:eastAsia="Times New Roman" w:hAnsi="Times New Roman"/>
                <w:sz w:val="18"/>
                <w:szCs w:val="18"/>
                <w:color w:val="auto"/>
              </w:rPr>
              <w:t>0.5</w:t>
            </w:r>
          </w:p>
        </w:tc>
        <w:tc>
          <w:tcPr>
            <w:tcW w:w="720" w:type="dxa"/>
            <w:vAlign w:val="bottom"/>
            <w:tcBorders>
              <w:top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FF0FC"/>
          </w:tcPr>
          <w:p>
            <w:pPr>
              <w:jc w:val="right"/>
              <w:ind w:right="356"/>
              <w:spacing w:after="0"/>
              <w:rPr>
                <w:sz w:val="20"/>
                <w:szCs w:val="20"/>
                <w:color w:val="auto"/>
              </w:rPr>
            </w:pPr>
            <w:r>
              <w:rPr>
                <w:rFonts w:ascii="Times New Roman" w:cs="Times New Roman" w:eastAsia="Times New Roman" w:hAnsi="Times New Roman"/>
                <w:sz w:val="18"/>
                <w:szCs w:val="18"/>
                <w:color w:val="auto"/>
              </w:rPr>
              <w:t>0.5</w:t>
            </w:r>
          </w:p>
        </w:tc>
        <w:tc>
          <w:tcPr>
            <w:tcW w:w="1120" w:type="dxa"/>
            <w:vAlign w:val="bottom"/>
            <w:tcBorders>
              <w:top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00" w:type="dxa"/>
            <w:vAlign w:val="bottom"/>
          </w:tcPr>
          <w:p>
            <w:pPr>
              <w:jc w:val="right"/>
              <w:ind w:right="894"/>
              <w:spacing w:after="0"/>
              <w:rPr>
                <w:sz w:val="20"/>
                <w:szCs w:val="20"/>
                <w:color w:val="auto"/>
              </w:rPr>
            </w:pPr>
            <w:r>
              <w:rPr>
                <w:rFonts w:ascii="Times New Roman" w:cs="Times New Roman" w:eastAsia="Times New Roman" w:hAnsi="Times New Roman"/>
                <w:sz w:val="18"/>
                <w:szCs w:val="18"/>
                <w:color w:val="auto"/>
              </w:rPr>
              <w:t>74 %</w:t>
            </w:r>
          </w:p>
        </w:tc>
        <w:tc>
          <w:tcPr>
            <w:tcW w:w="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74 %</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w w:val="90"/>
              </w:rPr>
              <w:t>— %</w:t>
            </w:r>
          </w:p>
        </w:tc>
      </w:tr>
      <w:tr>
        <w:trPr>
          <w:trHeight w:val="216"/>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00" w:type="dxa"/>
            <w:vAlign w:val="bottom"/>
          </w:tcPr>
          <w:p>
            <w:pPr>
              <w:jc w:val="right"/>
              <w:ind w:right="894"/>
              <w:spacing w:after="0"/>
              <w:rPr>
                <w:sz w:val="20"/>
                <w:szCs w:val="20"/>
                <w:color w:val="auto"/>
              </w:rPr>
            </w:pPr>
            <w:r>
              <w:rPr>
                <w:rFonts w:ascii="Times New Roman" w:cs="Times New Roman" w:eastAsia="Times New Roman" w:hAnsi="Times New Roman"/>
                <w:sz w:val="18"/>
                <w:szCs w:val="18"/>
                <w:color w:val="auto"/>
              </w:rPr>
              <w:t>1 %</w:t>
            </w:r>
          </w:p>
        </w:tc>
        <w:tc>
          <w:tcPr>
            <w:tcW w:w="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1 %</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w w:val="90"/>
              </w:rPr>
              <w:t>— %</w:t>
            </w:r>
          </w:p>
        </w:tc>
      </w:tr>
      <w:tr>
        <w:trPr>
          <w:trHeight w:val="234"/>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500" w:type="dxa"/>
            <w:vAlign w:val="bottom"/>
          </w:tcPr>
          <w:p>
            <w:pPr>
              <w:jc w:val="right"/>
              <w:ind w:right="107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3"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401(k) retirement savings plan</w:t>
      </w:r>
    </w:p>
    <w:p>
      <w:pPr>
        <w:spacing w:after="0" w:line="187" w:lineRule="exact"/>
        <w:rPr>
          <w:sz w:val="20"/>
          <w:szCs w:val="20"/>
          <w:color w:val="auto"/>
        </w:rPr>
      </w:pPr>
    </w:p>
    <w:p>
      <w:pPr>
        <w:jc w:val="both"/>
        <w:ind w:right="60" w:firstLine="509"/>
        <w:spacing w:after="0" w:line="250" w:lineRule="auto"/>
        <w:rPr>
          <w:sz w:val="20"/>
          <w:szCs w:val="20"/>
          <w:color w:val="auto"/>
        </w:rPr>
      </w:pPr>
      <w:r>
        <w:rPr>
          <w:rFonts w:ascii="Times New Roman" w:cs="Times New Roman" w:eastAsia="Times New Roman" w:hAnsi="Times New Roman"/>
          <w:sz w:val="18"/>
          <w:szCs w:val="18"/>
          <w:color w:val="auto"/>
        </w:rPr>
        <w:t>The Company currently maintains a 401(k) retirement savings plan the covers substantially all of its employees (“401(k) Plan”). The 401(k) Plan permits voluntary contributions by employees, a portion of which are matched by the Company. The Company’s contributions to the 401(k) Plan were approximately $268,000 and $517,000 for the three and six months ended June 30, 2022, respectively, and $197,000 and $367,000 for the three and six months ended June 30, 2021, respectively.</w:t>
      </w:r>
    </w:p>
    <w:p>
      <w:pPr>
        <w:spacing w:after="0" w:line="146"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89" w:lineRule="exact"/>
        <w:rPr>
          <w:sz w:val="20"/>
          <w:szCs w:val="20"/>
          <w:color w:val="auto"/>
        </w:rPr>
      </w:pPr>
    </w:p>
    <w:p>
      <w:pPr>
        <w:jc w:val="both"/>
        <w:ind w:right="60" w:firstLine="509"/>
        <w:spacing w:after="0" w:line="246" w:lineRule="auto"/>
        <w:rPr>
          <w:sz w:val="20"/>
          <w:szCs w:val="20"/>
          <w:color w:val="auto"/>
        </w:rPr>
      </w:pPr>
      <w:r>
        <w:rPr>
          <w:rFonts w:ascii="Times New Roman" w:cs="Times New Roman" w:eastAsia="Times New Roman" w:hAnsi="Times New Roman"/>
          <w:sz w:val="18"/>
          <w:szCs w:val="18"/>
          <w:color w:val="auto"/>
        </w:rPr>
        <w:t>The Company's effective tax rate from continuing operations was 39.2% and 18.9% for the six months ended June 30, 2022 and 2021, respectively. The Company’s effective tax rate for the six months ended June 30, 2022 is higher than the U.S. federal statutory tax rate due to nondeductible stock-based compensation, the Company’s mix of earnings between various taxing jurisdictions, partially offset by a deduction for foreign-sourced revenue, stock compensation, and federal and state research credits. The effective income tax rate for the six months ended June 30, 2021 was lower than the U.S federal statutory tax rate primarily due to higher projected annual profits which resulted in a lower projected tax rate.</w:t>
      </w:r>
    </w:p>
    <w:p>
      <w:pPr>
        <w:spacing w:after="0" w:line="73" w:lineRule="exact"/>
        <w:rPr>
          <w:sz w:val="20"/>
          <w:szCs w:val="20"/>
          <w:color w:val="auto"/>
        </w:rPr>
      </w:pPr>
    </w:p>
    <w:p>
      <w:pPr>
        <w:jc w:val="both"/>
        <w:ind w:right="60" w:firstLine="509"/>
        <w:spacing w:after="0" w:line="250" w:lineRule="auto"/>
        <w:rPr>
          <w:sz w:val="20"/>
          <w:szCs w:val="20"/>
          <w:color w:val="auto"/>
        </w:rPr>
      </w:pPr>
      <w:r>
        <w:rPr>
          <w:rFonts w:ascii="Times New Roman" w:cs="Times New Roman" w:eastAsia="Times New Roman" w:hAnsi="Times New Roman"/>
          <w:sz w:val="18"/>
          <w:szCs w:val="18"/>
          <w:color w:val="auto"/>
        </w:rPr>
        <w:t>Realization of the Company's deferred tax assets is dependent primarily on the generation of future taxable income. In considering the need for a valuation allowance, the Company considers its historical, as well as future projected, taxable income along with other objectively verifiable evidence. Objectively verifiable evidence includes the Company's realization of tax attributes, assessment of tax credits, and utilization of net operating loss carryforwards during the year.</w:t>
      </w:r>
    </w:p>
    <w:p>
      <w:pPr>
        <w:spacing w:after="0" w:line="79"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w:t>
      </w:r>
    </w:p>
    <w:p>
      <w:pPr>
        <w:spacing w:after="0" w:line="189" w:lineRule="exact"/>
        <w:rPr>
          <w:sz w:val="20"/>
          <w:szCs w:val="20"/>
          <w:color w:val="auto"/>
        </w:rPr>
      </w:pPr>
    </w:p>
    <w:p>
      <w:pPr>
        <w:jc w:val="both"/>
        <w:ind w:right="60" w:firstLine="554"/>
        <w:spacing w:after="0" w:line="246"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inception, which is the date on which the terms of the contract are agreed to, and the agreement creates enforceable rights and obligations. Under Topic 842, a contract is or contains a lease when (i) explicitly or implicitly identified assets have been deployed in the contract and (ii) the customer obtains substantially all of the economic benefits from the use of that underlying asset and directs how and for what purpose the asset is used during the term of the contract. The Company also considers whether its service arrangements include the right to control the use of an asset.</w:t>
      </w:r>
    </w:p>
    <w:p>
      <w:pPr>
        <w:spacing w:after="0" w:line="154" w:lineRule="exact"/>
        <w:rPr>
          <w:sz w:val="20"/>
          <w:szCs w:val="20"/>
          <w:color w:val="auto"/>
        </w:rPr>
      </w:pPr>
    </w:p>
    <w:p>
      <w:pPr>
        <w:jc w:val="both"/>
        <w:ind w:right="60" w:firstLine="509"/>
        <w:spacing w:after="0" w:line="250" w:lineRule="auto"/>
        <w:rPr>
          <w:sz w:val="20"/>
          <w:szCs w:val="20"/>
          <w:color w:val="auto"/>
        </w:rPr>
      </w:pPr>
      <w:r>
        <w:rPr>
          <w:rFonts w:ascii="Times New Roman" w:cs="Times New Roman" w:eastAsia="Times New Roman" w:hAnsi="Times New Roman"/>
          <w:sz w:val="18"/>
          <w:szCs w:val="18"/>
          <w:color w:val="auto"/>
        </w:rPr>
        <w:t>The Company leases office facilities and equipment from unrelated parties under operating lease agreements that have initial terms ranging from 1 to 7.25 years. Some leases include one or more options to renew, generally at the Company's sole discretion, with renewal terms that can extend the lease term up to 5 years. In addition, certain leases contain termination options, where the rights to terminate are held by either the Company, the lessor, or both parties. These options to extend or terminate a lease are included in the lease terms</w:t>
      </w:r>
    </w:p>
    <w:p>
      <w:pPr>
        <w:spacing w:after="0" w:line="13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it is reasonably certain that the Company will exercise that option. The Company’s leases generally do not contain any material restrictive covenants.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 sub-lessor in an agreement with a term of 3 years.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Operating lease cost is recognized on a straight-line basis over the lease term. The components of lease expense are as follows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9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June 30, 2022</w:t>
            </w:r>
          </w:p>
        </w:tc>
      </w:tr>
      <w:tr>
        <w:trPr>
          <w:trHeight w:val="209"/>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1,551</w:t>
            </w:r>
          </w:p>
        </w:tc>
      </w:tr>
      <w:tr>
        <w:trPr>
          <w:trHeight w:val="216"/>
        </w:trPr>
        <w:tc>
          <w:tcPr>
            <w:tcW w:w="92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24</w:t>
            </w:r>
          </w:p>
        </w:tc>
      </w:tr>
      <w:tr>
        <w:trPr>
          <w:trHeight w:val="249"/>
        </w:trPr>
        <w:tc>
          <w:tcPr>
            <w:tcW w:w="9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1,575</w:t>
            </w:r>
          </w:p>
        </w:tc>
      </w:tr>
    </w:tbl>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three and six months ended June 30, 2022, sublease income was $66,000 and $133,000, respectively, recorded as other income.</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9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June 30, 2022</w:t>
            </w:r>
          </w:p>
        </w:tc>
      </w:tr>
      <w:tr>
        <w:trPr>
          <w:trHeight w:val="210"/>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26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r>
      <w:tr>
        <w:trPr>
          <w:trHeight w:val="234"/>
        </w:trPr>
        <w:tc>
          <w:tcPr>
            <w:tcW w:w="9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cash outflows - payments on operating leases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954</w:t>
            </w:r>
          </w:p>
        </w:tc>
      </w:tr>
      <w:tr>
        <w:trPr>
          <w:trHeight w:val="198"/>
        </w:trPr>
        <w:tc>
          <w:tcPr>
            <w:tcW w:w="9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16"/>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lease obligations:</w:t>
            </w:r>
          </w:p>
        </w:tc>
        <w:tc>
          <w:tcPr>
            <w:tcW w:w="26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r>
      <w:tr>
        <w:trPr>
          <w:trHeight w:val="234"/>
        </w:trPr>
        <w:tc>
          <w:tcPr>
            <w:tcW w:w="9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15,142</w:t>
            </w:r>
          </w:p>
        </w:tc>
      </w:tr>
      <w:tr>
        <w:trPr>
          <w:trHeight w:val="6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 (in thousands):</w:t>
            </w: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78"/>
        </w:trPr>
        <w:tc>
          <w:tcPr>
            <w:tcW w:w="9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June 30, 2022</w:t>
            </w:r>
          </w:p>
        </w:tc>
      </w:tr>
      <w:tr>
        <w:trPr>
          <w:trHeight w:val="210"/>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13,635</w:t>
            </w:r>
          </w:p>
        </w:tc>
      </w:tr>
      <w:tr>
        <w:trPr>
          <w:trHeight w:val="216"/>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Included in other current liabilities:</w:t>
            </w: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9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2,529</w:t>
            </w:r>
          </w:p>
        </w:tc>
      </w:tr>
      <w:tr>
        <w:trPr>
          <w:trHeight w:val="216"/>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12,316</w:t>
            </w:r>
          </w:p>
        </w:tc>
      </w:tr>
      <w:tr>
        <w:trPr>
          <w:trHeight w:val="250"/>
        </w:trPr>
        <w:tc>
          <w:tcPr>
            <w:tcW w:w="9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14,845</w:t>
            </w:r>
          </w:p>
        </w:tc>
      </w:tr>
      <w:tr>
        <w:trPr>
          <w:trHeight w:val="183"/>
        </w:trPr>
        <w:tc>
          <w:tcPr>
            <w:tcW w:w="9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16"/>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26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755"/>
              <w:spacing w:after="0"/>
              <w:rPr>
                <w:sz w:val="20"/>
                <w:szCs w:val="20"/>
                <w:color w:val="auto"/>
              </w:rPr>
            </w:pPr>
            <w:r>
              <w:rPr>
                <w:rFonts w:ascii="Times New Roman" w:cs="Times New Roman" w:eastAsia="Times New Roman" w:hAnsi="Times New Roman"/>
                <w:sz w:val="18"/>
                <w:szCs w:val="18"/>
                <w:color w:val="auto"/>
              </w:rPr>
              <w:t>5.88</w:t>
            </w:r>
          </w:p>
        </w:tc>
      </w:tr>
      <w:tr>
        <w:trPr>
          <w:trHeight w:val="432"/>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260" w:type="dxa"/>
            <w:vAlign w:val="bottom"/>
          </w:tcPr>
          <w:p>
            <w:pPr>
              <w:spacing w:after="0"/>
              <w:rPr>
                <w:sz w:val="24"/>
                <w:szCs w:val="24"/>
                <w:color w:val="auto"/>
              </w:rPr>
            </w:pPr>
          </w:p>
        </w:tc>
        <w:tc>
          <w:tcPr>
            <w:tcW w:w="1780" w:type="dxa"/>
            <w:vAlign w:val="bottom"/>
          </w:tcPr>
          <w:p>
            <w:pPr>
              <w:jc w:val="right"/>
              <w:ind w:right="735"/>
              <w:spacing w:after="0"/>
              <w:rPr>
                <w:sz w:val="20"/>
                <w:szCs w:val="20"/>
                <w:color w:val="auto"/>
              </w:rPr>
            </w:pPr>
            <w:r>
              <w:rPr>
                <w:rFonts w:ascii="Times New Roman" w:cs="Times New Roman" w:eastAsia="Times New Roman" w:hAnsi="Times New Roman"/>
                <w:sz w:val="18"/>
                <w:szCs w:val="18"/>
                <w:color w:val="auto"/>
              </w:rPr>
              <w:t>3.1%</w:t>
            </w:r>
          </w:p>
        </w:tc>
      </w:tr>
    </w:tbl>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undiscounted cash flows for each of the next five years and thereafter and reconciliation to the lease liabilities recognized on the balance</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sheet as of June 30, 2022 is as follows (in thousands):</w:t>
            </w:r>
          </w:p>
        </w:tc>
        <w:tc>
          <w:tcPr>
            <w:tcW w:w="7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183"/>
        </w:trPr>
        <w:tc>
          <w:tcPr>
            <w:tcW w:w="9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16"/>
        </w:trPr>
        <w:tc>
          <w:tcPr>
            <w:tcW w:w="9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 (excluding the six months ended June 30)</w:t>
            </w:r>
          </w:p>
        </w:tc>
        <w:tc>
          <w:tcPr>
            <w:tcW w:w="780" w:type="dxa"/>
            <w:vAlign w:val="bottom"/>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1,377</w:t>
            </w:r>
          </w:p>
        </w:tc>
      </w:tr>
      <w:tr>
        <w:trPr>
          <w:trHeight w:val="216"/>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78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2,993</w:t>
            </w:r>
          </w:p>
        </w:tc>
      </w:tr>
      <w:tr>
        <w:trPr>
          <w:trHeight w:val="216"/>
        </w:trPr>
        <w:tc>
          <w:tcPr>
            <w:tcW w:w="9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8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2,620</w:t>
            </w:r>
          </w:p>
        </w:tc>
      </w:tr>
      <w:tr>
        <w:trPr>
          <w:trHeight w:val="216"/>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8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2,220</w:t>
            </w:r>
          </w:p>
        </w:tc>
      </w:tr>
      <w:tr>
        <w:trPr>
          <w:trHeight w:val="216"/>
        </w:trPr>
        <w:tc>
          <w:tcPr>
            <w:tcW w:w="9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8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2,188</w:t>
            </w:r>
          </w:p>
        </w:tc>
      </w:tr>
      <w:tr>
        <w:trPr>
          <w:trHeight w:val="216"/>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4,547</w:t>
            </w:r>
          </w:p>
        </w:tc>
      </w:tr>
      <w:tr>
        <w:trPr>
          <w:trHeight w:val="250"/>
        </w:trPr>
        <w:tc>
          <w:tcPr>
            <w:tcW w:w="9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lease payments</w:t>
            </w:r>
          </w:p>
        </w:tc>
        <w:tc>
          <w:tcPr>
            <w:tcW w:w="780" w:type="dxa"/>
            <w:vAlign w:val="bottom"/>
            <w:tcBorders>
              <w:bottom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15,945</w:t>
            </w:r>
          </w:p>
        </w:tc>
      </w:tr>
      <w:tr>
        <w:trPr>
          <w:trHeight w:val="196"/>
        </w:trPr>
        <w:tc>
          <w:tcPr>
            <w:tcW w:w="9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Less imputed interest</w:t>
            </w:r>
          </w:p>
        </w:tc>
        <w:tc>
          <w:tcPr>
            <w:tcW w:w="7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(1,100 )</w:t>
            </w:r>
          </w:p>
        </w:tc>
      </w:tr>
      <w:tr>
        <w:trPr>
          <w:trHeight w:val="250"/>
        </w:trPr>
        <w:tc>
          <w:tcPr>
            <w:tcW w:w="9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present value of lease liabilities</w:t>
            </w:r>
          </w:p>
        </w:tc>
        <w:tc>
          <w:tcPr>
            <w:tcW w:w="780" w:type="dxa"/>
            <w:vAlign w:val="bottom"/>
            <w:tcBorders>
              <w:bottom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14,845</w:t>
            </w:r>
          </w:p>
        </w:tc>
      </w:tr>
    </w:tbl>
    <w:p>
      <w:pPr>
        <w:spacing w:after="0" w:line="18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table above excludes lease liabilities for leases that have been executed but not yet commenced. As of June 30, 2022, the Company had such lease commitments relating to operating lease payment obligations of approximately $1.9 million for a building</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25</w:t>
      </w:r>
    </w:p>
    <w:p>
      <w:pPr>
        <w:spacing w:after="0" w:line="1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lease with a term of 62 months. The Company will recognize a right-of-use asset and an associated lease liability at the time such asset becomes available for use. Such lease is currently expected to commence in the third quarter of 2022.</w:t>
      </w:r>
    </w:p>
    <w:p>
      <w:pPr>
        <w:spacing w:after="0" w:line="15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2021, a summary of the Company's future minimum lease payments, as determined under Topic 840, for all non-cancelable operating leases, excluding minimum sublease rentals of $0.6 million due in the future under a non-cancelable sublease, was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09"/>
        </w:trPr>
        <w:tc>
          <w:tcPr>
            <w:tcW w:w="9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2,251</w:t>
            </w:r>
          </w:p>
        </w:tc>
      </w:tr>
      <w:tr>
        <w:trPr>
          <w:trHeight w:val="216"/>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Pr>
          <w:p>
            <w:pPr>
              <w:spacing w:after="0"/>
              <w:rPr>
                <w:sz w:val="18"/>
                <w:szCs w:val="18"/>
                <w:color w:val="auto"/>
              </w:rPr>
            </w:pPr>
          </w:p>
        </w:tc>
        <w:tc>
          <w:tcPr>
            <w:tcW w:w="1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2,803</w:t>
            </w:r>
          </w:p>
        </w:tc>
      </w:tr>
      <w:tr>
        <w:trPr>
          <w:trHeight w:val="216"/>
        </w:trPr>
        <w:tc>
          <w:tcPr>
            <w:tcW w:w="9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2,417</w:t>
            </w:r>
          </w:p>
        </w:tc>
      </w:tr>
      <w:tr>
        <w:trPr>
          <w:trHeight w:val="216"/>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18"/>
                <w:szCs w:val="18"/>
                <w:color w:val="auto"/>
              </w:rPr>
            </w:pPr>
          </w:p>
        </w:tc>
        <w:tc>
          <w:tcPr>
            <w:tcW w:w="1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2,215</w:t>
            </w:r>
          </w:p>
        </w:tc>
      </w:tr>
      <w:tr>
        <w:trPr>
          <w:trHeight w:val="216"/>
        </w:trPr>
        <w:tc>
          <w:tcPr>
            <w:tcW w:w="9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2,220</w:t>
            </w:r>
          </w:p>
        </w:tc>
      </w:tr>
      <w:tr>
        <w:trPr>
          <w:trHeight w:val="216"/>
        </w:trPr>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4,571</w:t>
            </w:r>
          </w:p>
        </w:tc>
      </w:tr>
      <w:tr>
        <w:trPr>
          <w:trHeight w:val="249"/>
        </w:trPr>
        <w:tc>
          <w:tcPr>
            <w:tcW w:w="9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16,477</w:t>
            </w:r>
          </w:p>
        </w:tc>
      </w:tr>
    </w:tbl>
    <w:p>
      <w:pPr>
        <w:spacing w:after="0" w:line="302"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Paycheck Protection Program Loan</w:t>
      </w:r>
    </w:p>
    <w:p>
      <w:pPr>
        <w:spacing w:after="0" w:line="187"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(the “CARES Act”) was enacted to, amongst other provisions, provide emergency assistance for individuals, families and businesses affected by the COVID-19 pandemic. The CARES Act includes a Paycheck Protection Program (“PPP”) administered through the Small Business Association (“SBA”). Under the PPP, beginning April 3, 2020, small businesses and other entities and individuals could apply for loans from existing SBA lenders and other approved regulated lenders that enroll in the program, subject to numerous limitations and eligibility criteria.</w:t>
      </w:r>
    </w:p>
    <w:p>
      <w:pPr>
        <w:spacing w:after="0" w:line="1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May 7, 2020, the Company received gross proceeds in the amount of approximately $4.1 million under the PPP. The PPP, established as part of the CARES Act, provides for loans to qualifying businesses for amounts up to 2.5 times the average monthly payroll expenses of the qualifying business. On May 4, 2021, the Company fully repaid the PPP loan.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87"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The Company evaluates the status of each legal matter, if any, and assesses potential financial exposure. If the potential loss from any legal proceedings or litigation is considered probable and the amount can be reasonably estimated, the Company accrues a liability for the estimated loss. Significant judgment is required to determine the probability of a loss and whether the amount of the loss is reasonably estimated. The outcome of any proceeding is not determinable in advance. As a result, the assessment of a potential liability and the amount of accruals recorded are based on the information available at the time.</w:t>
      </w:r>
    </w:p>
    <w:p>
      <w:pPr>
        <w:spacing w:after="0" w:line="1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is not currently involved in legal actions, nor is management aware of any potential claims or legal actions, for which the ultimate disposition could have a material effect on the Company’s financial position, results of operations or liquidity.</w:t>
      </w:r>
    </w:p>
    <w:p>
      <w:pPr>
        <w:spacing w:after="0" w:line="131"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in Cytek Japan</w:t>
      </w:r>
    </w:p>
    <w:p>
      <w:pPr>
        <w:spacing w:after="0" w:line="189"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In May 2019, the Company jointly formed Cytek Japan with TOMY Digital Biology (“TOMY”). Cytek Japan was created for the purpose of expanding the Company’s presence in Japan. The Company and TOMY each purchased $46,000 of common stock of Cytek Japan. The Company previously accounted for its 50% interest in Cytek Japan as an equity method investment. The Company recorded $40,000 for its proportionate share of Cytek Japan’s earnings prior to its additional investment, which is included in other income (expense), net in the consolidated statements of operations and comprehensive income for the three months ended June 30, 2022.</w:t>
      </w:r>
    </w:p>
    <w:p>
      <w:pPr>
        <w:spacing w:after="0" w:line="154"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March 2021, the Company purchased an additional $688,000 of common stock of Cytek Japan and TOMY purchased an additional $229,000 of common stock of Cytek Japan. The Company’s interest in Cytek Japan increased from 50% to 73% giving the Company controlling interest. The Company consolidated Cytek Japan as of March 31, 2021 under the VOE model as Cytek Japan does not meet the definition of a VIE and as TOMY does not have substantive voting, participating or liquidation rights.</w:t>
      </w:r>
    </w:p>
    <w:p>
      <w:pPr>
        <w:spacing w:after="0" w:line="137"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Company recognized net assets of $1.1 million, consisting primarily of $1.0 million cash. The Company recorded noncontrolling interest of $315,000 on the unaudited interim consolidated financial statements as of March 31, 2021. The net loss attributable to noncontrolling interest was $104,000 and $241,000 for the three and six months ended June 30, 2022, respectively. The net income attributable to noncontrolling interest was de minimis for the three and six months ended June 30, 2021.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26</w:t>
      </w:r>
    </w:p>
    <w:p>
      <w:pPr>
        <w:spacing w:after="0" w:line="316"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Product warranty</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shows the activity in the product warranty accrual included in accrued expenses on the consolidated balance sheets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680" w:type="dxa"/>
            <w:vAlign w:val="bottom"/>
          </w:tcPr>
          <w:p>
            <w:pPr>
              <w:spacing w:after="0"/>
              <w:rPr>
                <w:sz w:val="16"/>
                <w:szCs w:val="16"/>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beginning of the period</w:t>
            </w:r>
          </w:p>
        </w:tc>
        <w:tc>
          <w:tcPr>
            <w:tcW w:w="108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1,760</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969</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Accrual for current year warranties</w:t>
            </w:r>
          </w:p>
        </w:tc>
        <w:tc>
          <w:tcPr>
            <w:tcW w:w="108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3,304</w:t>
            </w:r>
          </w:p>
        </w:tc>
      </w:tr>
      <w:tr>
        <w:trPr>
          <w:trHeight w:val="216"/>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Warranty cost incurred</w:t>
            </w:r>
          </w:p>
        </w:tc>
        <w:tc>
          <w:tcPr>
            <w:tcW w:w="10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(979 )</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(2,513 )</w:t>
            </w:r>
          </w:p>
        </w:tc>
      </w:tr>
      <w:tr>
        <w:trPr>
          <w:trHeight w:val="20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1,794</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1,760</w:t>
            </w:r>
          </w:p>
        </w:tc>
      </w:tr>
      <w:tr>
        <w:trPr>
          <w:trHeight w:val="20"/>
        </w:trPr>
        <w:tc>
          <w:tcPr>
            <w:tcW w:w="76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-170815</wp:posOffset>
            </wp:positionV>
            <wp:extent cx="1111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63"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income attributable to common stockholders per share</w:t>
      </w:r>
    </w:p>
    <w:p>
      <w:pPr>
        <w:spacing w:after="0" w:line="18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income attributable to common stockholders per share for the three and six months ended June 30, 2022 and 2021 (in thousands except share and per share data):</w:t>
      </w:r>
    </w:p>
    <w:p>
      <w:pPr>
        <w:spacing w:after="0" w:line="331"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5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(702 )</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2,670</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(2,860 )</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2,772</w:t>
            </w: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noncontrolling interests</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241</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net income allocated to participating securities</w:t>
            </w:r>
          </w:p>
        </w:tc>
        <w:tc>
          <w:tcPr>
            <w:tcW w:w="180" w:type="dxa"/>
            <w:vAlign w:val="bottom"/>
          </w:tcPr>
          <w:p>
            <w:pPr>
              <w:spacing w:after="0"/>
              <w:rPr>
                <w:sz w:val="18"/>
                <w:szCs w:val="18"/>
                <w:color w:val="auto"/>
              </w:rPr>
            </w:pP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(2,670 )</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(2,772 )</w:t>
            </w:r>
          </w:p>
        </w:tc>
        <w:tc>
          <w:tcPr>
            <w:tcW w:w="0" w:type="dxa"/>
            <w:vAlign w:val="bottom"/>
          </w:tcPr>
          <w:p>
            <w:pPr>
              <w:spacing w:after="0"/>
              <w:rPr>
                <w:sz w:val="1"/>
                <w:szCs w:val="1"/>
                <w:color w:val="auto"/>
              </w:rPr>
            </w:pPr>
          </w:p>
        </w:tc>
      </w:tr>
      <w:tr>
        <w:trPr>
          <w:trHeight w:val="216"/>
        </w:trPr>
        <w:tc>
          <w:tcPr>
            <w:tcW w:w="54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5480" w:type="dxa"/>
            <w:vAlign w:val="bottom"/>
          </w:tcPr>
          <w:p>
            <w:pPr>
              <w:ind w:left="360"/>
              <w:spacing w:after="0" w:line="164" w:lineRule="exact"/>
              <w:rPr>
                <w:sz w:val="20"/>
                <w:szCs w:val="20"/>
                <w:color w:val="auto"/>
              </w:rPr>
            </w:pPr>
            <w:r>
              <w:rPr>
                <w:rFonts w:ascii="Times New Roman" w:cs="Times New Roman" w:eastAsia="Times New Roman" w:hAnsi="Times New Roman"/>
                <w:sz w:val="18"/>
                <w:szCs w:val="18"/>
                <w:color w:val="auto"/>
              </w:rPr>
              <w:t>Net (loss) income attributable to common stockholders, basic and</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(598 )</w:t>
            </w:r>
          </w:p>
        </w:tc>
        <w:tc>
          <w:tcPr>
            <w:tcW w:w="3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(2,619 )</w:t>
            </w:r>
          </w:p>
        </w:tc>
        <w:tc>
          <w:tcPr>
            <w:tcW w:w="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548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18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480" w:type="dxa"/>
            <w:vAlign w:val="bottom"/>
            <w:shd w:val="clear" w:color="auto" w:fill="CFF0FC"/>
          </w:tcPr>
          <w:p>
            <w:pPr>
              <w:ind w:left="180"/>
              <w:spacing w:after="0" w:line="170" w:lineRule="exact"/>
              <w:rPr>
                <w:sz w:val="20"/>
                <w:szCs w:val="20"/>
                <w:color w:val="auto"/>
              </w:rPr>
            </w:pPr>
            <w:r>
              <w:rPr>
                <w:rFonts w:ascii="Times New Roman" w:cs="Times New Roman" w:eastAsia="Times New Roman" w:hAnsi="Times New Roman"/>
                <w:sz w:val="18"/>
                <w:szCs w:val="18"/>
                <w:color w:val="auto"/>
              </w:rPr>
              <w:t>Weighted-average common shares outstanding, attributable to common</w:t>
            </w:r>
          </w:p>
        </w:tc>
        <w:tc>
          <w:tcPr>
            <w:tcW w:w="1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stockholders, basic</w:t>
            </w: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134,403,059</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31,878,762</w:t>
            </w:r>
          </w:p>
        </w:tc>
        <w:tc>
          <w:tcPr>
            <w:tcW w:w="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134,154,171</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31,719,005</w:t>
            </w:r>
          </w:p>
        </w:tc>
        <w:tc>
          <w:tcPr>
            <w:tcW w:w="0" w:type="dxa"/>
            <w:vAlign w:val="bottom"/>
          </w:tcPr>
          <w:p>
            <w:pPr>
              <w:spacing w:after="0"/>
              <w:rPr>
                <w:sz w:val="1"/>
                <w:szCs w:val="1"/>
                <w:color w:val="auto"/>
              </w:rPr>
            </w:pPr>
          </w:p>
        </w:tc>
      </w:tr>
      <w:tr>
        <w:trPr>
          <w:trHeight w:val="216"/>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employee stock plans</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4,294,274</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4,189,549</w:t>
            </w:r>
          </w:p>
        </w:tc>
        <w:tc>
          <w:tcPr>
            <w:tcW w:w="0" w:type="dxa"/>
            <w:vAlign w:val="bottom"/>
          </w:tcPr>
          <w:p>
            <w:pPr>
              <w:spacing w:after="0"/>
              <w:rPr>
                <w:sz w:val="1"/>
                <w:szCs w:val="1"/>
                <w:color w:val="auto"/>
              </w:rPr>
            </w:pPr>
          </w:p>
        </w:tc>
      </w:tr>
      <w:tr>
        <w:trPr>
          <w:trHeight w:val="164"/>
        </w:trPr>
        <w:tc>
          <w:tcPr>
            <w:tcW w:w="5480" w:type="dxa"/>
            <w:vAlign w:val="bottom"/>
            <w:shd w:val="clear" w:color="auto" w:fill="CFF0FC"/>
          </w:tcPr>
          <w:p>
            <w:pPr>
              <w:ind w:left="180"/>
              <w:spacing w:after="0" w:line="164" w:lineRule="exact"/>
              <w:rPr>
                <w:sz w:val="20"/>
                <w:szCs w:val="20"/>
                <w:color w:val="auto"/>
              </w:rPr>
            </w:pPr>
            <w:r>
              <w:rPr>
                <w:rFonts w:ascii="Times New Roman" w:cs="Times New Roman" w:eastAsia="Times New Roman" w:hAnsi="Times New Roman"/>
                <w:sz w:val="18"/>
                <w:szCs w:val="18"/>
                <w:color w:val="auto"/>
              </w:rPr>
              <w:t>Weighted-average common shares outstanding, attributable to common</w:t>
            </w:r>
          </w:p>
        </w:tc>
        <w:tc>
          <w:tcPr>
            <w:tcW w:w="180" w:type="dxa"/>
            <w:vAlign w:val="bottom"/>
            <w:shd w:val="clear" w:color="auto" w:fill="CFF0FC"/>
          </w:tcPr>
          <w:p>
            <w:pPr>
              <w:spacing w:after="0"/>
              <w:rPr>
                <w:sz w:val="14"/>
                <w:szCs w:val="14"/>
                <w:color w:val="auto"/>
              </w:rPr>
            </w:pPr>
          </w:p>
        </w:tc>
        <w:tc>
          <w:tcPr>
            <w:tcW w:w="1100" w:type="dxa"/>
            <w:vAlign w:val="bottom"/>
            <w:vMerge w:val="restart"/>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134,403,059</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vMerge w:val="restart"/>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36,173,036</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2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134,154,171</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vMerge w:val="restart"/>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35,908,554</w:t>
            </w:r>
          </w:p>
        </w:tc>
        <w:tc>
          <w:tcPr>
            <w:tcW w:w="0" w:type="dxa"/>
            <w:vAlign w:val="bottom"/>
          </w:tcPr>
          <w:p>
            <w:pPr>
              <w:spacing w:after="0"/>
              <w:rPr>
                <w:sz w:val="1"/>
                <w:szCs w:val="1"/>
                <w:color w:val="auto"/>
              </w:rPr>
            </w:pPr>
          </w:p>
        </w:tc>
      </w:tr>
      <w:tr>
        <w:trPr>
          <w:trHeight w:val="221"/>
        </w:trPr>
        <w:tc>
          <w:tcPr>
            <w:tcW w:w="54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stockholders, diluted</w:t>
            </w:r>
          </w:p>
        </w:tc>
        <w:tc>
          <w:tcPr>
            <w:tcW w:w="1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 per share attributable to common stockholders, basic</w:t>
            </w: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income per share attributable to common stockholders, diluted</w:t>
            </w:r>
          </w:p>
        </w:tc>
        <w:tc>
          <w:tcPr>
            <w:tcW w:w="18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(0.00 )</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(0.02 )</w:t>
            </w:r>
          </w:p>
        </w:tc>
        <w:tc>
          <w:tcPr>
            <w:tcW w:w="3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-1662430</wp:posOffset>
            </wp:positionV>
            <wp:extent cx="857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-1662430</wp:posOffset>
            </wp:positionV>
            <wp:extent cx="1200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-1662430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-471170</wp:posOffset>
            </wp:positionV>
            <wp:extent cx="857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-471170</wp:posOffset>
            </wp:positionV>
            <wp:extent cx="12001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-471170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-187960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-170815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3"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Share-based compensation awards of approximately 4.4 million and 3.9 million shares for the three and six months ended June 30, 2022, respectively, and 1.2 million and 0.7 million shares for the three and six months ended June 30, 2021, respectively, were outstanding but were not included in the computation of diluted net (loss) income per share attributable to common stockholders because the effect of including such shares would have been anti-dilutive in the periods presented.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Geographic areas</w:t>
      </w:r>
    </w:p>
    <w:p>
      <w:pPr>
        <w:spacing w:after="0" w:line="18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sells its products worldwide and attributes revenue to the geography where the product is delivered. The geographical distribution of revenue for the three and six months ended June 30, 2022 and 2021 was as follows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57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24,761</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17,251</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45,085</w:t>
            </w:r>
          </w:p>
        </w:tc>
        <w:tc>
          <w:tcPr>
            <w:tcW w:w="3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30,599</w:t>
            </w:r>
          </w:p>
        </w:tc>
      </w:tr>
      <w:tr>
        <w:trPr>
          <w:trHeight w:val="216"/>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60" w:type="dxa"/>
            <w:vAlign w:val="bottom"/>
          </w:tcPr>
          <w:p>
            <w:pPr>
              <w:spacing w:after="0"/>
              <w:rPr>
                <w:sz w:val="18"/>
                <w:szCs w:val="18"/>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8,838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9,656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17,522</w:t>
            </w:r>
          </w:p>
        </w:tc>
        <w:tc>
          <w:tcPr>
            <w:tcW w:w="320" w:type="dxa"/>
            <w:vAlign w:val="bottom"/>
          </w:tcPr>
          <w:p>
            <w:pPr>
              <w:spacing w:after="0"/>
              <w:rPr>
                <w:sz w:val="18"/>
                <w:szCs w:val="18"/>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17,303</w:t>
            </w:r>
          </w:p>
        </w:tc>
      </w:tr>
      <w:tr>
        <w:trPr>
          <w:trHeight w:val="216"/>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6,142</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3,390</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11,153</w:t>
            </w: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6,646</w:t>
            </w:r>
          </w:p>
        </w:tc>
      </w:tr>
      <w:tr>
        <w:trPr>
          <w:trHeight w:val="216"/>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418</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132</w:t>
            </w:r>
          </w:p>
        </w:tc>
      </w:tr>
      <w:tr>
        <w:trPr>
          <w:trHeight w:val="249"/>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 net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40,159</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30,408</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75,223</w:t>
            </w:r>
          </w:p>
        </w:tc>
        <w:tc>
          <w:tcPr>
            <w:tcW w:w="3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54,680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-25400</wp:posOffset>
            </wp:positionV>
            <wp:extent cx="9461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-8255</wp:posOffset>
            </wp:positionV>
            <wp:extent cx="9461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-25400</wp:posOffset>
            </wp:positionV>
            <wp:extent cx="857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-8255</wp:posOffset>
            </wp:positionV>
            <wp:extent cx="857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27</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EMEA includes Europe, the Middle East and Africa; APAC includes Asia and the Pacific countries; Other includes Canada and Latin America.</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three and six months ended June 30, 2022 and 2021, the Company had no major customers.</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2022 and December 31, 2021, the Company’s long-lived assets by geographic area were as follows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9"/>
        </w:trPr>
        <w:tc>
          <w:tcPr>
            <w:tcW w:w="7600" w:type="dxa"/>
            <w:vAlign w:val="bottom"/>
          </w:tcPr>
          <w:p>
            <w:pPr>
              <w:spacing w:after="0"/>
              <w:rPr>
                <w:sz w:val="17"/>
                <w:szCs w:val="17"/>
                <w:color w:val="auto"/>
              </w:rPr>
            </w:pP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7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12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5,534</w:t>
            </w:r>
          </w:p>
        </w:tc>
        <w:tc>
          <w:tcPr>
            <w:tcW w:w="4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3,801</w:t>
            </w: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1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1,806</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2,050</w:t>
            </w:r>
          </w:p>
        </w:tc>
      </w:tr>
      <w:tr>
        <w:trPr>
          <w:trHeight w:val="250"/>
        </w:trPr>
        <w:tc>
          <w:tcPr>
            <w:tcW w:w="7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7,340</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5,851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1200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1200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2022 and December 31, 2021, substantially all of the Company’s long-lived assets were located in the United States and in Wuxi,</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161" w:lineRule="exact"/>
        <w:rPr>
          <w:sz w:val="20"/>
          <w:szCs w:val="20"/>
          <w:color w:val="auto"/>
        </w:rPr>
      </w:pPr>
    </w:p>
    <w:p>
      <w:pPr>
        <w:ind w:left="500" w:hanging="492"/>
        <w:spacing w:after="0"/>
        <w:tabs>
          <w:tab w:leader="none" w:pos="5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310" w:lineRule="exact"/>
        <w:rPr>
          <w:sz w:val="20"/>
          <w:szCs w:val="20"/>
          <w:color w:val="auto"/>
        </w:rPr>
      </w:pPr>
    </w:p>
    <w:p>
      <w:pPr>
        <w:jc w:val="both"/>
        <w:ind w:left="520" w:firstLine="509"/>
        <w:spacing w:after="0" w:line="247" w:lineRule="auto"/>
        <w:rPr>
          <w:sz w:val="20"/>
          <w:szCs w:val="20"/>
          <w:color w:val="auto"/>
        </w:rPr>
      </w:pPr>
      <w:r>
        <w:rPr>
          <w:rFonts w:ascii="Times New Roman" w:cs="Times New Roman" w:eastAsia="Times New Roman" w:hAnsi="Times New Roman"/>
          <w:sz w:val="18"/>
          <w:szCs w:val="18"/>
          <w:color w:val="auto"/>
        </w:rPr>
        <w:t>On May 7, 2022, the Company’s wholly-owned Hong Kong subsidiary (“Cytek HK”) completed an investment of $1.6 million in Tianjin Deep Analysis Intelligent Technology Development Co., Ltd, a company incorporated under the laws of the People’s Republic of China (“DeepCyto”) in consideration for the issuance of Series A preferred shares of DeepCyto, representing an ownership interest of approximately 3.3%. An entity affiliated with Northern Light Venture Capital (“NLVC”) has a significant ownership interest in DeepCyto and has a representative serving on the DeepCyto board of directors. The founding managing partner of NLVC served as a member of the Company’s board of directors until June 1, 2022.</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28</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jc w:val="both"/>
        <w:ind w:left="20" w:firstLine="509"/>
        <w:spacing w:after="0" w:line="24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interim consolidated financial statements and related notes included in this Quarterly Report on Form 10-Q and the audited consolidated financial statements and notes thereto as of and for the year ended December 31, 2021 and the related Management’s Discussion and Analysis of Financial Condition and Results of Operations, both of which are contained in our Annual Report on Form 10-K filed with the Securities and Exchange Commission (the “SEC”) on March 17, 2022. Unless the context requires otherwise, references in this Quarterly Report on Form 10-Q to “we,” “us” and “our” refer to Cytek Biosciences, Inc.</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3"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i w:val="1"/>
          <w:iCs w:val="1"/>
          <w:color w:val="auto"/>
        </w:rPr>
        <w:t>The information in this discussion contains forward-looking statements and information within the meaning of Section 27A of the Securities Act of 1933, as amended, (the Securities Act) and Section 21E of the Securities Exchange Act of 1934, as amended (the "Exchange Act"), which are subject to the “safe harbor” created by those sections. These forward-looking statements include, but are not limited to, statements concerning our strategy, future operations, future financial position, future revenues, projected costs, prospects and plans and objectives of management. The words “anticipates,” “believes,” “estimates,” “expects,” “intends,” “may,” “plans,” “projects,”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the risks set forth in Part II, Item 1A, “Risk Factors” in this Quarterly Report on Form 10-Q and in our other filings with the SEC. The forward-looking statements are applicable only as of the date on which they are made, and we do not assume any obligation to update any forward-looking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We are a leading cell analysis solutions company advancing the next generation of cell analysis tools by leveraging novel technical approaches. Our goal is to become the premier cell analysis company through continued innovation that facilitates scientific advances in biomedical research and clinical applications. We believe our core instruments, the Aurora and Northern Lights systems, are the first full spectrum flow cytometers able to deliver high-resolution, high-content and high-sensitivity cell analysis by utilizing the full spectrum of fluorescence signatures from multiple lasers to distinguish fluorescent tags on single cells (“Full Spectrum Profiling” or “FSP”). Our novel approach harnesses the power of information within the entire spectrum of a fluorescent signal to achieve a higher level of multiplexing with exquisite sensitivity. Our patented FSP technology optimizes sensitivity and accuracy through its novel optical and electronic designs that utilize an innovative method of light detection and distribution. Our FSP platform includes instruments, reagents, software and services to provide a comprehensive and integrated suite of solutions for our customers. Since our first U.S. commercial launch in mid-2017, we have sold and deployed over 1,300 instruments—primarily comprised of our Aurora and Northern Lights systems—to customers around the world, including the largest pharmaceutical companies, over 150 biopharma companies, leading academic research centers, and clinical research organizations (“CROs”). In June 2021, we began shipping the Aurora cell sorter (“Aurora CS”), which uses our FSP technology to further broaden our potential applications across cell analysis.</w:t>
      </w:r>
    </w:p>
    <w:p>
      <w:pPr>
        <w:spacing w:after="0" w:line="16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manufacture our instruments in our facilities in Fremont, California and in Wuxi, China. We have designed our operating model to be capital efficient and to scale efficiently as our product volumes grow.</w:t>
      </w:r>
    </w:p>
    <w:p>
      <w:pPr>
        <w:spacing w:after="0" w:line="13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total revenue was $40.2 million and $75.2 million in the three and six months ended June 30, 2022, respectively, and $30.4 million and $54.7 million in the three and six months ended June 30, 2021, respectively. The increase was primarily due to continued demand across our full portfolio of product offerings and an increase in the average blended selling price due to product mix.</w:t>
      </w:r>
    </w:p>
    <w:p>
      <w:pPr>
        <w:spacing w:after="0" w:line="129"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To date, we have adopted a direct sales model in North America, Europe and China, and sell our products through third-party distributors in certain countries in Europe, Latin America, the Middle East, Africa and the Asia-Pacific region. Revenue from direct sales represented 84% and 86% of total revenue for the three and six months ended June 30, 2022, respectively, and 85% and 83% for the three and six months ended June 30, 2021, respectively, and revenue from distributors represented 16% and 14% of total revenue for the three and six months ended June 30, 2022, respectively, and 15% and 17% for the three and six months ended June 30, 2021, respectively.</w:t>
      </w:r>
    </w:p>
    <w:p>
      <w:pPr>
        <w:spacing w:after="0" w:line="150"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We focus a substantial portion of our resources on developing new products and solutions to meet our customers’ needs. Our research and development efforts focus on developing new and complementary instruments, reagents and reagent kits, and continued operating software development. We incurred research and development expenses of $8.4 million and $16.5 million for the three and six months ended June 30, 2022, respectively, and $6.2 million and $11.3 million for the three and six months ended June 30, 2021, respectively. We intend to continue to make significant investments in research and development in the future.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29</w:t>
      </w:r>
    </w:p>
    <w:p>
      <w:pPr>
        <w:spacing w:after="0" w:line="104"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We expect to continue to invest in our commercial infrastructure through hiring additional employees with strong scientific and technical backgrounds to support growth in sales of our Aurora, Northern Lights and Aurora CS systems, as well as our planned expansion of reagents offerings and panel design capabilities. We also plan to continue to invest in sales, marketing and business development across the globe to drive commercialization of our products. We incurred sales and marketing expenses of $8.4 million and $15.4 million for the three and six months ended June 30, 2022, respectively, and $5.6 million and $9.9 million for the three and six months ended June 30, 2021, respectively.</w:t>
      </w:r>
    </w:p>
    <w:p>
      <w:pPr>
        <w:spacing w:after="0" w:line="13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Since our inception in 2014, we have financed our operations primarily through sales of our securities and revenue from the sale of our products and services.</w:t>
      </w:r>
    </w:p>
    <w:p>
      <w:pPr>
        <w:spacing w:after="0" w:line="12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Our net loss was $0.7 million and $2.9 million for the three and six months ended June 30, 2022, respectively, and our net income was $2.7 million and $2.8 million for the three and six months ended June 30, 2021, respectively. The change for the three and six months ended June 30, 2022 compared to the three and six months ended June 30, 2021 resulted primarily from expenses driven by an increase in headcount and salaries and efforts in research and development and marketing initiatives.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our expenses will increase substantially in connection with our ongoing activities, as we:</w:t>
      </w:r>
    </w:p>
    <w:p>
      <w:pPr>
        <w:spacing w:after="0" w:line="104"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personnel;</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processes, commercial infrastructure and supporting functions to scale our business and introduce new products and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our research and development efforts;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geographically;</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and defend our intellectual property;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strategic investments in complementary businesses, services, products or technologies.</w:t>
      </w:r>
    </w:p>
    <w:p>
      <w:pPr>
        <w:spacing w:after="0" w:line="185"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 xml:space="preserve">On November 2, 2021, we completed the acquisition of the reagents business of Tonbo Biotechnologies Corporation as detailed in Note 8, </w:t>
      </w:r>
      <w:r>
        <w:rPr>
          <w:rFonts w:ascii="Times New Roman" w:cs="Times New Roman" w:eastAsia="Times New Roman" w:hAnsi="Times New Roman"/>
          <w:sz w:val="18"/>
          <w:szCs w:val="18"/>
          <w:i w:val="1"/>
          <w:iCs w:val="1"/>
          <w:color w:val="auto"/>
        </w:rPr>
        <w:t xml:space="preserve">Acquisition, </w:t>
      </w:r>
      <w:r>
        <w:rPr>
          <w:rFonts w:ascii="Times New Roman" w:cs="Times New Roman" w:eastAsia="Times New Roman" w:hAnsi="Times New Roman"/>
          <w:sz w:val="18"/>
          <w:szCs w:val="18"/>
          <w:color w:val="auto"/>
        </w:rPr>
        <w:t>to our unaudited interim consolidated financial statements included elsewhere in this Quarterly Report on Form 10-Q. The acquired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a portfolio of life science research reagents related to cell preparation, flow cytometry, molecular immunology/polymerase chain reaction and cell culture covering application areas across immunology, apoptosis and immunoprofiling.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 of operations and future performance</w:t>
      </w:r>
    </w:p>
    <w:p>
      <w:pPr>
        <w:spacing w:after="0" w:line="189"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We believe that our financial performance has been, and in the foreseeable future will continue to be, primarily driven by multiple factors as described below, each of which presents growth opportunities for our business. These factors also pose important challenges that we must successfully address to sustain our growth and improve our results of operations. Our ability to successfully address these challenges is subject to various risk and uncertainties, including those described under the heading “Risk Factors” included elsewhere in this Quarterly Report on Form 10-Q.</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Global customer adoption</w:t>
      </w:r>
    </w:p>
    <w:p>
      <w:pPr>
        <w:spacing w:after="0" w:line="189"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Our financial performance has largely been driven by our ability to increase the adoption of our FSP platform, a key factor on which our future success depends. We plan to drive global customer adoption through business development efforts, direct sales and marketing and third-party distributions. We are investing in our direct sales organization and commercial support functions and developing third-party distributor relationships to support global expansion and drive revenue growth. As part of this effort, we increased our direct sales force by 50% and 43% in the three and six months ended June 30, 2022 compared to the three and six months ended June 30, 2021. We intend to continue increasing our workforce in line with our growth.</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Recurring revenues</w:t>
      </w:r>
    </w:p>
    <w:p>
      <w:pPr>
        <w:spacing w:after="0" w:line="189"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We believe our expanding installed base of instruments to new and existing customers will provide us with greater leverage to drive pull-through for reagent and service revenue, which are recurring by nature. Furthermore, as we develop and identify new applications and products, we expect to further increase pull-through across our installed base. We expect recurring revenue on an absolute basis to increase and become an increasingly important contributor to our revenue as our installed base expands.</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mix and gross margin</w:t>
      </w:r>
    </w:p>
    <w:p>
      <w:pPr>
        <w:spacing w:after="0" w:line="1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revenue is primarily derived from sales of our instruments and services with our instruments recognizing higher gross margins than our services. Although we expect sales of our instruments to continue to represent the largest percentage of our revenue in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30</w:t>
      </w:r>
    </w:p>
    <w:p>
      <w:pPr>
        <w:spacing w:after="0" w:line="1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future, we expect reagent sales to increase as a percentage of our total revenue and our gross margins to experience a corresponding improvement as we grow our installed base and increase our focus on commercializing reagents. We also expect a higher gross margin on our instruments as we increase manufacturing efficiency, instrument reliability and training for personnel using our instruments, which we expect to lead to a reduction in warranty claims. Our sales in certain regions, particularly outside of the United States, are realized through third-party distribution partners that typically receive discounted prices, thus resulting in lower gross margins than those recognized by our direct sales organization. Furthermore, our gross margins and instrument selling prices may fluctuate in the future as we continue to grow our volume of third-party distribution partners in geographies outside of the United States, introduce new products and reduce our production costs as a result of variability in the timing of new product introductions.</w:t>
      </w:r>
    </w:p>
    <w:p>
      <w:pPr>
        <w:spacing w:after="0" w:line="154"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the near term, we expect the continued optimization of our manufacturing processes related to our instruments and the expansion of product manufacturing distribution facilities to have the greatest impact on our gross margin. In addition to the impact of competing products entering the market, the future gross margin profiles of our instruments, services and reagents will depend on the outcome of any royalties we are required to pay and the royalty rates and products to which such royalties apply.</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Expansion into new markets</w:t>
      </w:r>
    </w:p>
    <w:p>
      <w:pPr>
        <w:spacing w:after="0" w:line="189"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We focus our research and development efforts on the greatest value-additive FSP products to meet the growing and unmet needs of the research and clinical markets. We work closely with researchers and clinicians to optimize and implement new panels and applications to meet their specific needs. We also gain valuable insight on potential new products, new applications and enhancements to existing products, as well as biomarker combinations that would be beneficial in different fields, through collaborations with our customers, academic laboratories, KOLs and industry partners. We plan to continue to invest in new product development and enhancements to support our expansion into new markets.</w:t>
      </w:r>
    </w:p>
    <w:p>
      <w:pPr>
        <w:spacing w:after="0" w:line="154"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Our Northern Lights system obtained clinical certification in China in 2019 and received CE Marking under the European Union In Vitro Diagnostic Medical Devices Directive in September 2020. With these achievements, our Northern Lights system is available for clinical diagnostic use in hospitals, laboratories, and clinics in China and the European Union.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regularly review the following key business metrics to evaluate our business, measure our performance, identify trends affecting our business, formulate financial projections and make strategic decisions. We believe that the following metrics are representative of our current business; however, we anticipate these will change or may be substituted for additional or different metrics as our business grows.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8"/>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6"/>
                <w:szCs w:val="16"/>
                <w:color w:val="auto"/>
              </w:rPr>
            </w:pPr>
          </w:p>
        </w:tc>
        <w:tc>
          <w:tcPr>
            <w:tcW w:w="960" w:type="dxa"/>
            <w:vAlign w:val="bottom"/>
            <w:vMerge w:val="restart"/>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160" w:type="dxa"/>
            <w:vAlign w:val="bottom"/>
          </w:tcPr>
          <w:p>
            <w:pPr>
              <w:spacing w:after="0"/>
              <w:rPr>
                <w:sz w:val="16"/>
                <w:szCs w:val="16"/>
                <w:color w:val="auto"/>
              </w:rPr>
            </w:pPr>
          </w:p>
        </w:tc>
        <w:tc>
          <w:tcPr>
            <w:tcW w:w="1880" w:type="dxa"/>
            <w:vAlign w:val="bottom"/>
            <w:gridSpan w:val="9"/>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0" w:type="dxa"/>
            <w:vAlign w:val="bottom"/>
          </w:tcPr>
          <w:p>
            <w:pPr>
              <w:spacing w:after="0"/>
              <w:rPr>
                <w:sz w:val="1"/>
                <w:szCs w:val="1"/>
                <w:color w:val="auto"/>
              </w:rPr>
            </w:pPr>
          </w:p>
        </w:tc>
      </w:tr>
      <w:tr>
        <w:trPr>
          <w:trHeight w:val="134"/>
        </w:trPr>
        <w:tc>
          <w:tcPr>
            <w:tcW w:w="4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3"/>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3"/>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5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Sales channel mix</w:t>
            </w:r>
          </w:p>
        </w:tc>
        <w:tc>
          <w:tcPr>
            <w:tcW w:w="1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 sales channel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33,602</w:t>
            </w:r>
          </w:p>
        </w:tc>
        <w:tc>
          <w:tcPr>
            <w:tcW w:w="4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25,703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7,899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64,521</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45,565</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18,956</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CFF0FC"/>
            </w:tcBorders>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Distributor channel</w:t>
            </w:r>
          </w:p>
        </w:tc>
        <w:tc>
          <w:tcPr>
            <w:tcW w:w="1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6,557</w:t>
            </w:r>
          </w:p>
        </w:tc>
        <w:tc>
          <w:tcPr>
            <w:tcW w:w="1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4,705</w:t>
            </w:r>
          </w:p>
        </w:tc>
        <w:tc>
          <w:tcPr>
            <w:tcW w:w="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1,852</w:t>
            </w:r>
          </w:p>
        </w:tc>
        <w:tc>
          <w:tcPr>
            <w:tcW w:w="1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10,702</w:t>
            </w:r>
          </w:p>
        </w:tc>
        <w:tc>
          <w:tcPr>
            <w:tcW w:w="1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9,115</w:t>
            </w:r>
          </w:p>
        </w:tc>
        <w:tc>
          <w:tcPr>
            <w:tcW w:w="8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1,587</w:t>
            </w:r>
          </w:p>
        </w:tc>
        <w:tc>
          <w:tcPr>
            <w:tcW w:w="0" w:type="dxa"/>
            <w:vAlign w:val="bottom"/>
          </w:tcPr>
          <w:p>
            <w:pPr>
              <w:spacing w:after="0"/>
              <w:rPr>
                <w:sz w:val="1"/>
                <w:szCs w:val="1"/>
                <w:color w:val="auto"/>
              </w:rPr>
            </w:pPr>
          </w:p>
        </w:tc>
      </w:tr>
      <w:tr>
        <w:trPr>
          <w:trHeight w:val="209"/>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 net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40,159</w:t>
            </w:r>
          </w:p>
        </w:tc>
        <w:tc>
          <w:tcPr>
            <w:tcW w:w="4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30,408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9,751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75,223</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54,680</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20,543</w:t>
            </w:r>
          </w:p>
        </w:tc>
        <w:tc>
          <w:tcPr>
            <w:tcW w:w="0" w:type="dxa"/>
            <w:vAlign w:val="bottom"/>
          </w:tcPr>
          <w:p>
            <w:pPr>
              <w:spacing w:after="0"/>
              <w:rPr>
                <w:sz w:val="1"/>
                <w:szCs w:val="1"/>
                <w:color w:val="auto"/>
              </w:rPr>
            </w:pPr>
          </w:p>
        </w:tc>
      </w:tr>
      <w:tr>
        <w:trPr>
          <w:trHeight w:val="20"/>
        </w:trPr>
        <w:tc>
          <w:tcPr>
            <w:tcW w:w="45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80" w:type="dxa"/>
            <w:vAlign w:val="bottom"/>
            <w:gridSpan w:val="2"/>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Customer mix</w:t>
            </w: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Academia and government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15,406</w:t>
            </w:r>
          </w:p>
        </w:tc>
        <w:tc>
          <w:tcPr>
            <w:tcW w:w="4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13,754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1,652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29,813</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23,870</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5,943</w:t>
            </w:r>
          </w:p>
        </w:tc>
        <w:tc>
          <w:tcPr>
            <w:tcW w:w="0" w:type="dxa"/>
            <w:vAlign w:val="bottom"/>
          </w:tcPr>
          <w:p>
            <w:pPr>
              <w:spacing w:after="0"/>
              <w:rPr>
                <w:sz w:val="1"/>
                <w:szCs w:val="1"/>
                <w:color w:val="auto"/>
              </w:rPr>
            </w:pPr>
          </w:p>
        </w:tc>
      </w:tr>
      <w:tr>
        <w:trPr>
          <w:trHeight w:val="171"/>
        </w:trPr>
        <w:tc>
          <w:tcPr>
            <w:tcW w:w="4580" w:type="dxa"/>
            <w:vAlign w:val="bottom"/>
            <w:gridSpan w:val="2"/>
            <w:shd w:val="clear" w:color="auto" w:fill="CFF0FC"/>
          </w:tcPr>
          <w:p>
            <w:pPr>
              <w:ind w:left="240"/>
              <w:spacing w:after="0" w:line="170" w:lineRule="exact"/>
              <w:rPr>
                <w:sz w:val="20"/>
                <w:szCs w:val="20"/>
                <w:color w:val="auto"/>
              </w:rPr>
            </w:pPr>
            <w:r>
              <w:rPr>
                <w:rFonts w:ascii="Times New Roman" w:cs="Times New Roman" w:eastAsia="Times New Roman" w:hAnsi="Times New Roman"/>
                <w:sz w:val="18"/>
                <w:szCs w:val="18"/>
                <w:color w:val="auto"/>
              </w:rPr>
              <w:t>Biotechnology, pharmaceutical, distributor and</w:t>
            </w:r>
          </w:p>
        </w:tc>
        <w:tc>
          <w:tcPr>
            <w:tcW w:w="120" w:type="dxa"/>
            <w:vAlign w:val="bottom"/>
            <w:shd w:val="clear" w:color="auto" w:fill="CFF0FC"/>
          </w:tcPr>
          <w:p>
            <w:pPr>
              <w:spacing w:after="0"/>
              <w:rPr>
                <w:sz w:val="14"/>
                <w:szCs w:val="14"/>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16,654</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vMerge w:val="restart"/>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8,099</w:t>
            </w:r>
          </w:p>
        </w:tc>
        <w:tc>
          <w:tcPr>
            <w:tcW w:w="160" w:type="dxa"/>
            <w:vAlign w:val="bottom"/>
            <w:shd w:val="clear" w:color="auto" w:fill="CFF0FC"/>
          </w:tcPr>
          <w:p>
            <w:pPr>
              <w:spacing w:after="0"/>
              <w:rPr>
                <w:sz w:val="14"/>
                <w:szCs w:val="14"/>
                <w:color w:val="auto"/>
              </w:rPr>
            </w:pPr>
          </w:p>
        </w:tc>
        <w:tc>
          <w:tcPr>
            <w:tcW w:w="7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45,410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3"/>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30,810</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14,600</w:t>
            </w:r>
          </w:p>
        </w:tc>
        <w:tc>
          <w:tcPr>
            <w:tcW w:w="0" w:type="dxa"/>
            <w:vAlign w:val="bottom"/>
          </w:tcPr>
          <w:p>
            <w:pPr>
              <w:spacing w:after="0"/>
              <w:rPr>
                <w:sz w:val="1"/>
                <w:szCs w:val="1"/>
                <w:color w:val="auto"/>
              </w:rPr>
            </w:pPr>
          </w:p>
        </w:tc>
      </w:tr>
      <w:tr>
        <w:trPr>
          <w:trHeight w:val="221"/>
        </w:trPr>
        <w:tc>
          <w:tcPr>
            <w:tcW w:w="4580" w:type="dxa"/>
            <w:vAlign w:val="bottom"/>
            <w:tcBorders>
              <w:bottom w:val="single" w:sz="8" w:color="CFF0FC"/>
            </w:tcBorders>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CRO</w:t>
            </w: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gridSpan w:val="2"/>
            <w:vMerge w:val="continue"/>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vMerge w:val="continue"/>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gridSpan w:val="3"/>
            <w:vMerge w:val="continue"/>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3"/>
            <w:vMerge w:val="continue"/>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 net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40,159</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30,408</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9,751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75,223</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54,680</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20,543</w:t>
            </w:r>
          </w:p>
        </w:tc>
        <w:tc>
          <w:tcPr>
            <w:tcW w:w="0" w:type="dxa"/>
            <w:vAlign w:val="bottom"/>
          </w:tcPr>
          <w:p>
            <w:pPr>
              <w:spacing w:after="0"/>
              <w:rPr>
                <w:sz w:val="1"/>
                <w:szCs w:val="1"/>
                <w:color w:val="auto"/>
              </w:rPr>
            </w:pPr>
          </w:p>
        </w:tc>
      </w:tr>
      <w:tr>
        <w:trPr>
          <w:trHeight w:val="20"/>
        </w:trPr>
        <w:tc>
          <w:tcPr>
            <w:tcW w:w="458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6880" w:type="dxa"/>
            <w:vAlign w:val="bottom"/>
            <w:gridSpan w:val="11"/>
          </w:tcPr>
          <w:p>
            <w:pPr>
              <w:ind w:left="520"/>
              <w:spacing w:after="0"/>
              <w:rPr>
                <w:sz w:val="20"/>
                <w:szCs w:val="20"/>
                <w:color w:val="auto"/>
              </w:rPr>
            </w:pPr>
            <w:r>
              <w:rPr>
                <w:rFonts w:ascii="Times New Roman" w:cs="Times New Roman" w:eastAsia="Times New Roman" w:hAnsi="Times New Roman"/>
                <w:sz w:val="18"/>
                <w:szCs w:val="18"/>
                <w:color w:val="auto"/>
              </w:rPr>
              <w:t>Distributors typically sell to end customers identified in other customer categories.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880" w:type="dxa"/>
            <w:vAlign w:val="bottom"/>
            <w:gridSpan w:val="11"/>
          </w:tcPr>
          <w:p>
            <w:pPr>
              <w:ind w:left="520"/>
              <w:spacing w:after="0"/>
              <w:rPr>
                <w:sz w:val="20"/>
                <w:szCs w:val="20"/>
                <w:color w:val="auto"/>
              </w:rPr>
            </w:pPr>
            <w:r>
              <w:rPr>
                <w:rFonts w:ascii="Times New Roman" w:cs="Times New Roman" w:eastAsia="Times New Roman" w:hAnsi="Times New Roman"/>
                <w:sz w:val="18"/>
                <w:szCs w:val="18"/>
                <w:color w:val="auto"/>
                <w:w w:val="99"/>
              </w:rPr>
              <w:t>The table below sets forth our cumulative instruments shipped as of the dates presented: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8"/>
        </w:trPr>
        <w:tc>
          <w:tcPr>
            <w:tcW w:w="4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7"/>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0" w:type="dxa"/>
            <w:vAlign w:val="bottom"/>
            <w:gridSpan w:val="4"/>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44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5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10"/>
        </w:trPr>
        <w:tc>
          <w:tcPr>
            <w:tcW w:w="4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Instruments shipped</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98"/>
              </w:rPr>
              <w:t>1,226</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1,110</w:t>
            </w:r>
          </w:p>
        </w:tc>
        <w:tc>
          <w:tcPr>
            <w:tcW w:w="0" w:type="dxa"/>
            <w:vAlign w:val="bottom"/>
          </w:tcPr>
          <w:p>
            <w:pPr>
              <w:spacing w:after="0"/>
              <w:rPr>
                <w:sz w:val="1"/>
                <w:szCs w:val="1"/>
                <w:color w:val="auto"/>
              </w:rPr>
            </w:pPr>
          </w:p>
        </w:tc>
      </w:tr>
      <w:tr>
        <w:trPr>
          <w:trHeight w:val="580"/>
        </w:trPr>
        <w:tc>
          <w:tcPr>
            <w:tcW w:w="4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4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-2622550</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-2622550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-2622550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-2622550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-1927860</wp:posOffset>
            </wp:positionV>
            <wp:extent cx="768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-1927860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-1927860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-1927860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31</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121"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The global COVID-19 pandemic continues to evolve and we intend to continue to monitor it closely. In response to the COVID-19 pandemic and various resulting government directives, we took proactive measures to protect the health and safety of our employees, contractors, customers and visiting vendors and suppliers, including implementing social distancing and other protective measures, restricting business travel and limiting access to our facilities to vendors, suppliers and partners who are critical to our business operations. We communicate regularly with our suppliers so that our supply chain remains intact, and we have not experienced any material supply issues. We also developed, and continue to develop, remote learning capabilities to help our customers and partners operate and reduce the number of required customer/partner on-site visits for our field application scientists and field support engineers to comply with travel restrictions and country-specific quarantine requirements. While the COVID-19 pandemic has not had a material adverse effect on our business, results of operations or the operation of financial reporting systems, internal control over financial reporting and disclosure controls and procedures, given the considerable uncertainty around the duration and extent of the pandemic, including the resurgence of infections or new strains of the virus, the related financial and operational impact cannot be reasonably estimated. We continue to monitor the implications of the COVID-19 pandemic on our business, as well as our customers’ and suppliers’ business. Potential impacts of the COVID-19 pandemic, some of which we have already experienced, include those described throughout the “Risk Factors” section, including “A pandemic, epidemic or outbreak of an infectious disease in the United States or worldwide could adversely affect our business. The COVID-19 pandemic has had and could continue to have an adverse impact on our business, operations, and the markets and communities in which we, our partners, and customers operate.”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Total revenue, net</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currently generate our total revenue, net from product revenue and service revenue.</w:t>
      </w:r>
    </w:p>
    <w:p>
      <w:pPr>
        <w:spacing w:after="0" w:line="183"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Product</w:t>
      </w:r>
      <w:r>
        <w:rPr>
          <w:rFonts w:ascii="Times New Roman" w:cs="Times New Roman" w:eastAsia="Times New Roman" w:hAnsi="Times New Roman"/>
          <w:sz w:val="18"/>
          <w:szCs w:val="18"/>
          <w:color w:val="auto"/>
        </w:rPr>
        <w:t>. Our product revenue primarily consists of sales of our instruments, including the Aurora, Northern Lights and Aurora CS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 accessories, such as loaders and consumables, such as reagents. We offer multiple versions of our Aurora and Northern Lights systems with different price points based on the number of lasers integrated in the systems. We also derive revenue from sales of our conventional flow cytometry system, which is available for sale in China. We recognize product revenue when control of the instrument is transferred to the customer.</w:t>
      </w:r>
    </w:p>
    <w:p>
      <w:pPr>
        <w:spacing w:after="0" w:line="147"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Service</w:t>
      </w:r>
      <w:r>
        <w:rPr>
          <w:rFonts w:ascii="Times New Roman" w:cs="Times New Roman" w:eastAsia="Times New Roman" w:hAnsi="Times New Roman"/>
          <w:sz w:val="18"/>
          <w:szCs w:val="18"/>
          <w:color w:val="auto"/>
        </w:rPr>
        <w:t>. Our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w:t>
      </w:r>
    </w:p>
    <w:p>
      <w:pPr>
        <w:spacing w:after="0" w:line="14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expect our revenue to increase in absolute dollars as we expand our sales organization and sales territories, broaden our customer base, and expand awareness of our products with new and existing customers. Our revenue was $40.2 million and $75.2 million for the three and six months ended June 30, 2022, respectively, and $30.4 million and $54.7 million for the three and six months ended June 30, 2021, respectively.</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Total cost of sales, gross profit and gross margin</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total cost of sales is comprised of product cost of sales and service cost of sales.</w:t>
      </w:r>
    </w:p>
    <w:p>
      <w:pPr>
        <w:spacing w:after="0" w:line="169"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Product. </w:t>
      </w:r>
      <w:r>
        <w:rPr>
          <w:rFonts w:ascii="Times New Roman" w:cs="Times New Roman" w:eastAsia="Times New Roman" w:hAnsi="Times New Roman"/>
          <w:sz w:val="18"/>
          <w:szCs w:val="18"/>
          <w:color w:val="auto"/>
        </w:rPr>
        <w:t>Cost of sales associated with our products primarily consist of manufacturing-related costs incurred in the production process, inventory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write-downs, warranty costs, third party royalty costs, personnel and related costs, costs of component materials, overhead, packaging and delivery and depreciation expense.</w:t>
      </w:r>
    </w:p>
    <w:p>
      <w:pPr>
        <w:spacing w:after="0" w:line="140"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i w:val="1"/>
          <w:iCs w:val="1"/>
          <w:color w:val="auto"/>
        </w:rPr>
        <w:t>Service</w:t>
      </w:r>
      <w:r>
        <w:rPr>
          <w:rFonts w:ascii="Times New Roman" w:cs="Times New Roman" w:eastAsia="Times New Roman" w:hAnsi="Times New Roman"/>
          <w:sz w:val="18"/>
          <w:szCs w:val="18"/>
          <w:color w:val="auto"/>
        </w:rPr>
        <w:t>. Cost of sales associated with our services primarily consists of personnel and related costs, expenses related to product replacements,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updates and qualification validation of our products and depreciation expense.</w:t>
      </w:r>
    </w:p>
    <w:p>
      <w:pPr>
        <w:spacing w:after="0" w:line="13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expect our total cost of sales to increase in absolute dollars in future periods, corresponding to our anticipated growth in revenue and employee headcount to support our manufacturing, operations, field service team and support organizations.</w:t>
      </w:r>
    </w:p>
    <w:p>
      <w:pPr>
        <w:spacing w:after="0" w:line="135"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Gross profit is calculated as revenue less total cost of sales. Gross margin is gross profit expressed as a percentage of revenue. Our gross profit in future periods will depend on a variety of factors, including market conditions that may impact our pricing, sales mix changes among our instruments and service agreements, product mix changes between established products and new products, excess and obsolete inventories, our cost structure for manufacturing operations relative to volume and product warranty obligations.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32</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operating expenses are primarily comprised of research and development, sales and marketing, and general and administrative expenses, depreciation and amortization, and related overhead.</w:t>
      </w:r>
    </w:p>
    <w:p>
      <w:pPr>
        <w:spacing w:after="0" w:line="133"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Our research and development expenses primarily consist of salaries, benefits, stock-based compensation costs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in our research and development department, independent contractor costs, laboratory supplies, equipment maintenance and materials expenses.</w:t>
      </w:r>
    </w:p>
    <w:p>
      <w:pPr>
        <w:spacing w:after="0" w:line="3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plan to continue to invest in our research and development efforts, including hiring additional employees to enhance existing products and develop new products. We expect research and development expense will increase in absolute dollars in future periods and vary from period to period as a percentage of revenue due to our continuing investment in product development.</w:t>
      </w:r>
    </w:p>
    <w:p>
      <w:pPr>
        <w:spacing w:after="0" w:line="59"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Our sales and marketing expenses consist primarily of salaries, benefits, and stock-based compensation costs for employees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sales and marketing department, sales commissions, marketing material costs, travel expenses and costs related to trade shows, trainings and various workshops. We expect our sales and marketing expense to increase in absolute dollars as we expand our commercial sales, marketing, and business development teams, increase our presence globally and increase marketing activities to drive awareness and adoption of our platform. While these expenses may vary from period to period as a percentage of revenue, we expect these expenses to increase as a percentage of sales in the short-term as we continue to grow our commercial organization to support anticipated growth of the business.</w:t>
      </w:r>
    </w:p>
    <w:p>
      <w:pPr>
        <w:spacing w:after="0" w:line="87"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Our general and administrative expenses primarily consist of salaries, benefits, and stock-based compensation costs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in our executive, accounting and finance, legal and human resource functions, as well as professional services fees, such as consulting, audit, tax, legal, general corporate costs and allocated overhead expenses. We expect our operating expenses to increase as a public company. In particular, we expect our accounting, legal, personnel-related expenses and directors’ and officers’ insurance costs reported within general and administrative expense to increase as we establish more comprehensive compliance and governance functions, maintain IT costs, review internal controls over financial reporting in accordance with the Sarbanes-Oxley Act and prepare and distribute periodic reports as required by the rules and regulations of the SEC. As a result, our historical results of operations may not be indicative of our results of operations in future periods.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these expenses to vary from period to period as a percentage of revenue.</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87"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consists primarily of accretion of the present value of the litigation settlement liability. See Note 10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unaudited interim consolidated financial statements included elsewhere in this Quarterly Report on Form 10-Q for further details regarding the settlement.</w:t>
      </w:r>
    </w:p>
    <w:p>
      <w:pPr>
        <w:spacing w:after="0" w:line="64"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Our interest income consists primarily of interest earned on our cash and cash equivalents which are invested in cash deposits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money market funds.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Our other expense, net consists primarily of foreign exchange gains and losses.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Our (benefit from) provision for income taxes consists primarily of provision for federal taxes and local taxes in the United States as well as foreign taxes. As we plan to expand the scale and scope of our international business activities, any changes in the United States and foreign taxation of such activities may increase our overall provision for income taxes in the future.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33</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six months ended June 30, 2022 and 2021</w:t>
      </w:r>
    </w:p>
    <w:p>
      <w:pPr>
        <w:spacing w:after="0" w:line="18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results of operations presented below should be reviewed in conjunction with the unaudited interim consolidated financial statements and related notes included elsewhere in this Quarterly Report on Form 10-Q.</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our interim consolidated results of operations and comprehensive income data for the periods presented: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10"/>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6"/>
                <w:szCs w:val="16"/>
                <w:color w:val="auto"/>
              </w:rPr>
            </w:pPr>
          </w:p>
        </w:tc>
        <w:tc>
          <w:tcPr>
            <w:tcW w:w="2580" w:type="dxa"/>
            <w:vAlign w:val="bottom"/>
            <w:gridSpan w:val="8"/>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372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gridSpan w:val="3"/>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net:</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Product</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37,093</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28,676</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4"/>
          </w:tcPr>
          <w:p>
            <w:pPr>
              <w:jc w:val="right"/>
              <w:ind w:right="88"/>
              <w:spacing w:after="0"/>
              <w:rPr>
                <w:sz w:val="20"/>
                <w:szCs w:val="20"/>
                <w:color w:val="auto"/>
              </w:rPr>
            </w:pPr>
            <w:r>
              <w:rPr>
                <w:rFonts w:ascii="Times New Roman" w:cs="Times New Roman" w:eastAsia="Times New Roman" w:hAnsi="Times New Roman"/>
                <w:sz w:val="18"/>
                <w:szCs w:val="18"/>
                <w:color w:val="auto"/>
              </w:rPr>
              <w:t>68,574</w:t>
            </w:r>
          </w:p>
        </w:tc>
        <w:tc>
          <w:tcPr>
            <w:tcW w:w="4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51,376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Borders>
              <w:bottom w:val="single" w:sz="8" w:color="CFF0FC"/>
            </w:tcBorders>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Service</w:t>
            </w:r>
          </w:p>
        </w:tc>
        <w:tc>
          <w:tcPr>
            <w:tcW w:w="16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3,066</w:t>
            </w: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1,732</w:t>
            </w: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gridSpan w:val="3"/>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w w:val="98"/>
              </w:rPr>
              <w:t>6,649</w:t>
            </w:r>
          </w:p>
        </w:tc>
        <w:tc>
          <w:tcPr>
            <w:tcW w:w="4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3,304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revenue, net</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40,159</w:t>
            </w:r>
          </w:p>
        </w:tc>
        <w:tc>
          <w:tcPr>
            <w:tcW w:w="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30,408</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4"/>
          </w:tcPr>
          <w:p>
            <w:pPr>
              <w:jc w:val="right"/>
              <w:ind w:right="88"/>
              <w:spacing w:after="0"/>
              <w:rPr>
                <w:sz w:val="20"/>
                <w:szCs w:val="20"/>
                <w:color w:val="auto"/>
              </w:rPr>
            </w:pPr>
            <w:r>
              <w:rPr>
                <w:rFonts w:ascii="Times New Roman" w:cs="Times New Roman" w:eastAsia="Times New Roman" w:hAnsi="Times New Roman"/>
                <w:sz w:val="18"/>
                <w:szCs w:val="18"/>
                <w:color w:val="auto"/>
              </w:rPr>
              <w:t>75,223</w:t>
            </w: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54,680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Product</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11,780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7,932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4"/>
          </w:tcPr>
          <w:p>
            <w:pPr>
              <w:jc w:val="right"/>
              <w:ind w:right="88"/>
              <w:spacing w:after="0"/>
              <w:rPr>
                <w:sz w:val="20"/>
                <w:szCs w:val="20"/>
                <w:color w:val="auto"/>
              </w:rPr>
            </w:pPr>
            <w:r>
              <w:rPr>
                <w:rFonts w:ascii="Times New Roman" w:cs="Times New Roman" w:eastAsia="Times New Roman" w:hAnsi="Times New Roman"/>
                <w:sz w:val="18"/>
                <w:szCs w:val="18"/>
                <w:color w:val="auto"/>
              </w:rPr>
              <w:t>23,547</w:t>
            </w:r>
          </w:p>
        </w:tc>
        <w:tc>
          <w:tcPr>
            <w:tcW w:w="4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Borders>
              <w:bottom w:val="single" w:sz="8" w:color="CFF0FC"/>
            </w:tcBorders>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Service</w:t>
            </w:r>
          </w:p>
        </w:tc>
        <w:tc>
          <w:tcPr>
            <w:tcW w:w="16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3,818</w:t>
            </w: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2,731</w:t>
            </w: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gridSpan w:val="3"/>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w w:val="98"/>
              </w:rPr>
              <w:t>6,938</w:t>
            </w:r>
          </w:p>
        </w:tc>
        <w:tc>
          <w:tcPr>
            <w:tcW w:w="4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5,209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cost of sales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15,598</w:t>
            </w:r>
          </w:p>
        </w:tc>
        <w:tc>
          <w:tcPr>
            <w:tcW w:w="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10,663</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4"/>
          </w:tcPr>
          <w:p>
            <w:pPr>
              <w:jc w:val="right"/>
              <w:ind w:right="88"/>
              <w:spacing w:after="0"/>
              <w:rPr>
                <w:sz w:val="20"/>
                <w:szCs w:val="20"/>
                <w:color w:val="auto"/>
              </w:rPr>
            </w:pPr>
            <w:r>
              <w:rPr>
                <w:rFonts w:ascii="Times New Roman" w:cs="Times New Roman" w:eastAsia="Times New Roman" w:hAnsi="Times New Roman"/>
                <w:sz w:val="18"/>
                <w:szCs w:val="18"/>
                <w:color w:val="auto"/>
              </w:rPr>
              <w:t>30,485</w:t>
            </w: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20,449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24,561</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19,745</w:t>
            </w:r>
          </w:p>
        </w:tc>
        <w:tc>
          <w:tcPr>
            <w:tcW w:w="1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4"/>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44,738</w:t>
            </w:r>
          </w:p>
        </w:tc>
        <w:tc>
          <w:tcPr>
            <w:tcW w:w="4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34,231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8,436</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6,194</w:t>
            </w:r>
          </w:p>
        </w:tc>
        <w:tc>
          <w:tcPr>
            <w:tcW w:w="1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4"/>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16,461</w:t>
            </w:r>
          </w:p>
        </w:tc>
        <w:tc>
          <w:tcPr>
            <w:tcW w:w="4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11,288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8,431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5,576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4"/>
          </w:tcPr>
          <w:p>
            <w:pPr>
              <w:jc w:val="right"/>
              <w:ind w:right="88"/>
              <w:spacing w:after="0"/>
              <w:rPr>
                <w:sz w:val="20"/>
                <w:szCs w:val="20"/>
                <w:color w:val="auto"/>
              </w:rPr>
            </w:pPr>
            <w:r>
              <w:rPr>
                <w:rFonts w:ascii="Times New Roman" w:cs="Times New Roman" w:eastAsia="Times New Roman" w:hAnsi="Times New Roman"/>
                <w:sz w:val="18"/>
                <w:szCs w:val="18"/>
                <w:color w:val="auto"/>
              </w:rPr>
              <w:t>15,391</w:t>
            </w:r>
          </w:p>
        </w:tc>
        <w:tc>
          <w:tcPr>
            <w:tcW w:w="4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Borders>
              <w:bottom w:val="single" w:sz="8" w:color="CFF0FC"/>
            </w:tcBorders>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8,585</w:t>
            </w: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4,164</w:t>
            </w: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gridSpan w:val="4"/>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16,134</w:t>
            </w:r>
          </w:p>
        </w:tc>
        <w:tc>
          <w:tcPr>
            <w:tcW w:w="4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8,147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25,452</w:t>
            </w:r>
          </w:p>
        </w:tc>
        <w:tc>
          <w:tcPr>
            <w:tcW w:w="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15,934</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4"/>
          </w:tcPr>
          <w:p>
            <w:pPr>
              <w:jc w:val="right"/>
              <w:ind w:right="88"/>
              <w:spacing w:after="0"/>
              <w:rPr>
                <w:sz w:val="20"/>
                <w:szCs w:val="20"/>
                <w:color w:val="auto"/>
              </w:rPr>
            </w:pPr>
            <w:r>
              <w:rPr>
                <w:rFonts w:ascii="Times New Roman" w:cs="Times New Roman" w:eastAsia="Times New Roman" w:hAnsi="Times New Roman"/>
                <w:sz w:val="18"/>
                <w:szCs w:val="18"/>
                <w:color w:val="auto"/>
              </w:rPr>
              <w:t>47,986</w:t>
            </w: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29,288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(891 )</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3,811</w:t>
            </w:r>
          </w:p>
        </w:tc>
        <w:tc>
          <w:tcPr>
            <w:tcW w:w="1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4"/>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(3,248 )</w:t>
            </w:r>
          </w:p>
        </w:tc>
        <w:tc>
          <w:tcPr>
            <w:tcW w:w="4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4,943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(647 )</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(433 )</w:t>
            </w:r>
          </w:p>
        </w:tc>
        <w:tc>
          <w:tcPr>
            <w:tcW w:w="1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4"/>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(1,237 )</w:t>
            </w:r>
          </w:p>
        </w:tc>
        <w:tc>
          <w:tcPr>
            <w:tcW w:w="4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(808 )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gridSpan w:val="3"/>
          </w:tcPr>
          <w:p>
            <w:pPr>
              <w:jc w:val="right"/>
              <w:ind w:right="88"/>
              <w:spacing w:after="0"/>
              <w:rPr>
                <w:sz w:val="20"/>
                <w:szCs w:val="20"/>
                <w:color w:val="auto"/>
              </w:rPr>
            </w:pPr>
            <w:r>
              <w:rPr>
                <w:rFonts w:ascii="Times New Roman" w:cs="Times New Roman" w:eastAsia="Times New Roman" w:hAnsi="Times New Roman"/>
                <w:sz w:val="18"/>
                <w:szCs w:val="18"/>
                <w:color w:val="auto"/>
              </w:rPr>
              <w:t>409</w:t>
            </w:r>
          </w:p>
        </w:tc>
        <w:tc>
          <w:tcPr>
            <w:tcW w:w="4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(254 )</w:t>
            </w: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(628 )</w:t>
            </w:r>
          </w:p>
        </w:tc>
        <w:tc>
          <w:tcPr>
            <w:tcW w:w="4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(735 )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(1,401 )</w:t>
            </w:r>
          </w:p>
        </w:tc>
        <w:tc>
          <w:tcPr>
            <w:tcW w:w="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3,267</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4"/>
          </w:tcPr>
          <w:p>
            <w:pPr>
              <w:jc w:val="right"/>
              <w:ind w:right="8"/>
              <w:spacing w:after="0"/>
              <w:rPr>
                <w:sz w:val="20"/>
                <w:szCs w:val="20"/>
                <w:color w:val="auto"/>
              </w:rPr>
            </w:pPr>
            <w:r>
              <w:rPr>
                <w:rFonts w:ascii="Times New Roman" w:cs="Times New Roman" w:eastAsia="Times New Roman" w:hAnsi="Times New Roman"/>
                <w:sz w:val="18"/>
                <w:szCs w:val="18"/>
                <w:color w:val="auto"/>
              </w:rPr>
              <w:t>(4,704 )</w:t>
            </w: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6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(699 )</w:t>
            </w: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597</w:t>
            </w: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gridSpan w:val="4"/>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(1,844 )</w:t>
            </w:r>
          </w:p>
        </w:tc>
        <w:tc>
          <w:tcPr>
            <w:tcW w:w="4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(loss) income</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(702 )</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2,670</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4"/>
          </w:tcPr>
          <w:p>
            <w:pPr>
              <w:jc w:val="right"/>
              <w:ind w:right="8"/>
              <w:spacing w:after="0"/>
              <w:rPr>
                <w:sz w:val="20"/>
                <w:szCs w:val="20"/>
                <w:color w:val="auto"/>
              </w:rPr>
            </w:pPr>
            <w:r>
              <w:rPr>
                <w:rFonts w:ascii="Times New Roman" w:cs="Times New Roman" w:eastAsia="Times New Roman" w:hAnsi="Times New Roman"/>
                <w:sz w:val="18"/>
                <w:szCs w:val="18"/>
                <w:color w:val="auto"/>
              </w:rPr>
              <w:t>(2,860 )</w:t>
            </w:r>
          </w:p>
        </w:tc>
        <w:tc>
          <w:tcPr>
            <w:tcW w:w="4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16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(683 )</w:t>
            </w: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269</w:t>
            </w: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(669 )</w:t>
            </w:r>
          </w:p>
        </w:tc>
        <w:tc>
          <w:tcPr>
            <w:tcW w:w="4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comprehensive (loss) income</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(1,385 )</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2,939</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4"/>
          </w:tcPr>
          <w:p>
            <w:pPr>
              <w:jc w:val="right"/>
              <w:ind w:right="8"/>
              <w:spacing w:after="0"/>
              <w:rPr>
                <w:sz w:val="20"/>
                <w:szCs w:val="20"/>
                <w:color w:val="auto"/>
              </w:rPr>
            </w:pPr>
            <w:r>
              <w:rPr>
                <w:rFonts w:ascii="Times New Roman" w:cs="Times New Roman" w:eastAsia="Times New Roman" w:hAnsi="Times New Roman"/>
                <w:sz w:val="18"/>
                <w:szCs w:val="18"/>
                <w:color w:val="auto"/>
              </w:rPr>
              <w:t>(3,529 )</w:t>
            </w:r>
          </w:p>
        </w:tc>
        <w:tc>
          <w:tcPr>
            <w:tcW w:w="4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Total revenue, net</w:t>
            </w: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7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6"/>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gridSpan w:val="4"/>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3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30,</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20" w:type="dxa"/>
            <w:vAlign w:val="bottom"/>
            <w:gridSpan w:val="2"/>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1240" w:type="dxa"/>
            <w:vAlign w:val="bottom"/>
            <w:tcBorders>
              <w:top w:val="single" w:sz="8" w:color="auto"/>
            </w:tcBorders>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top w:val="single" w:sz="8" w:color="auto"/>
            </w:tcBorders>
            <w:gridSpan w:val="2"/>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net</w:t>
            </w:r>
          </w:p>
        </w:tc>
        <w:tc>
          <w:tcPr>
            <w:tcW w:w="1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Product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37,093</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28,676</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8,417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32"/>
              <w:spacing w:after="0"/>
              <w:rPr>
                <w:sz w:val="20"/>
                <w:szCs w:val="20"/>
                <w:color w:val="auto"/>
              </w:rPr>
            </w:pPr>
            <w:r>
              <w:rPr>
                <w:rFonts w:ascii="Times New Roman" w:cs="Times New Roman" w:eastAsia="Times New Roman" w:hAnsi="Times New Roman"/>
                <w:sz w:val="18"/>
                <w:szCs w:val="18"/>
                <w:color w:val="auto"/>
              </w:rPr>
              <w:t>29 % $ 68,574</w:t>
            </w:r>
          </w:p>
        </w:tc>
        <w:tc>
          <w:tcPr>
            <w:tcW w:w="140" w:type="dxa"/>
            <w:vAlign w:val="bottom"/>
          </w:tcPr>
          <w:p>
            <w:pPr>
              <w:spacing w:after="0"/>
              <w:rPr>
                <w:sz w:val="18"/>
                <w:szCs w:val="18"/>
                <w:color w:val="auto"/>
              </w:rPr>
            </w:pPr>
          </w:p>
        </w:tc>
        <w:tc>
          <w:tcPr>
            <w:tcW w:w="1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51,376</w:t>
            </w:r>
          </w:p>
        </w:tc>
        <w:tc>
          <w:tcPr>
            <w:tcW w:w="1000" w:type="dxa"/>
            <w:vAlign w:val="bottom"/>
            <w:gridSpan w:val="4"/>
          </w:tcPr>
          <w:p>
            <w:pPr>
              <w:jc w:val="right"/>
              <w:ind w:right="35"/>
              <w:spacing w:after="0"/>
              <w:rPr>
                <w:sz w:val="20"/>
                <w:szCs w:val="20"/>
                <w:color w:val="auto"/>
              </w:rPr>
            </w:pPr>
            <w:r>
              <w:rPr>
                <w:rFonts w:ascii="Times New Roman" w:cs="Times New Roman" w:eastAsia="Times New Roman" w:hAnsi="Times New Roman"/>
                <w:sz w:val="18"/>
                <w:szCs w:val="18"/>
                <w:color w:val="auto"/>
              </w:rPr>
              <w:t>$ 17,198</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16"/>
        </w:trPr>
        <w:tc>
          <w:tcPr>
            <w:tcW w:w="3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Service</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1,732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0"/>
              </w:rPr>
              <w:t>77 %</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6,649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1000" w:type="dxa"/>
            <w:vAlign w:val="bottom"/>
            <w:gridSpan w:val="4"/>
          </w:tcPr>
          <w:p>
            <w:pPr>
              <w:jc w:val="right"/>
              <w:ind w:right="35"/>
              <w:spacing w:after="0"/>
              <w:rPr>
                <w:sz w:val="20"/>
                <w:szCs w:val="20"/>
                <w:color w:val="auto"/>
              </w:rPr>
            </w:pPr>
            <w:r>
              <w:rPr>
                <w:rFonts w:ascii="Times New Roman" w:cs="Times New Roman" w:eastAsia="Times New Roman" w:hAnsi="Times New Roman"/>
                <w:sz w:val="18"/>
                <w:szCs w:val="18"/>
                <w:color w:val="auto"/>
              </w:rPr>
              <w:t>3,345</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20"/>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revenue, net</w:t>
            </w:r>
          </w:p>
        </w:tc>
        <w:tc>
          <w:tcPr>
            <w:tcW w:w="1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30,408</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9,751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32"/>
              <w:spacing w:after="0"/>
              <w:rPr>
                <w:sz w:val="20"/>
                <w:szCs w:val="20"/>
                <w:color w:val="auto"/>
              </w:rPr>
            </w:pPr>
            <w:r>
              <w:rPr>
                <w:rFonts w:ascii="Times New Roman" w:cs="Times New Roman" w:eastAsia="Times New Roman" w:hAnsi="Times New Roman"/>
                <w:sz w:val="18"/>
                <w:szCs w:val="18"/>
                <w:color w:val="auto"/>
              </w:rPr>
              <w:t>32 % $ 75,223</w:t>
            </w:r>
          </w:p>
        </w:tc>
        <w:tc>
          <w:tcPr>
            <w:tcW w:w="140" w:type="dxa"/>
            <w:vAlign w:val="bottom"/>
          </w:tcPr>
          <w:p>
            <w:pPr>
              <w:spacing w:after="0"/>
              <w:rPr>
                <w:sz w:val="18"/>
                <w:szCs w:val="18"/>
                <w:color w:val="auto"/>
              </w:rPr>
            </w:pPr>
          </w:p>
        </w:tc>
        <w:tc>
          <w:tcPr>
            <w:tcW w:w="1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54,680</w:t>
            </w:r>
          </w:p>
        </w:tc>
        <w:tc>
          <w:tcPr>
            <w:tcW w:w="1000" w:type="dxa"/>
            <w:vAlign w:val="bottom"/>
            <w:gridSpan w:val="4"/>
          </w:tcPr>
          <w:p>
            <w:pPr>
              <w:jc w:val="right"/>
              <w:ind w:right="35"/>
              <w:spacing w:after="0"/>
              <w:rPr>
                <w:sz w:val="20"/>
                <w:szCs w:val="20"/>
                <w:color w:val="auto"/>
              </w:rPr>
            </w:pPr>
            <w:r>
              <w:rPr>
                <w:rFonts w:ascii="Times New Roman" w:cs="Times New Roman" w:eastAsia="Times New Roman" w:hAnsi="Times New Roman"/>
                <w:sz w:val="18"/>
                <w:szCs w:val="18"/>
                <w:color w:val="auto"/>
              </w:rPr>
              <w:t>$ 20,543</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0"/>
        </w:trPr>
        <w:tc>
          <w:tcPr>
            <w:tcW w:w="3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-4293870</wp:posOffset>
            </wp:positionV>
            <wp:extent cx="939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-4293870</wp:posOffset>
            </wp:positionV>
            <wp:extent cx="857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-3728085</wp:posOffset>
            </wp:positionV>
            <wp:extent cx="939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-3728085</wp:posOffset>
            </wp:positionV>
            <wp:extent cx="857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-2887980</wp:posOffset>
            </wp:positionV>
            <wp:extent cx="939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-2887980</wp:posOffset>
            </wp:positionV>
            <wp:extent cx="857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-2047875</wp:posOffset>
            </wp:positionV>
            <wp:extent cx="939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-2047875</wp:posOffset>
            </wp:positionV>
            <wp:extent cx="857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-1756410</wp:posOffset>
            </wp:positionV>
            <wp:extent cx="939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-1756410</wp:posOffset>
            </wp:positionV>
            <wp:extent cx="857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-1473835</wp:posOffset>
            </wp:positionV>
            <wp:extent cx="939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-1473835</wp:posOffset>
            </wp:positionV>
            <wp:extent cx="857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6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86" w:lineRule="exact"/>
        <w:rPr>
          <w:sz w:val="20"/>
          <w:szCs w:val="20"/>
          <w:color w:val="auto"/>
        </w:rPr>
      </w:pPr>
    </w:p>
    <w:p>
      <w:pPr>
        <w:jc w:val="both"/>
        <w:ind w:right="60" w:firstLine="509"/>
        <w:spacing w:after="0" w:line="246" w:lineRule="auto"/>
        <w:rPr>
          <w:sz w:val="20"/>
          <w:szCs w:val="20"/>
          <w:color w:val="auto"/>
        </w:rPr>
      </w:pPr>
      <w:r>
        <w:rPr>
          <w:rFonts w:ascii="Times New Roman" w:cs="Times New Roman" w:eastAsia="Times New Roman" w:hAnsi="Times New Roman"/>
          <w:sz w:val="18"/>
          <w:szCs w:val="18"/>
          <w:color w:val="auto"/>
        </w:rPr>
        <w:t>Total revenue, net increased by $9.8 million, or 32%, for the three months ended June 30, 2022 as compared to the three months ended June 30, 2021. Total revenue, net increased by $20.5 million, or 38%, for the six months ended June 30, 2022 as compared to the six months ended June 30, 2021. The increase in revenue was primarily driven by an increase in product revenue due to higher unit sales of our Aurora and Northern Lights systems, sales of our Aurora CS system, which commercially launched in June 2021, recently launched reagents and consumables, and an increase in the average blended selling price due to product mix.</w:t>
      </w:r>
    </w:p>
    <w:p>
      <w:pPr>
        <w:spacing w:after="0" w:line="154" w:lineRule="exact"/>
        <w:rPr>
          <w:sz w:val="20"/>
          <w:szCs w:val="20"/>
          <w:color w:val="auto"/>
        </w:rPr>
      </w:pPr>
    </w:p>
    <w:p>
      <w:pPr>
        <w:jc w:val="both"/>
        <w:ind w:right="60" w:firstLine="509"/>
        <w:spacing w:after="0" w:line="246" w:lineRule="auto"/>
        <w:rPr>
          <w:sz w:val="20"/>
          <w:szCs w:val="20"/>
          <w:color w:val="auto"/>
        </w:rPr>
      </w:pPr>
      <w:r>
        <w:rPr>
          <w:rFonts w:ascii="Times New Roman" w:cs="Times New Roman" w:eastAsia="Times New Roman" w:hAnsi="Times New Roman"/>
          <w:sz w:val="18"/>
          <w:szCs w:val="18"/>
          <w:color w:val="auto"/>
        </w:rPr>
        <w:t>Product revenue increased by $8.4 million or 29%, to $37.1 million, for the three months ended June 30, 2022 as compared to the three months ended June 30, 2021. Product revenue increased by $17.2 million, or 33%, to $68.6 million, for the six months ended June 30, 2022 as compared to the three months ended June 30, 2021. The increase was primarily driven by an increase in our instrument sales due to higher unit sales of our Aurora and Northern Lights systems, sales of our Aurora CS system, which commercially launched in June 2021, recently launched reagents and consumables, and an increase in the average blended selling price due to product mix.</w:t>
      </w:r>
    </w:p>
    <w:p>
      <w:pPr>
        <w:spacing w:after="0" w:line="1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34</w:t>
      </w:r>
    </w:p>
    <w:p>
      <w:pPr>
        <w:spacing w:after="0" w:line="104" w:lineRule="exact"/>
        <w:rPr>
          <w:sz w:val="20"/>
          <w:szCs w:val="20"/>
          <w:color w:val="auto"/>
        </w:rPr>
      </w:pPr>
    </w:p>
    <w:p>
      <w:pPr>
        <w:jc w:val="both"/>
        <w:ind w:right="60" w:firstLine="509"/>
        <w:spacing w:after="0" w:line="258" w:lineRule="auto"/>
        <w:rPr>
          <w:sz w:val="20"/>
          <w:szCs w:val="20"/>
          <w:color w:val="auto"/>
        </w:rPr>
      </w:pPr>
      <w:r>
        <w:rPr>
          <w:rFonts w:ascii="Times New Roman" w:cs="Times New Roman" w:eastAsia="Times New Roman" w:hAnsi="Times New Roman"/>
          <w:sz w:val="18"/>
          <w:szCs w:val="18"/>
          <w:color w:val="auto"/>
        </w:rPr>
        <w:t>Service revenue increased by $1.3 million, or 77%, to $3.1 million, for the three months ended June 30, 2022 as compared to the three months ended June 30, 2021. Service revenue increased by $3.3 million, or 101%, to $6.6 million, for the six months ended June 30, 2022 as compared to the six months ended June 30, 2021.The increase in service revenue was mainly driven by more instruments coming off warranty.</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Total cost of sales, gross profit and gross margin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1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6"/>
                <w:szCs w:val="16"/>
                <w:color w:val="auto"/>
              </w:rPr>
            </w:pPr>
          </w:p>
        </w:tc>
        <w:tc>
          <w:tcPr>
            <w:tcW w:w="92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0" w:type="dxa"/>
            <w:vAlign w:val="bottom"/>
          </w:tcPr>
          <w:p>
            <w:pPr>
              <w:spacing w:after="0"/>
              <w:rPr>
                <w:sz w:val="16"/>
                <w:szCs w:val="16"/>
                <w:color w:val="auto"/>
              </w:rPr>
            </w:pPr>
          </w:p>
        </w:tc>
        <w:tc>
          <w:tcPr>
            <w:tcW w:w="92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80" w:type="dxa"/>
            <w:vAlign w:val="bottom"/>
            <w:gridSpan w:val="2"/>
            <w:vMerge w:val="continue"/>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106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106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6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Product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11,780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7,932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49 % $</w:t>
            </w: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23,547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15,240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8,307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16"/>
        </w:trPr>
        <w:tc>
          <w:tcPr>
            <w:tcW w:w="3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Service</w:t>
            </w:r>
          </w:p>
        </w:tc>
        <w:tc>
          <w:tcPr>
            <w:tcW w:w="18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3,818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2,731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40 %</w:t>
            </w:r>
          </w:p>
        </w:tc>
        <w:tc>
          <w:tcPr>
            <w:tcW w:w="180" w:type="dxa"/>
            <w:vAlign w:val="bottom"/>
          </w:tcPr>
          <w:p>
            <w:pPr>
              <w:spacing w:after="0"/>
              <w:rPr>
                <w:sz w:val="18"/>
                <w:szCs w:val="18"/>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6,938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5,209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164"/>
        </w:trPr>
        <w:tc>
          <w:tcPr>
            <w:tcW w:w="3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33"/>
              <w:spacing w:after="0" w:line="164" w:lineRule="exact"/>
              <w:rPr>
                <w:sz w:val="20"/>
                <w:szCs w:val="20"/>
                <w:color w:val="auto"/>
              </w:rPr>
            </w:pPr>
            <w:r>
              <w:rPr>
                <w:rFonts w:ascii="Times New Roman" w:cs="Times New Roman" w:eastAsia="Times New Roman" w:hAnsi="Times New Roman"/>
                <w:sz w:val="18"/>
                <w:szCs w:val="18"/>
                <w:color w:val="auto"/>
              </w:rPr>
              <w:t>10,03</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780" w:type="dxa"/>
            <w:vAlign w:val="bottom"/>
            <w:gridSpan w:val="2"/>
            <w:vMerge w:val="continue"/>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ind w:right="53"/>
              <w:spacing w:after="0"/>
              <w:rPr>
                <w:sz w:val="20"/>
                <w:szCs w:val="20"/>
                <w:color w:val="auto"/>
              </w:rPr>
            </w:pPr>
            <w:r>
              <w:rPr>
                <w:rFonts w:ascii="Times New Roman" w:cs="Times New Roman" w:eastAsia="Times New Roman" w:hAnsi="Times New Roman"/>
                <w:sz w:val="18"/>
                <w:szCs w:val="18"/>
                <w:color w:val="auto"/>
              </w:rPr>
              <w:t>15,598</w:t>
            </w:r>
          </w:p>
        </w:tc>
        <w:tc>
          <w:tcPr>
            <w:tcW w:w="12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ind w:right="53"/>
              <w:spacing w:after="0"/>
              <w:rPr>
                <w:sz w:val="20"/>
                <w:szCs w:val="20"/>
                <w:color w:val="auto"/>
              </w:rPr>
            </w:pPr>
            <w:r>
              <w:rPr>
                <w:rFonts w:ascii="Times New Roman" w:cs="Times New Roman" w:eastAsia="Times New Roman" w:hAnsi="Times New Roman"/>
                <w:sz w:val="18"/>
                <w:szCs w:val="18"/>
                <w:color w:val="auto"/>
              </w:rPr>
              <w:t>10,663</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4,935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46 % $</w:t>
            </w:r>
          </w:p>
        </w:tc>
        <w:tc>
          <w:tcPr>
            <w:tcW w:w="68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30,485</w:t>
            </w:r>
          </w:p>
        </w:tc>
        <w:tc>
          <w:tcPr>
            <w:tcW w:w="10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20,449</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94"/>
        </w:trPr>
        <w:tc>
          <w:tcPr>
            <w:tcW w:w="3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gridSpan w:val="3"/>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3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33"/>
              <w:spacing w:after="0" w:line="170" w:lineRule="exact"/>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780" w:type="dxa"/>
            <w:vAlign w:val="bottom"/>
            <w:gridSpan w:val="2"/>
            <w:vMerge w:val="continue"/>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ind w:right="53"/>
              <w:spacing w:after="0"/>
              <w:rPr>
                <w:sz w:val="20"/>
                <w:szCs w:val="20"/>
                <w:color w:val="auto"/>
              </w:rPr>
            </w:pPr>
            <w:r>
              <w:rPr>
                <w:rFonts w:ascii="Times New Roman" w:cs="Times New Roman" w:eastAsia="Times New Roman" w:hAnsi="Times New Roman"/>
                <w:sz w:val="18"/>
                <w:szCs w:val="18"/>
                <w:color w:val="auto"/>
              </w:rPr>
              <w:t>24,561</w:t>
            </w:r>
          </w:p>
        </w:tc>
        <w:tc>
          <w:tcPr>
            <w:tcW w:w="12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ind w:right="53"/>
              <w:spacing w:after="0"/>
              <w:rPr>
                <w:sz w:val="20"/>
                <w:szCs w:val="20"/>
                <w:color w:val="auto"/>
              </w:rPr>
            </w:pPr>
            <w:r>
              <w:rPr>
                <w:rFonts w:ascii="Times New Roman" w:cs="Times New Roman" w:eastAsia="Times New Roman" w:hAnsi="Times New Roman"/>
                <w:sz w:val="18"/>
                <w:szCs w:val="18"/>
                <w:color w:val="auto"/>
              </w:rPr>
              <w:t>19,745</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4,816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24 % $</w:t>
            </w:r>
          </w:p>
        </w:tc>
        <w:tc>
          <w:tcPr>
            <w:tcW w:w="68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44,738</w:t>
            </w:r>
          </w:p>
        </w:tc>
        <w:tc>
          <w:tcPr>
            <w:tcW w:w="10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34,231</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95"/>
        </w:trPr>
        <w:tc>
          <w:tcPr>
            <w:tcW w:w="3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gridSpan w:val="3"/>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61 %</w:t>
            </w:r>
          </w:p>
        </w:tc>
        <w:tc>
          <w:tcPr>
            <w:tcW w:w="1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65 %</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59 %</w:t>
            </w: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63 %</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146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2571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86" w:lineRule="exact"/>
        <w:rPr>
          <w:sz w:val="20"/>
          <w:szCs w:val="20"/>
          <w:color w:val="auto"/>
        </w:rPr>
      </w:pPr>
    </w:p>
    <w:p>
      <w:pPr>
        <w:jc w:val="both"/>
        <w:ind w:right="60" w:firstLine="509"/>
        <w:spacing w:after="0" w:line="247" w:lineRule="auto"/>
        <w:rPr>
          <w:sz w:val="20"/>
          <w:szCs w:val="20"/>
          <w:color w:val="auto"/>
        </w:rPr>
      </w:pPr>
      <w:r>
        <w:rPr>
          <w:rFonts w:ascii="Times New Roman" w:cs="Times New Roman" w:eastAsia="Times New Roman" w:hAnsi="Times New Roman"/>
          <w:sz w:val="18"/>
          <w:szCs w:val="18"/>
          <w:color w:val="auto"/>
        </w:rPr>
        <w:t>Total cost of sales increased by $4.9 million, or 46%, for the three months ended June 30, 2022 as compared to the three months ended June 30, 2021, and increased by $10.0 million, or 49%, for the six months ended June 30, 2022 as compared to the six months ended June 30, 2021. This is primarily due to more instruments shipped, increased material costs, and increased service and manufacturing headcount and associated personnel cost, including an increase of $0.6 million in stock-based compensation for the three months ended June 30, 2022 as compared to the three months ended June 30, 2021, and an increase of $1.2 million in stock-based compensation for the six months ended June 30, 2022 as compared to the six months ended June 30, 2021.</w:t>
      </w:r>
    </w:p>
    <w:p>
      <w:pPr>
        <w:spacing w:after="0" w:line="139" w:lineRule="exact"/>
        <w:rPr>
          <w:sz w:val="20"/>
          <w:szCs w:val="20"/>
          <w:color w:val="auto"/>
        </w:rPr>
      </w:pPr>
    </w:p>
    <w:p>
      <w:pPr>
        <w:jc w:val="both"/>
        <w:ind w:right="60" w:firstLine="509"/>
        <w:spacing w:after="0" w:line="258" w:lineRule="auto"/>
        <w:rPr>
          <w:sz w:val="20"/>
          <w:szCs w:val="20"/>
          <w:color w:val="auto"/>
        </w:rPr>
      </w:pPr>
      <w:r>
        <w:rPr>
          <w:rFonts w:ascii="Times New Roman" w:cs="Times New Roman" w:eastAsia="Times New Roman" w:hAnsi="Times New Roman"/>
          <w:sz w:val="18"/>
          <w:szCs w:val="18"/>
          <w:color w:val="auto"/>
        </w:rPr>
        <w:t>Total gross profit margin was 61% and 65% as a percent of total revenue for the three months ended June 30, 2022 and 2021, respectively, and 59% and 63% for the six months ended June 30, 2022 and 2021, respectively. The decrease is primarily due to increased material costs and increased service and manufacturing headcount and associated personnel cost for the three and six months ended June 30, 2022.</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6"/>
                <w:szCs w:val="16"/>
                <w:color w:val="auto"/>
              </w:rPr>
            </w:pPr>
          </w:p>
        </w:tc>
        <w:tc>
          <w:tcPr>
            <w:tcW w:w="92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0" w:type="dxa"/>
            <w:vAlign w:val="bottom"/>
          </w:tcPr>
          <w:p>
            <w:pPr>
              <w:spacing w:after="0"/>
              <w:rPr>
                <w:sz w:val="16"/>
                <w:szCs w:val="16"/>
                <w:color w:val="auto"/>
              </w:rPr>
            </w:pPr>
          </w:p>
        </w:tc>
        <w:tc>
          <w:tcPr>
            <w:tcW w:w="92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80" w:type="dxa"/>
            <w:vAlign w:val="bottom"/>
            <w:gridSpan w:val="2"/>
            <w:vMerge w:val="continue"/>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106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106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32"/>
              <w:spacing w:after="0" w:line="170" w:lineRule="exact"/>
              <w:rPr>
                <w:sz w:val="20"/>
                <w:szCs w:val="20"/>
                <w:color w:val="auto"/>
              </w:rPr>
            </w:pPr>
            <w:r>
              <w:rPr>
                <w:rFonts w:ascii="Times New Roman" w:cs="Times New Roman" w:eastAsia="Times New Roman" w:hAnsi="Times New Roman"/>
                <w:sz w:val="18"/>
                <w:szCs w:val="18"/>
                <w:color w:val="auto"/>
              </w:rPr>
              <w:t>17,19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780" w:type="dxa"/>
            <w:vAlign w:val="bottom"/>
            <w:gridSpan w:val="2"/>
            <w:vMerge w:val="continue"/>
          </w:tcPr>
          <w:p>
            <w:pPr>
              <w:spacing w:after="0"/>
              <w:rPr>
                <w:sz w:val="12"/>
                <w:szCs w:val="1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37,093</w:t>
            </w:r>
          </w:p>
        </w:tc>
        <w:tc>
          <w:tcPr>
            <w:tcW w:w="12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28,676</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8,417</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29 % $</w:t>
            </w:r>
          </w:p>
        </w:tc>
        <w:tc>
          <w:tcPr>
            <w:tcW w:w="70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68,574</w:t>
            </w:r>
          </w:p>
        </w:tc>
        <w:tc>
          <w:tcPr>
            <w:tcW w:w="10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51,376</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95"/>
        </w:trPr>
        <w:tc>
          <w:tcPr>
            <w:tcW w:w="3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11,780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7,932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49 %</w:t>
            </w:r>
          </w:p>
        </w:tc>
        <w:tc>
          <w:tcPr>
            <w:tcW w:w="160" w:type="dxa"/>
            <w:vAlign w:val="bottom"/>
          </w:tcPr>
          <w:p>
            <w:pPr>
              <w:spacing w:after="0"/>
              <w:rPr>
                <w:sz w:val="18"/>
                <w:szCs w:val="18"/>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23,547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15,240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8,307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Product gross profit</w:t>
            </w: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gridSpan w:val="2"/>
            <w:vMerge w:val="continue"/>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25,313</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20,744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4,569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22 % $</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45,027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36,136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8,890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68 %</w:t>
            </w: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72 %</w:t>
            </w: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66 %</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70 %</w:t>
            </w: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3,066</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1,732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1,334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77 % $</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6,649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3,304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216"/>
        </w:trPr>
        <w:tc>
          <w:tcPr>
            <w:tcW w:w="3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3,818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40 %</w:t>
            </w:r>
          </w:p>
        </w:tc>
        <w:tc>
          <w:tcPr>
            <w:tcW w:w="160" w:type="dxa"/>
            <w:vAlign w:val="bottom"/>
          </w:tcPr>
          <w:p>
            <w:pPr>
              <w:spacing w:after="0"/>
              <w:rPr>
                <w:sz w:val="18"/>
                <w:szCs w:val="18"/>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Service gross profit</w:t>
            </w: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80" w:type="dxa"/>
            <w:vAlign w:val="bottom"/>
            <w:gridSpan w:val="2"/>
            <w:vMerge w:val="continue"/>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(752 )</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-25 %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(1,905 )</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-25 %</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-58 %</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-4 %</w:t>
            </w: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-58 %</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-1259205</wp:posOffset>
            </wp:positionV>
            <wp:extent cx="7132320" cy="1454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1371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86" w:lineRule="exact"/>
        <w:rPr>
          <w:sz w:val="20"/>
          <w:szCs w:val="20"/>
          <w:color w:val="auto"/>
        </w:rPr>
      </w:pPr>
    </w:p>
    <w:p>
      <w:pPr>
        <w:jc w:val="both"/>
        <w:ind w:right="60" w:firstLine="509"/>
        <w:spacing w:after="0" w:line="250" w:lineRule="auto"/>
        <w:rPr>
          <w:sz w:val="20"/>
          <w:szCs w:val="20"/>
          <w:color w:val="auto"/>
        </w:rPr>
      </w:pPr>
      <w:r>
        <w:rPr>
          <w:rFonts w:ascii="Times New Roman" w:cs="Times New Roman" w:eastAsia="Times New Roman" w:hAnsi="Times New Roman"/>
          <w:sz w:val="18"/>
          <w:szCs w:val="18"/>
          <w:color w:val="auto"/>
        </w:rPr>
        <w:t>Product gross profit and product revenue for the three months ended June 30, 2022 increased 22% and 29%, respectively, as compared to the three months ended June 30, 2021. Service gross profit and service revenue for the three months ended June 30, 2022 decreased 25% and increased 77%, respectively, as compared to the three months ended June 30, 2021. Service cost of sales for the three months ended June 30, 2022 increased by 40% as compared to the same period in 2021 largely driven by increased headcount the service organization and related stock-based compensation.</w:t>
      </w:r>
    </w:p>
    <w:p>
      <w:pPr>
        <w:spacing w:after="0" w:line="353" w:lineRule="exact"/>
        <w:rPr>
          <w:sz w:val="20"/>
          <w:szCs w:val="20"/>
          <w:color w:val="auto"/>
        </w:rPr>
      </w:pPr>
    </w:p>
    <w:p>
      <w:pPr>
        <w:jc w:val="both"/>
        <w:ind w:right="60" w:firstLine="509"/>
        <w:spacing w:after="0" w:line="258" w:lineRule="auto"/>
        <w:rPr>
          <w:sz w:val="20"/>
          <w:szCs w:val="20"/>
          <w:color w:val="auto"/>
        </w:rPr>
      </w:pPr>
      <w:r>
        <w:rPr>
          <w:rFonts w:ascii="Times New Roman" w:cs="Times New Roman" w:eastAsia="Times New Roman" w:hAnsi="Times New Roman"/>
          <w:sz w:val="18"/>
          <w:szCs w:val="18"/>
          <w:color w:val="auto"/>
        </w:rPr>
        <w:t>Product gross profit and product revenue for the six months ended June 30, 2022 increased 25% and 33%, respectively, as compared to the six months ended June 30, 2021. Service product profit and service revenue for the six months ended June 30, 2022 decreased 85% and increased 101%, respectively, as compared to the six months ended June 30, 2021.</w:t>
      </w:r>
    </w:p>
    <w:p>
      <w:pPr>
        <w:spacing w:after="0" w:line="200" w:lineRule="exact"/>
        <w:rPr>
          <w:sz w:val="20"/>
          <w:szCs w:val="20"/>
          <w:color w:val="auto"/>
        </w:rPr>
      </w:pPr>
    </w:p>
    <w:p>
      <w:pPr>
        <w:spacing w:after="0" w:line="36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35</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4"/>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20" w:type="dxa"/>
            <w:vAlign w:val="bottom"/>
          </w:tcPr>
          <w:p>
            <w:pPr>
              <w:spacing w:after="0"/>
              <w:rPr>
                <w:sz w:val="13"/>
                <w:szCs w:val="13"/>
                <w:color w:val="auto"/>
              </w:rPr>
            </w:pPr>
          </w:p>
        </w:tc>
        <w:tc>
          <w:tcPr>
            <w:tcW w:w="1180" w:type="dxa"/>
            <w:vAlign w:val="bottom"/>
            <w:gridSpan w:val="3"/>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4"/>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Six months ended June</w:t>
            </w:r>
          </w:p>
        </w:tc>
        <w:tc>
          <w:tcPr>
            <w:tcW w:w="100" w:type="dxa"/>
            <w:vAlign w:val="bottom"/>
          </w:tcPr>
          <w:p>
            <w:pPr>
              <w:spacing w:after="0"/>
              <w:rPr>
                <w:sz w:val="13"/>
                <w:szCs w:val="13"/>
                <w:color w:val="auto"/>
              </w:rPr>
            </w:pPr>
          </w:p>
        </w:tc>
        <w:tc>
          <w:tcPr>
            <w:tcW w:w="114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0" w:type="dxa"/>
            <w:vAlign w:val="bottom"/>
            <w:vMerge w:val="restart"/>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bottom w:val="single" w:sz="8" w:color="auto"/>
            </w:tcBorders>
            <w:gridSpan w:val="3"/>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30,</w:t>
            </w:r>
          </w:p>
        </w:tc>
        <w:tc>
          <w:tcPr>
            <w:tcW w:w="100" w:type="dxa"/>
            <w:vAlign w:val="bottom"/>
          </w:tcPr>
          <w:p>
            <w:pPr>
              <w:spacing w:after="0"/>
              <w:rPr>
                <w:sz w:val="16"/>
                <w:szCs w:val="16"/>
                <w:color w:val="auto"/>
              </w:rPr>
            </w:pPr>
          </w:p>
        </w:tc>
        <w:tc>
          <w:tcPr>
            <w:tcW w:w="1140" w:type="dxa"/>
            <w:vAlign w:val="bottom"/>
            <w:tcBorders>
              <w:bottom w:val="single" w:sz="8" w:color="auto"/>
            </w:tcBorders>
            <w:gridSpan w:val="3"/>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6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80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76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8,436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   6,194</w:t>
            </w:r>
          </w:p>
        </w:tc>
        <w:tc>
          <w:tcPr>
            <w:tcW w:w="120" w:type="dxa"/>
            <w:vAlign w:val="bottom"/>
          </w:tcPr>
          <w:p>
            <w:pPr>
              <w:spacing w:after="0"/>
              <w:rPr>
                <w:sz w:val="18"/>
                <w:szCs w:val="18"/>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  2,242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36 % $ 16,461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  11,288</w:t>
            </w:r>
          </w:p>
        </w:tc>
        <w:tc>
          <w:tcPr>
            <w:tcW w:w="100" w:type="dxa"/>
            <w:vAlign w:val="bottom"/>
          </w:tcPr>
          <w:p>
            <w:pPr>
              <w:spacing w:after="0"/>
              <w:rPr>
                <w:sz w:val="18"/>
                <w:szCs w:val="18"/>
                <w:color w:val="auto"/>
              </w:rPr>
            </w:pPr>
          </w:p>
        </w:tc>
        <w:tc>
          <w:tcPr>
            <w:tcW w:w="76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  5,173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86" w:lineRule="exact"/>
        <w:rPr>
          <w:sz w:val="20"/>
          <w:szCs w:val="20"/>
          <w:color w:val="auto"/>
        </w:rPr>
      </w:pPr>
    </w:p>
    <w:p>
      <w:pPr>
        <w:jc w:val="both"/>
        <w:ind w:right="60"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$8.4 million for the three months ended June 30, 2022 as compared to $6.2 million for the three months ended June 30, 2021. The increase of $2.2 million in research and development expenses was primarily due to an increase in headcount and personnel-related expenses, including stock-based compensation of $0.9 million.</w:t>
      </w:r>
    </w:p>
    <w:p>
      <w:pPr>
        <w:spacing w:after="0" w:line="142" w:lineRule="exact"/>
        <w:rPr>
          <w:sz w:val="20"/>
          <w:szCs w:val="20"/>
          <w:color w:val="auto"/>
        </w:rPr>
      </w:pPr>
    </w:p>
    <w:p>
      <w:pPr>
        <w:jc w:val="both"/>
        <w:ind w:right="60"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$16.5 million for the six months ended June 30, 2022 as compared to $11.3 million for the six months ended June 30, 2021. The increase of $5.2 million in research and development expenses was primarily due to an increase in headcount and personnel-related expenses, including stock-based compensation of $2.1 million.</w:t>
      </w:r>
    </w:p>
    <w:p>
      <w:pPr>
        <w:spacing w:after="0" w:line="129" w:lineRule="exact"/>
        <w:rPr>
          <w:sz w:val="20"/>
          <w:szCs w:val="20"/>
          <w:color w:val="auto"/>
        </w:rPr>
      </w:pPr>
    </w:p>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We expect our research and development expense to increase in absolute dollars as we continue to develop new products and enhance existing instruments and technologies.</w:t>
      </w:r>
    </w:p>
    <w:p>
      <w:pPr>
        <w:spacing w:after="0" w:line="12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36</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4"/>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20" w:type="dxa"/>
            <w:vAlign w:val="bottom"/>
          </w:tcPr>
          <w:p>
            <w:pPr>
              <w:spacing w:after="0"/>
              <w:rPr>
                <w:sz w:val="13"/>
                <w:szCs w:val="13"/>
                <w:color w:val="auto"/>
              </w:rPr>
            </w:pPr>
          </w:p>
        </w:tc>
        <w:tc>
          <w:tcPr>
            <w:tcW w:w="1180" w:type="dxa"/>
            <w:vAlign w:val="bottom"/>
            <w:gridSpan w:val="3"/>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4"/>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Six months ended June</w:t>
            </w:r>
          </w:p>
        </w:tc>
        <w:tc>
          <w:tcPr>
            <w:tcW w:w="100" w:type="dxa"/>
            <w:vAlign w:val="bottom"/>
          </w:tcPr>
          <w:p>
            <w:pPr>
              <w:spacing w:after="0"/>
              <w:rPr>
                <w:sz w:val="13"/>
                <w:szCs w:val="13"/>
                <w:color w:val="auto"/>
              </w:rPr>
            </w:pPr>
          </w:p>
        </w:tc>
        <w:tc>
          <w:tcPr>
            <w:tcW w:w="114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0" w:type="dxa"/>
            <w:vAlign w:val="bottom"/>
            <w:vMerge w:val="restart"/>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bottom w:val="single" w:sz="8" w:color="auto"/>
            </w:tcBorders>
            <w:gridSpan w:val="3"/>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30,</w:t>
            </w:r>
          </w:p>
        </w:tc>
        <w:tc>
          <w:tcPr>
            <w:tcW w:w="100" w:type="dxa"/>
            <w:vAlign w:val="bottom"/>
          </w:tcPr>
          <w:p>
            <w:pPr>
              <w:spacing w:after="0"/>
              <w:rPr>
                <w:sz w:val="16"/>
                <w:szCs w:val="16"/>
                <w:color w:val="auto"/>
              </w:rPr>
            </w:pPr>
          </w:p>
        </w:tc>
        <w:tc>
          <w:tcPr>
            <w:tcW w:w="1140" w:type="dxa"/>
            <w:vAlign w:val="bottom"/>
            <w:tcBorders>
              <w:bottom w:val="single" w:sz="8" w:color="auto"/>
            </w:tcBorders>
            <w:gridSpan w:val="3"/>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6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80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76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8,431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   5,576</w:t>
            </w:r>
          </w:p>
        </w:tc>
        <w:tc>
          <w:tcPr>
            <w:tcW w:w="120" w:type="dxa"/>
            <w:vAlign w:val="bottom"/>
          </w:tcPr>
          <w:p>
            <w:pPr>
              <w:spacing w:after="0"/>
              <w:rPr>
                <w:sz w:val="18"/>
                <w:szCs w:val="18"/>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  2,855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51 % $ 15,391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  9,853</w:t>
            </w:r>
          </w:p>
        </w:tc>
        <w:tc>
          <w:tcPr>
            <w:tcW w:w="100" w:type="dxa"/>
            <w:vAlign w:val="bottom"/>
          </w:tcPr>
          <w:p>
            <w:pPr>
              <w:spacing w:after="0"/>
              <w:rPr>
                <w:sz w:val="18"/>
                <w:szCs w:val="18"/>
                <w:color w:val="auto"/>
              </w:rPr>
            </w:pPr>
          </w:p>
        </w:tc>
        <w:tc>
          <w:tcPr>
            <w:tcW w:w="76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  5,538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Sales and marketing expenses were $8.4 million for the three months ended June 30, 2022 as compared to $5.6 million for the three months ended</w:t>
      </w:r>
    </w:p>
    <w:p>
      <w:pPr>
        <w:spacing w:after="0" w:line="27" w:lineRule="exact"/>
        <w:rPr>
          <w:sz w:val="20"/>
          <w:szCs w:val="20"/>
          <w:color w:val="auto"/>
        </w:rPr>
      </w:pPr>
    </w:p>
    <w:p>
      <w:pPr>
        <w:jc w:val="both"/>
        <w:ind w:right="60"/>
        <w:spacing w:after="0" w:line="247" w:lineRule="auto"/>
        <w:rPr>
          <w:sz w:val="20"/>
          <w:szCs w:val="20"/>
          <w:color w:val="auto"/>
        </w:rPr>
      </w:pPr>
      <w:r>
        <w:rPr>
          <w:rFonts w:ascii="Times New Roman" w:cs="Times New Roman" w:eastAsia="Times New Roman" w:hAnsi="Times New Roman"/>
          <w:sz w:val="18"/>
          <w:szCs w:val="18"/>
          <w:color w:val="auto"/>
        </w:rPr>
        <w:t>June 30, 2021. The increase of $2.9 million in sales and marketing expenses was primarily due to an increase in headcount, commissions, and personnel-related expenses of $1.6 million, including stock-based compensation of $0.7 million. There was also an increase in advertising and marketing activities of $0.3 million.</w:t>
      </w:r>
    </w:p>
    <w:p>
      <w:pPr>
        <w:spacing w:after="0" w:line="153" w:lineRule="exact"/>
        <w:rPr>
          <w:sz w:val="20"/>
          <w:szCs w:val="20"/>
          <w:color w:val="auto"/>
        </w:rPr>
      </w:pPr>
    </w:p>
    <w:p>
      <w:pPr>
        <w:jc w:val="both"/>
        <w:ind w:right="60" w:firstLine="509"/>
        <w:spacing w:after="0" w:line="250" w:lineRule="auto"/>
        <w:rPr>
          <w:sz w:val="20"/>
          <w:szCs w:val="20"/>
          <w:color w:val="auto"/>
        </w:rPr>
      </w:pPr>
      <w:r>
        <w:rPr>
          <w:rFonts w:ascii="Times New Roman" w:cs="Times New Roman" w:eastAsia="Times New Roman" w:hAnsi="Times New Roman"/>
          <w:sz w:val="18"/>
          <w:szCs w:val="18"/>
          <w:color w:val="auto"/>
        </w:rPr>
        <w:t>Sales and marketing expenses were $15.4 million for the six months ended June 30, 2022 as compared to $9.9 million for the six months ended June 30, 2021. The increase of $5.5 million in sales and marketing expenses was primarily due to an increase in headcount, commissions, and personnel-related expenses of $3.5 million, including stock-based compensation of $1.3 million. There was also an increase in advertising and marketing activities of $0.5 million.</w:t>
      </w:r>
    </w:p>
    <w:p>
      <w:pPr>
        <w:spacing w:after="0" w:line="150"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We expect our sales and marketing expenses to increase in absolute dollars as we hire additional sales and marketing personnel, expand our sales support infrastructure and invest in our brand and product awareness to further penetrate the United States and the international markets.</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240" w:type="dxa"/>
            <w:vAlign w:val="bottom"/>
          </w:tcPr>
          <w:p>
            <w:pPr>
              <w:spacing w:after="0"/>
              <w:rPr>
                <w:sz w:val="13"/>
                <w:szCs w:val="13"/>
                <w:color w:val="auto"/>
              </w:rPr>
            </w:pPr>
          </w:p>
        </w:tc>
        <w:tc>
          <w:tcPr>
            <w:tcW w:w="1180" w:type="dxa"/>
            <w:vAlign w:val="bottom"/>
            <w:gridSpan w:val="3"/>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w:t>
            </w:r>
          </w:p>
        </w:tc>
        <w:tc>
          <w:tcPr>
            <w:tcW w:w="200" w:type="dxa"/>
            <w:vAlign w:val="bottom"/>
          </w:tcPr>
          <w:p>
            <w:pPr>
              <w:spacing w:after="0"/>
              <w:rPr>
                <w:sz w:val="13"/>
                <w:szCs w:val="13"/>
                <w:color w:val="auto"/>
              </w:rPr>
            </w:pPr>
          </w:p>
        </w:tc>
        <w:tc>
          <w:tcPr>
            <w:tcW w:w="114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7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7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Borders>
              <w:bottom w:val="single" w:sz="8" w:color="auto"/>
            </w:tcBorders>
            <w:gridSpan w:val="3"/>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30,</w:t>
            </w:r>
          </w:p>
        </w:tc>
        <w:tc>
          <w:tcPr>
            <w:tcW w:w="200" w:type="dxa"/>
            <w:vAlign w:val="bottom"/>
          </w:tcPr>
          <w:p>
            <w:pPr>
              <w:spacing w:after="0"/>
              <w:rPr>
                <w:sz w:val="16"/>
                <w:szCs w:val="16"/>
                <w:color w:val="auto"/>
              </w:rPr>
            </w:pPr>
          </w:p>
        </w:tc>
        <w:tc>
          <w:tcPr>
            <w:tcW w:w="1140" w:type="dxa"/>
            <w:vAlign w:val="bottom"/>
            <w:tcBorders>
              <w:bottom w:val="single" w:sz="8" w:color="auto"/>
            </w:tcBorders>
            <w:gridSpan w:val="3"/>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00" w:type="dxa"/>
            <w:vAlign w:val="bottom"/>
            <w:gridSpan w:val="2"/>
            <w:vMerge w:val="continue"/>
          </w:tcPr>
          <w:p>
            <w:pPr>
              <w:spacing w:after="0"/>
              <w:rPr>
                <w:sz w:val="14"/>
                <w:szCs w:val="14"/>
                <w:color w:val="auto"/>
              </w:rPr>
            </w:pPr>
          </w:p>
        </w:tc>
        <w:tc>
          <w:tcPr>
            <w:tcW w:w="72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118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8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94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14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3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8,585</w:t>
            </w:r>
          </w:p>
        </w:tc>
        <w:tc>
          <w:tcPr>
            <w:tcW w:w="24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4,164</w:t>
            </w:r>
          </w:p>
        </w:tc>
        <w:tc>
          <w:tcPr>
            <w:tcW w:w="24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4,421</w:t>
            </w: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vMerge w:val="continue"/>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$ 16,134</w:t>
            </w:r>
          </w:p>
        </w:tc>
        <w:tc>
          <w:tcPr>
            <w:tcW w:w="20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8,147</w:t>
            </w:r>
          </w:p>
        </w:tc>
        <w:tc>
          <w:tcPr>
            <w:tcW w:w="20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7,987</w:t>
            </w: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0" w:lineRule="exact"/>
        <w:rPr>
          <w:sz w:val="20"/>
          <w:szCs w:val="20"/>
          <w:color w:val="auto"/>
        </w:rPr>
      </w:pPr>
    </w:p>
    <w:p>
      <w:pPr>
        <w:jc w:val="both"/>
        <w:ind w:right="60" w:firstLine="509"/>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were $8.6 million for the three months ended June 30, 2022 as compared to $4.2 million for the three months ended June 30, 2021. The increase of $4.4 million in general and administrative expenses was primarily due to an increase in general corporate personnel-related costs and infrastructure services to support the growth of our overall operations. The increase in personnel-related costs was primarily due to increased headcount and stock-based compensation of $1.1 million.</w:t>
      </w:r>
    </w:p>
    <w:p>
      <w:pPr>
        <w:spacing w:after="0" w:line="150" w:lineRule="exact"/>
        <w:rPr>
          <w:sz w:val="20"/>
          <w:szCs w:val="20"/>
          <w:color w:val="auto"/>
        </w:rPr>
      </w:pPr>
    </w:p>
    <w:p>
      <w:pPr>
        <w:jc w:val="both"/>
        <w:ind w:right="60" w:firstLine="509"/>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were $16.1 million for the six months ended June 30, 2022 as compared to $8.1 million for the six months ended June 30, 2021. The increase of $8.0 million in general and administrative expenses was primarily due to an increase in general corporate personnel-related costs and infrastructure services to support the growth of our overall operations. The increase in personnel-related costs was primarily due to increased headcount and stock-based compensation of $2.1 million.</w:t>
      </w:r>
    </w:p>
    <w:p>
      <w:pPr>
        <w:spacing w:after="0" w:line="150" w:lineRule="exact"/>
        <w:rPr>
          <w:sz w:val="20"/>
          <w:szCs w:val="20"/>
          <w:color w:val="auto"/>
        </w:rPr>
      </w:pPr>
    </w:p>
    <w:p>
      <w:pPr>
        <w:jc w:val="both"/>
        <w:ind w:right="60" w:firstLine="509"/>
        <w:spacing w:after="0" w:line="250" w:lineRule="auto"/>
        <w:rPr>
          <w:sz w:val="20"/>
          <w:szCs w:val="20"/>
          <w:color w:val="auto"/>
        </w:rPr>
      </w:pPr>
      <w:r>
        <w:rPr>
          <w:rFonts w:ascii="Times New Roman" w:cs="Times New Roman" w:eastAsia="Times New Roman" w:hAnsi="Times New Roman"/>
          <w:sz w:val="18"/>
          <w:szCs w:val="18"/>
          <w:color w:val="auto"/>
        </w:rPr>
        <w:t>We expect to continue to incur additional general and administrative expenses as a result of operating as a public company, including expenses related to compliance with the rules and regulations of the SEC and the Nasdaq Stock Market, additional insurance costs, investor relations activities and other administrative and professional services. As a result, we expect general and administrative expenses to increase in absolute dollars in future periods.</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240" w:type="dxa"/>
            <w:vAlign w:val="bottom"/>
            <w:gridSpan w:val="3"/>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gridSpan w:val="5"/>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Six months ended June</w:t>
            </w:r>
          </w:p>
        </w:tc>
        <w:tc>
          <w:tcPr>
            <w:tcW w:w="1180" w:type="dxa"/>
            <w:vAlign w:val="bottom"/>
            <w:gridSpan w:val="3"/>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60" w:type="dxa"/>
            <w:vAlign w:val="bottom"/>
          </w:tcPr>
          <w:p>
            <w:pPr>
              <w:spacing w:after="0"/>
              <w:rPr>
                <w:sz w:val="16"/>
                <w:szCs w:val="16"/>
                <w:color w:val="auto"/>
              </w:rPr>
            </w:pPr>
          </w:p>
        </w:tc>
        <w:tc>
          <w:tcPr>
            <w:tcW w:w="80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30,</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4"/>
          </w:tcPr>
          <w:p>
            <w:pPr>
              <w:ind w:left="1180"/>
              <w:spacing w:after="0"/>
              <w:rPr>
                <w:sz w:val="20"/>
                <w:szCs w:val="20"/>
                <w:color w:val="auto"/>
              </w:rPr>
            </w:pPr>
            <w:r>
              <w:rPr>
                <w:rFonts w:ascii="Times New Roman" w:cs="Times New Roman" w:eastAsia="Times New Roman" w:hAnsi="Times New Roman"/>
                <w:sz w:val="14"/>
                <w:szCs w:val="14"/>
                <w:b w:val="1"/>
                <w:bCs w:val="1"/>
                <w:color w:val="auto"/>
              </w:rPr>
              <w:t>30,</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680" w:type="dxa"/>
            <w:vAlign w:val="bottom"/>
            <w:gridSpan w:val="2"/>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12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Borders>
              <w:top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18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(1,237</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72" w:lineRule="exact"/>
        <w:rPr>
          <w:sz w:val="20"/>
          <w:szCs w:val="20"/>
          <w:color w:val="auto"/>
        </w:rPr>
      </w:pPr>
    </w:p>
    <w:p>
      <w:pPr>
        <w:jc w:val="both"/>
        <w:ind w:right="60" w:firstLine="509"/>
        <w:spacing w:after="0" w:line="250" w:lineRule="auto"/>
        <w:rPr>
          <w:sz w:val="20"/>
          <w:szCs w:val="20"/>
          <w:color w:val="auto"/>
        </w:rPr>
      </w:pPr>
      <w:r>
        <w:rPr>
          <w:rFonts w:ascii="Times New Roman" w:cs="Times New Roman" w:eastAsia="Times New Roman" w:hAnsi="Times New Roman"/>
          <w:sz w:val="18"/>
          <w:szCs w:val="18"/>
          <w:color w:val="auto"/>
        </w:rPr>
        <w:t>Interest expense was $0.6 million and $1.2 million for the three and six months ended June 30, 2022, respectively, as compared to $0.4 million and $0.8 million for the three and six months ended June 30, 2021, respectively. The increase was mainly due to the accretion of the present value discount related to the settlement agreement with Becton, Dickinson and Company (“BD”). See Note 10 to our unaudited interim consolidated financial statements included elsewhere in this Quarterly Report on Form 10-Q for further details.</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6"/>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20" w:type="dxa"/>
            <w:vAlign w:val="bottom"/>
          </w:tcPr>
          <w:p>
            <w:pPr>
              <w:spacing w:after="0"/>
              <w:rPr>
                <w:sz w:val="13"/>
                <w:szCs w:val="13"/>
                <w:color w:val="auto"/>
              </w:rPr>
            </w:pPr>
          </w:p>
        </w:tc>
        <w:tc>
          <w:tcPr>
            <w:tcW w:w="1200" w:type="dxa"/>
            <w:vAlign w:val="bottom"/>
            <w:gridSpan w:val="3"/>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6"/>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Six months ended June</w:t>
            </w:r>
          </w:p>
        </w:tc>
        <w:tc>
          <w:tcPr>
            <w:tcW w:w="100" w:type="dxa"/>
            <w:vAlign w:val="bottom"/>
          </w:tcPr>
          <w:p>
            <w:pPr>
              <w:spacing w:after="0"/>
              <w:rPr>
                <w:sz w:val="13"/>
                <w:szCs w:val="13"/>
                <w:color w:val="auto"/>
              </w:rPr>
            </w:pPr>
          </w:p>
        </w:tc>
        <w:tc>
          <w:tcPr>
            <w:tcW w:w="1140" w:type="dxa"/>
            <w:vAlign w:val="bottom"/>
            <w:gridSpan w:val="3"/>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0" w:type="dxa"/>
            <w:vAlign w:val="bottom"/>
            <w:vMerge w:val="restart"/>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30,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8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8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86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4244 %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1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37</w:t>
      </w:r>
    </w:p>
    <w:p>
      <w:pPr>
        <w:spacing w:after="0" w:line="104" w:lineRule="exact"/>
        <w:rPr>
          <w:sz w:val="20"/>
          <w:szCs w:val="20"/>
          <w:color w:val="auto"/>
        </w:rPr>
      </w:pPr>
    </w:p>
    <w:p>
      <w:pPr>
        <w:jc w:val="both"/>
        <w:ind w:right="60" w:firstLine="509"/>
        <w:spacing w:after="0" w:line="274" w:lineRule="auto"/>
        <w:rPr>
          <w:sz w:val="20"/>
          <w:szCs w:val="20"/>
          <w:color w:val="auto"/>
        </w:rPr>
      </w:pPr>
      <w:r>
        <w:rPr>
          <w:rFonts w:ascii="Times New Roman" w:cs="Times New Roman" w:eastAsia="Times New Roman" w:hAnsi="Times New Roman"/>
          <w:sz w:val="18"/>
          <w:szCs w:val="18"/>
          <w:color w:val="auto"/>
        </w:rPr>
        <w:t>Interest income was $391,000 and $409,000 for the three and six months ended June 30, 2022, respectively, as compared to $9,000 and $19,000 for the three and six months ended June 30, 2021, respectively. The increase in interest income was the result of higher interest earned on our cash and short-term deposits due to an increase in interest rates as compared to 2021.</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20" w:type="dxa"/>
            <w:vAlign w:val="bottom"/>
          </w:tcPr>
          <w:p>
            <w:pPr>
              <w:spacing w:after="0"/>
              <w:rPr>
                <w:sz w:val="13"/>
                <w:szCs w:val="13"/>
                <w:color w:val="auto"/>
              </w:rPr>
            </w:pPr>
          </w:p>
        </w:tc>
        <w:tc>
          <w:tcPr>
            <w:tcW w:w="1240" w:type="dxa"/>
            <w:vAlign w:val="bottom"/>
            <w:gridSpan w:val="3"/>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4"/>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Six months ended June</w:t>
            </w:r>
          </w:p>
        </w:tc>
        <w:tc>
          <w:tcPr>
            <w:tcW w:w="100" w:type="dxa"/>
            <w:vAlign w:val="bottom"/>
          </w:tcPr>
          <w:p>
            <w:pPr>
              <w:spacing w:after="0"/>
              <w:rPr>
                <w:sz w:val="13"/>
                <w:szCs w:val="13"/>
                <w:color w:val="auto"/>
              </w:rPr>
            </w:pPr>
          </w:p>
        </w:tc>
        <w:tc>
          <w:tcPr>
            <w:tcW w:w="1180" w:type="dxa"/>
            <w:vAlign w:val="bottom"/>
            <w:gridSpan w:val="3"/>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30,</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30,</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112 % $   (628 )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(735 )</w:t>
            </w:r>
          </w:p>
        </w:tc>
        <w:tc>
          <w:tcPr>
            <w:tcW w:w="100" w:type="dxa"/>
            <w:vAlign w:val="bottom"/>
          </w:tcPr>
          <w:p>
            <w:pPr>
              <w:spacing w:after="0"/>
              <w:rPr>
                <w:sz w:val="18"/>
                <w:szCs w:val="18"/>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72" w:lineRule="exact"/>
        <w:rPr>
          <w:sz w:val="20"/>
          <w:szCs w:val="20"/>
          <w:color w:val="auto"/>
        </w:rPr>
      </w:pPr>
    </w:p>
    <w:p>
      <w:pPr>
        <w:jc w:val="both"/>
        <w:ind w:right="60" w:firstLine="509"/>
        <w:spacing w:after="0" w:line="250" w:lineRule="auto"/>
        <w:rPr>
          <w:sz w:val="20"/>
          <w:szCs w:val="20"/>
          <w:color w:val="auto"/>
        </w:rPr>
      </w:pPr>
      <w:r>
        <w:rPr>
          <w:rFonts w:ascii="Times New Roman" w:cs="Times New Roman" w:eastAsia="Times New Roman" w:hAnsi="Times New Roman"/>
          <w:sz w:val="18"/>
          <w:szCs w:val="18"/>
          <w:color w:val="auto"/>
        </w:rPr>
        <w:t>Other expense, net was $254,000 and $628,000 for the three and six months ended June 30, 2022, respectively, as compared to other expense, net of $120,000 and $735,000 for the three and six months ended June 30, 2021, respectively. The increase of $134,000 was primarily the result of the net impact of foreign exchange gains and losses during the three months ended June 30, 2022. The decrease of $107,000 was primarily the result of the net impact of foreign exchange gains and losses during the six months ended June 30, 2022.</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5"/>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00" w:type="dxa"/>
            <w:vAlign w:val="bottom"/>
          </w:tcPr>
          <w:p>
            <w:pPr>
              <w:spacing w:after="0"/>
              <w:rPr>
                <w:sz w:val="13"/>
                <w:szCs w:val="13"/>
                <w:color w:val="auto"/>
              </w:rPr>
            </w:pPr>
          </w:p>
        </w:tc>
        <w:tc>
          <w:tcPr>
            <w:tcW w:w="1220" w:type="dxa"/>
            <w:vAlign w:val="bottom"/>
            <w:gridSpan w:val="3"/>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5"/>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Six months ended June</w:t>
            </w:r>
          </w:p>
        </w:tc>
        <w:tc>
          <w:tcPr>
            <w:tcW w:w="100" w:type="dxa"/>
            <w:vAlign w:val="bottom"/>
          </w:tcPr>
          <w:p>
            <w:pPr>
              <w:spacing w:after="0"/>
              <w:rPr>
                <w:sz w:val="13"/>
                <w:szCs w:val="13"/>
                <w:color w:val="auto"/>
              </w:rPr>
            </w:pPr>
          </w:p>
        </w:tc>
        <w:tc>
          <w:tcPr>
            <w:tcW w:w="1160" w:type="dxa"/>
            <w:vAlign w:val="bottom"/>
            <w:gridSpan w:val="3"/>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0" w:type="dxa"/>
            <w:vAlign w:val="bottom"/>
            <w:vMerge w:val="restart"/>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30,</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8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(699 )</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-217 % $</w:t>
            </w: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(1,844 )</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72" w:lineRule="exact"/>
        <w:rPr>
          <w:sz w:val="20"/>
          <w:szCs w:val="20"/>
          <w:color w:val="auto"/>
        </w:rPr>
      </w:pPr>
    </w:p>
    <w:p>
      <w:pPr>
        <w:jc w:val="both"/>
        <w:ind w:right="60" w:firstLine="509"/>
        <w:spacing w:after="0" w:line="258" w:lineRule="auto"/>
        <w:rPr>
          <w:sz w:val="20"/>
          <w:szCs w:val="20"/>
          <w:color w:val="auto"/>
        </w:rPr>
      </w:pPr>
      <w:r>
        <w:rPr>
          <w:rFonts w:ascii="Times New Roman" w:cs="Times New Roman" w:eastAsia="Times New Roman" w:hAnsi="Times New Roman"/>
          <w:sz w:val="18"/>
          <w:szCs w:val="18"/>
          <w:color w:val="auto"/>
        </w:rPr>
        <w:t>Benefit from income tax was $0.7 million and $1.8 million for the three and six months ended June 30, 2022, respectively, as compared to income tax expense of $0.6 million for the three and six months ended June 30, 2021. The net change of $1.3 million and $2.5 million, respectively, was the result of net loss in the three and six months ended June 30, 2022, which caused income tax benefit to be recorded at the expected annual effective tax rate.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89" w:lineRule="exact"/>
        <w:rPr>
          <w:sz w:val="20"/>
          <w:szCs w:val="20"/>
          <w:color w:val="auto"/>
        </w:rPr>
      </w:pPr>
    </w:p>
    <w:p>
      <w:pPr>
        <w:jc w:val="both"/>
        <w:ind w:right="60" w:firstLine="509"/>
        <w:spacing w:after="0" w:line="258" w:lineRule="auto"/>
        <w:rPr>
          <w:sz w:val="20"/>
          <w:szCs w:val="20"/>
          <w:color w:val="auto"/>
        </w:rPr>
      </w:pPr>
      <w:r>
        <w:rPr>
          <w:rFonts w:ascii="Times New Roman" w:cs="Times New Roman" w:eastAsia="Times New Roman" w:hAnsi="Times New Roman"/>
          <w:sz w:val="18"/>
          <w:szCs w:val="18"/>
          <w:color w:val="auto"/>
        </w:rPr>
        <w:t>To date, our primary sources of capital have been through sales of our securities and revenue from the sale of our products and services. As of June 30, 2022 and December 31, 2021, we had approximately $349.9 million and $364.6 million, respectively, in cash and cash equivalents, which were primarily held in U.S. short-term bank deposit accounts and money market funds.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and material cash requirements</w:t>
      </w:r>
    </w:p>
    <w:p>
      <w:pPr>
        <w:spacing w:after="0" w:line="175" w:lineRule="exact"/>
        <w:rPr>
          <w:sz w:val="20"/>
          <w:szCs w:val="20"/>
          <w:color w:val="auto"/>
        </w:rPr>
      </w:pPr>
    </w:p>
    <w:p>
      <w:pPr>
        <w:jc w:val="both"/>
        <w:ind w:right="60" w:firstLine="509"/>
        <w:spacing w:after="0" w:line="247" w:lineRule="auto"/>
        <w:rPr>
          <w:sz w:val="20"/>
          <w:szCs w:val="20"/>
          <w:color w:val="auto"/>
        </w:rPr>
      </w:pPr>
      <w:r>
        <w:rPr>
          <w:rFonts w:ascii="Times New Roman" w:cs="Times New Roman" w:eastAsia="Times New Roman" w:hAnsi="Times New Roman"/>
          <w:sz w:val="18"/>
          <w:szCs w:val="18"/>
          <w:color w:val="auto"/>
        </w:rPr>
        <w:t>We anticipate continuing to expend significant amounts of cash in the foreseeable future as we continue to invest in research and development of our product offerings, commercialization of new products and services, and expansion into new markets. Our future capital requirements will depend on many factors including our revenue, research and development efforts, the new and continued impacts of the COVID-19 pandemic, the timing and extent of additional capital expenditures to invest in existing and new facilities, as well as our manufacturing operations, the expansion of sales and marketing and the introduction of new products. We have entered into, and may in the future enter into, arrangements to acquire or invest in businesses, services and technologies, and any such acquisitions or investments could significantly increase our capital needs.</w:t>
      </w:r>
    </w:p>
    <w:p>
      <w:pPr>
        <w:spacing w:after="0" w:line="153"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We currently anticipate making additional capital expenditures during the next 12 months, which is expected to primarily include equipment to be used for manufacturing and investment in research and development, as well as spend associated with the expansion of our facilities in Wuxi, China.</w:t>
      </w:r>
    </w:p>
    <w:p>
      <w:pPr>
        <w:spacing w:after="0" w:line="135"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Based on our current business plan, we believe our existing cash and cash equivalents and anticipated cash flows from operations will be sufficient to meet our working capital and capital expenditure needs for at least the next 12 months from the date of this Quarterly Report on Form 10-Q.</w:t>
      </w:r>
    </w:p>
    <w:p>
      <w:pPr>
        <w:spacing w:after="0" w:line="135" w:lineRule="exact"/>
        <w:rPr>
          <w:sz w:val="20"/>
          <w:szCs w:val="20"/>
          <w:color w:val="auto"/>
        </w:rPr>
      </w:pPr>
    </w:p>
    <w:p>
      <w:pPr>
        <w:jc w:val="both"/>
        <w:ind w:right="80" w:firstLine="509"/>
        <w:spacing w:after="0" w:line="258" w:lineRule="auto"/>
        <w:rPr>
          <w:sz w:val="20"/>
          <w:szCs w:val="20"/>
          <w:color w:val="auto"/>
        </w:rPr>
      </w:pPr>
      <w:r>
        <w:rPr>
          <w:rFonts w:ascii="Times New Roman" w:cs="Times New Roman" w:eastAsia="Times New Roman" w:hAnsi="Times New Roman"/>
          <w:sz w:val="18"/>
          <w:szCs w:val="18"/>
          <w:color w:val="auto"/>
        </w:rPr>
        <w:t>In addition, we lease certain office facilities under operating lease arrangements that expire on various dates through fiscal year 2027. Under the terms of the leases, we are responsible for certain expenses related to operations, maintenance, repairs and management fees. Future minimum lease payments under non-cancelable operating leases totaled $15.9 million as of June 30, 2022.</w:t>
      </w:r>
    </w:p>
    <w:p>
      <w:pPr>
        <w:spacing w:after="0" w:line="14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38</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financed our operations primarily through sales of our securities. In July 2021, we completed our IPO, which resulted in net proceeds to us of approximately $215.7 million. We have also benefited from operating cash flows from the sale of our products and services.</w:t>
      </w:r>
    </w:p>
    <w:p>
      <w:pPr>
        <w:spacing w:after="0" w:line="13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May 7, 2020, we received loan proceeds in the amount of approximately $4.1 million under the PPP. The PPP, established as part of the CARES Act, provides for loans to qualifying businesses for amounts up to 2.5 times of the average monthly payroll expenses of the qualifying business. On May 4, 2021, we fully repaid the PPP loan.</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3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71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20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Operating activities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(10,920 )</w:t>
            </w:r>
          </w:p>
        </w:tc>
        <w:tc>
          <w:tcPr>
            <w:tcW w:w="8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(1,979 )</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Investing activities</w:t>
            </w:r>
          </w:p>
        </w:tc>
        <w:tc>
          <w:tcPr>
            <w:tcW w:w="4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(3,695 )</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(1,389 )</w:t>
            </w:r>
          </w:p>
        </w:tc>
        <w:tc>
          <w:tcPr>
            <w:tcW w:w="0" w:type="dxa"/>
            <w:vAlign w:val="bottom"/>
          </w:tcPr>
          <w:p>
            <w:pPr>
              <w:spacing w:after="0"/>
              <w:rPr>
                <w:sz w:val="1"/>
                <w:szCs w:val="1"/>
                <w:color w:val="auto"/>
              </w:rPr>
            </w:pPr>
          </w:p>
        </w:tc>
      </w:tr>
      <w:tr>
        <w:trPr>
          <w:trHeight w:val="216"/>
        </w:trPr>
        <w:tc>
          <w:tcPr>
            <w:tcW w:w="7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Financing activities</w:t>
            </w:r>
          </w:p>
        </w:tc>
        <w:tc>
          <w:tcPr>
            <w:tcW w:w="420" w:type="dxa"/>
            <w:vAlign w:val="bottom"/>
          </w:tcPr>
          <w:p>
            <w:pPr>
              <w:spacing w:after="0"/>
              <w:rPr>
                <w:sz w:val="18"/>
                <w:szCs w:val="18"/>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1,508</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(3,536 )</w:t>
            </w:r>
          </w:p>
        </w:tc>
        <w:tc>
          <w:tcPr>
            <w:tcW w:w="0" w:type="dxa"/>
            <w:vAlign w:val="bottom"/>
          </w:tcPr>
          <w:p>
            <w:pPr>
              <w:spacing w:after="0"/>
              <w:rPr>
                <w:sz w:val="1"/>
                <w:szCs w:val="1"/>
                <w:color w:val="auto"/>
              </w:rPr>
            </w:pPr>
          </w:p>
        </w:tc>
      </w:tr>
      <w:tr>
        <w:trPr>
          <w:trHeight w:val="216"/>
        </w:trPr>
        <w:tc>
          <w:tcPr>
            <w:tcW w:w="736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4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(1,617 )</w:t>
            </w:r>
          </w:p>
        </w:tc>
        <w:tc>
          <w:tcPr>
            <w:tcW w:w="18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09"/>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(14,724 )</w:t>
            </w:r>
          </w:p>
        </w:tc>
        <w:tc>
          <w:tcPr>
            <w:tcW w:w="8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(6,273 )</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-170815</wp:posOffset>
            </wp:positionV>
            <wp:extent cx="1111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89"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2022 was $10.9 million. We incurred non-cash stock-based compensation expense, depreciation and amortization, amortization of right-of-use assets, and interest expenses for accretion of the legal settlement liabilities of $7.8 million, $1.7 million, $1.4 million, and $1.0 million, respectively. Usage of cash included an increase of inventories of $14.4 million, an increase of trade accounts receivable of $8.0 million due to an increase in sales, and an increase in prepaid expenses and other assets of $8.7 million. This was partially offset by an increase of trade accounts payables of $3.7 million, an increase in deferred revenue of $4.6 million, an increase in accrued expenses and other liabilities of $2.8 million and an increase in the legal settlement liability of $0.5 million.</w:t>
      </w:r>
    </w:p>
    <w:p>
      <w:pPr>
        <w:spacing w:after="0" w:line="155"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2021 was $2.0 million consisting primarily of our net income of $2.8 million, an increase of trade accounts receivable of $6.1 million due to an increase in sales, an increase in prepaid expenses and other assets of $2.6 million and an increase in inventories of $3.9 million. This was partially offset by an increase in deferred revenue of $3.9 million, an increase in the legal settlement liability of $1.0 million, and an increase in accrued expenses and other liabilities of $0.5 million.</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8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six months ended June 30, 2022 was $3.7 million driven by purchases of property and equipment of $2.1 million and payment of investments of $1.6 million.</w:t>
      </w:r>
    </w:p>
    <w:p>
      <w:pPr>
        <w:spacing w:after="0" w:line="135"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Net cash used in investing activities during the six months ended June 30, 2021 was $1.4 million driven by an increase in purchases of property and equipment of $1.8 million partially offset by the payment for the additional investment in Cytek Japan, net of cash acquired of $0.4 million. See Note 16 included in the notes to our unaudited interim consolidated financial statements included elsewhere in this Quarterly Report on Form 10-Q.</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six months ended June 30, 2022 was $1.5 million driven by issuance of our common stock under our equity incentive plans.</w:t>
      </w:r>
    </w:p>
    <w:p>
      <w:pPr>
        <w:spacing w:after="0" w:line="13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during the six months ended June 30, 2021 was $3.5 million primarily driven by the repayment of the PPP loan of $2.8 million and payment of deferred offering costs of $1.1 million, partially offset by $0.3 million received from the issuance of our common stock under our equity incentive plans.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and significant judgments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39</w:t>
      </w:r>
    </w:p>
    <w:p>
      <w:pPr>
        <w:spacing w:after="0" w:line="104"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 xml:space="preserve">This management’s discussion and analysis of our financial condition and results of operations is based on our unaudited interim consolidated financial statements, which have been prepared in accordance with accounting principles generally accepted in the United States of America, or GAAP. The preparation of our unaudited interim consolidated financial statements in conformity with GAAP requires management to make estimates and assumptions that affect the amounts reported in the unaudited interim consolidated financial statements and notes to the unaudited interim consolidated financial statements. Some of those judgments can be subjective and complex, and therefore, actual results could differ materially from those estimates are different assumptions and conditions. A summary of our critical accounting policies is presented in our audited financial statements and notes thereto as of and for the year ended December 31, 2021 included in our Annual Report on Form 10-K filed with the SEC on March 17, 2022. There were no material changes to our critical accounting policies during the six months ended June 30, 2022, except as discussed in “Recently adopted accounting pronouncements” in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Basis of presentation and summary of significant accounting policies</w:t>
      </w:r>
      <w:r>
        <w:rPr>
          <w:rFonts w:ascii="Times New Roman" w:cs="Times New Roman" w:eastAsia="Times New Roman" w:hAnsi="Times New Roman"/>
          <w:sz w:val="18"/>
          <w:szCs w:val="18"/>
          <w:color w:val="auto"/>
        </w:rPr>
        <w:t>, of the Notes to unaudited interim consolidated financial statements included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report.</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89" w:lineRule="exact"/>
        <w:rPr>
          <w:sz w:val="20"/>
          <w:szCs w:val="20"/>
          <w:color w:val="auto"/>
        </w:rPr>
      </w:pPr>
    </w:p>
    <w:p>
      <w:pPr>
        <w:jc w:val="both"/>
        <w:ind w:left="20" w:right="20" w:firstLine="509"/>
        <w:spacing w:after="0" w:line="266" w:lineRule="auto"/>
        <w:rPr>
          <w:sz w:val="20"/>
          <w:szCs w:val="20"/>
          <w:color w:val="auto"/>
        </w:rPr>
      </w:pPr>
      <w:r>
        <w:rPr>
          <w:rFonts w:ascii="Times New Roman" w:cs="Times New Roman" w:eastAsia="Times New Roman" w:hAnsi="Times New Roman"/>
          <w:sz w:val="18"/>
          <w:szCs w:val="18"/>
          <w:color w:val="auto"/>
        </w:rPr>
        <w:t>See Note 2 to our unaudited interim consolidated financial statements included elsewhere in this Quarterly Report on Form 10-Q for a description of recent accounting pronouncements applicable to our financial statements.</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89" w:lineRule="exact"/>
        <w:rPr>
          <w:sz w:val="20"/>
          <w:szCs w:val="20"/>
          <w:color w:val="auto"/>
        </w:rPr>
      </w:pPr>
    </w:p>
    <w:p>
      <w:pPr>
        <w:jc w:val="both"/>
        <w:ind w:left="20" w:right="20" w:firstLine="509"/>
        <w:spacing w:after="0" w:line="243" w:lineRule="auto"/>
        <w:rPr>
          <w:sz w:val="20"/>
          <w:szCs w:val="20"/>
          <w:color w:val="auto"/>
        </w:rPr>
      </w:pPr>
      <w:r>
        <w:rPr>
          <w:rFonts w:ascii="Times New Roman" w:cs="Times New Roman" w:eastAsia="Times New Roman" w:hAnsi="Times New Roman"/>
          <w:sz w:val="18"/>
          <w:szCs w:val="18"/>
          <w:color w:val="auto"/>
        </w:rPr>
        <w:t>In April 2012, the Jumpstart Our Business Startups Act of 2012 (the “JOBS Act”) was enacted. 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 We have irrevocably elected to avail ourselves of this extended transition period and, as a result, we will not adopt new or revised accounting standards on the relevant dates on which adoption of such standards is required for other public companies. In addition, as an emerging growth company, we may take advantage of certain reduced disclosure and other requirements that are otherwise applicable generally to public companies. We may take advantage of these exemptions until we are no longer an emerging growth company. We will remain an emerging growth company until the end of the 2022 fiscal year.</w:t>
      </w:r>
    </w:p>
    <w:p>
      <w:pPr>
        <w:spacing w:after="0" w:line="159" w:lineRule="exact"/>
        <w:rPr>
          <w:sz w:val="20"/>
          <w:szCs w:val="20"/>
          <w:color w:val="auto"/>
        </w:rPr>
      </w:pPr>
    </w:p>
    <w:p>
      <w:pPr>
        <w:jc w:val="both"/>
        <w:ind w:left="20" w:right="20" w:firstLine="509"/>
        <w:spacing w:after="0" w:line="246"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and will continue to qualify as a smaller reporting company through the end of the 2022 fiscal year. For as long as we continue to be a smaller reporting company, we may take advantage of certain of the scaled disclosures available to smaller reporting companies. Specifically, as a smaller reporting company we may choose to present only the two most recent fiscal years of audited consolidated financial statements in our Annual Report on Form 10-K and, similar to emerging growth companies, smaller reporting companies have reduced disclosure obligations regarding executive compensation.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40</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8" w:lineRule="exact"/>
        <w:rPr>
          <w:sz w:val="20"/>
          <w:szCs w:val="20"/>
          <w:color w:val="auto"/>
        </w:rPr>
      </w:pPr>
    </w:p>
    <w:p>
      <w:pPr>
        <w:jc w:val="both"/>
        <w:ind w:right="200" w:firstLine="509"/>
        <w:spacing w:after="0" w:line="258"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foreign currency exchange rates.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89"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market risk inherent in our financial instruments and in our financial condition represents the potential loss arising from adverse changes in interest rates or exchange rates. As of June 30, 2022, we had cash and cash equivalents of $349.9 million, which consisted primarily of money market funds and bank deposits. The primary objective of our investment is to preserve principal and provide liquidity. These money market funds and bank deposits generate interest income at variable rates below 1%.</w:t>
      </w:r>
    </w:p>
    <w:p>
      <w:pPr>
        <w:spacing w:after="0" w:line="13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therefore do not believe we are exposed to, nor do we anticipate being in the near future exposed to, material risk due to changes in interest rates because of the short-term nature of our cash and cash equivalents.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75" w:lineRule="exact"/>
        <w:rPr>
          <w:sz w:val="20"/>
          <w:szCs w:val="20"/>
          <w:color w:val="auto"/>
        </w:rPr>
      </w:pPr>
    </w:p>
    <w:p>
      <w:pPr>
        <w:jc w:val="both"/>
        <w:ind w:right="20" w:firstLine="509"/>
        <w:spacing w:after="0" w:line="258" w:lineRule="auto"/>
        <w:rPr>
          <w:sz w:val="20"/>
          <w:szCs w:val="20"/>
          <w:color w:val="auto"/>
        </w:rPr>
      </w:pPr>
      <w:r>
        <w:rPr>
          <w:rFonts w:ascii="Times New Roman" w:cs="Times New Roman" w:eastAsia="Times New Roman" w:hAnsi="Times New Roman"/>
          <w:sz w:val="18"/>
          <w:szCs w:val="18"/>
          <w:color w:val="auto"/>
        </w:rPr>
        <w:t>Our revenue has been generated across the globe, mainly in the United States, Europe and Asia. Our foreign currency risk related to our revenue and operating expenses denominated in currencies other than the U.S. dollar, primarily the renminbi and the euro, causes both our revenue and our operating results to be impacted by fluctuations in the exchange rates.</w:t>
      </w:r>
    </w:p>
    <w:p>
      <w:pPr>
        <w:spacing w:after="0" w:line="142"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As we expand our presence in international markets, our results of operations and cash flows may increasingly be subject to fluctuations due to changes in foreign currency exchange rates and may be adversely affected in the future due to changes in foreign exchange rates. To date, we have not entered into any hedging arrangements intended to minimize the impact of these fluctuations in the exchange rates. As our international operations grow, we intend to continue to reassess our approach to manage our risk relating to fluctuations in currency rates.</w:t>
      </w:r>
    </w:p>
    <w:p>
      <w:pPr>
        <w:spacing w:after="0" w:line="15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do not believe that either inflation or foreign currency risk had a material effect on our business, financial condition, or results of operations during the periods presented.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89" w:lineRule="exact"/>
        <w:rPr>
          <w:sz w:val="20"/>
          <w:szCs w:val="20"/>
          <w:color w:val="auto"/>
        </w:rPr>
      </w:pPr>
    </w:p>
    <w:p>
      <w:pPr>
        <w:jc w:val="both"/>
        <w:ind w:left="20" w:firstLine="509"/>
        <w:spacing w:after="0" w:line="247"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have evaluated the effectiveness of our disclosure controls and procedures (as defined in Rules 13a-15(e) and 15d-15(e) of the Exchange Act) as of the end of the period covered by this Quarterly Report on Form 10-Q.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as a result of the material weaknesses in our internal control, our disclosure controls and procedures were not effective as of June 30, 2022.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Weaknesses</w:t>
      </w:r>
    </w:p>
    <w:p>
      <w:pPr>
        <w:spacing w:after="0" w:line="175" w:lineRule="exact"/>
        <w:rPr>
          <w:sz w:val="20"/>
          <w:szCs w:val="20"/>
          <w:color w:val="auto"/>
        </w:rPr>
      </w:pPr>
    </w:p>
    <w:p>
      <w:pPr>
        <w:jc w:val="both"/>
        <w:ind w:left="20" w:right="140" w:firstLine="509"/>
        <w:spacing w:after="0" w:line="245" w:lineRule="auto"/>
        <w:rPr>
          <w:sz w:val="20"/>
          <w:szCs w:val="20"/>
          <w:color w:val="auto"/>
        </w:rPr>
      </w:pPr>
      <w:r>
        <w:rPr>
          <w:rFonts w:ascii="Times New Roman" w:cs="Times New Roman" w:eastAsia="Times New Roman" w:hAnsi="Times New Roman"/>
          <w:sz w:val="18"/>
          <w:szCs w:val="18"/>
          <w:color w:val="auto"/>
        </w:rPr>
        <w:t>Prior to the completion of our IPO in July 2021, we were a private company with limited accounting personnel to adequately execute our accounting processes to address our internal control over financial reporting. In connection with our financial statement close process for the years ended December 31, 2019 and 2020, we identified material weaknesses associated with our control environment and control activities components of the Committee of Sponsoring Organizations (“COSO”) framework related to (i) the lack of sufficient qualified personnel within our accounting and IT function and (ii) establishing policies and procedures to identify, select and apply U.S. GAAP in order to ensure that transactions were being appropriately recorded; and the design of appropriate control activities over information technology systems and financial and reporting processes necessary to ensure the accuracy of financial reporting and the preparation of financial statements.</w:t>
      </w:r>
    </w:p>
    <w:p>
      <w:pPr>
        <w:spacing w:after="0" w:line="1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Remediation efforts on previously reported material weaknesses</w:t>
      </w:r>
    </w:p>
    <w:p>
      <w:pPr>
        <w:spacing w:after="0" w:line="189" w:lineRule="exact"/>
        <w:rPr>
          <w:sz w:val="20"/>
          <w:szCs w:val="20"/>
          <w:color w:val="auto"/>
        </w:rPr>
      </w:pPr>
    </w:p>
    <w:p>
      <w:pPr>
        <w:jc w:val="both"/>
        <w:ind w:left="20" w:right="160" w:firstLine="509"/>
        <w:spacing w:after="0" w:line="258" w:lineRule="auto"/>
        <w:rPr>
          <w:sz w:val="20"/>
          <w:szCs w:val="20"/>
          <w:color w:val="auto"/>
        </w:rPr>
      </w:pPr>
      <w:r>
        <w:rPr>
          <w:rFonts w:ascii="Times New Roman" w:cs="Times New Roman" w:eastAsia="Times New Roman" w:hAnsi="Times New Roman"/>
          <w:sz w:val="18"/>
          <w:szCs w:val="18"/>
          <w:color w:val="auto"/>
        </w:rPr>
        <w:t>We are committed to remediating the control deficiencies that constituted the above material weaknesses by implementing changes to our internal control over financial reporting. During 2021 and the six months ended June 30, 2022, we executed and continue to execute the following steps intended to remediate the material weaknesses described above and strengthen our internal control over financial reporting:</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41</w:t>
      </w:r>
    </w:p>
    <w:p>
      <w:pPr>
        <w:spacing w:after="0" w:line="104" w:lineRule="exact"/>
        <w:rPr>
          <w:sz w:val="20"/>
          <w:szCs w:val="20"/>
          <w:color w:val="auto"/>
        </w:rPr>
      </w:pPr>
    </w:p>
    <w:p>
      <w:pPr>
        <w:ind w:left="1020" w:right="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engaged external consultants to assist us in designing, implementing, and monitoring an appropriate system of internal control, including Information Technology General Controls.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added and will continue to add qualified personnel within our accounting and information technology function.</w:t>
      </w:r>
    </w:p>
    <w:p>
      <w:pPr>
        <w:spacing w:after="0" w:line="103"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initiated formalizing our internal controls environment and performed a risk assessment and scoped key systems and business processes, including a risk assessment at the financial statement assertion level to ensure that the level of precision of relevant controls is adequate to address the identified risks. We will continue to revise and enhance the design of existing controls and implement new controls, update documentation and strengthen supervisory reviews by our management.</w:t>
      </w:r>
    </w:p>
    <w:p>
      <w:pPr>
        <w:spacing w:after="0" w:line="82"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strengthened, and will continue to strengthen, access and segregation of duties for Information Technology General Controls related to financial accounting and reporting systems including implementing monitoring controls as appropriate.</w:t>
      </w:r>
    </w:p>
    <w:p>
      <w:pPr>
        <w:spacing w:after="0" w:line="54"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implemented automated workflows and enhanced oversight over the execution and review of manual journal entry controls, and will continue to provide training for such enhanced oversight and review.</w:t>
      </w:r>
    </w:p>
    <w:p>
      <w:pPr>
        <w:spacing w:after="0" w:line="68"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We plan to continue to devote significant time and attention to remediate the above material weaknesses as soon as reasonably practicable. As we continue to evaluate our controls, we will make the changes described above as well as any others needed to enhance our control environment and remediate the material weaknesses. We believe these actions will be sufficient to remediate the identified material weaknesses and strengthen our internal control over financial reporting; however, there can be no guarantee that such remediation will be sufficient. We will continue to evaluate the effectiveness of our controls and will make any further changes management determines appropriate.</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89" w:lineRule="exact"/>
        <w:rPr>
          <w:sz w:val="20"/>
          <w:szCs w:val="20"/>
          <w:color w:val="auto"/>
        </w:rPr>
      </w:pPr>
    </w:p>
    <w:p>
      <w:pPr>
        <w:jc w:val="both"/>
        <w:ind w:left="20" w:right="20" w:firstLine="509"/>
        <w:spacing w:after="0" w:line="258" w:lineRule="auto"/>
        <w:rPr>
          <w:sz w:val="20"/>
          <w:szCs w:val="20"/>
          <w:color w:val="auto"/>
        </w:rPr>
      </w:pPr>
      <w:r>
        <w:rPr>
          <w:rFonts w:ascii="Times New Roman" w:cs="Times New Roman" w:eastAsia="Times New Roman" w:hAnsi="Times New Roman"/>
          <w:sz w:val="18"/>
          <w:szCs w:val="18"/>
          <w:color w:val="auto"/>
        </w:rPr>
        <w:t>Other than the changes intended to remediate the material weaknesses noted above, there was no change in our internal control over financial reporting that occurred during the three months ended June 30, 2022 that materially affected, or were reasonably likely to materially affect, our internal control over financial reporting.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 on the Effectiveness of Internal Control</w:t>
      </w:r>
    </w:p>
    <w:p>
      <w:pPr>
        <w:spacing w:after="0" w:line="189" w:lineRule="exact"/>
        <w:rPr>
          <w:sz w:val="20"/>
          <w:szCs w:val="20"/>
          <w:color w:val="auto"/>
        </w:rPr>
      </w:pPr>
    </w:p>
    <w:p>
      <w:pPr>
        <w:jc w:val="both"/>
        <w:ind w:left="20" w:right="20" w:firstLine="509"/>
        <w:spacing w:after="0" w:line="250" w:lineRule="auto"/>
        <w:rPr>
          <w:sz w:val="20"/>
          <w:szCs w:val="20"/>
          <w:color w:val="auto"/>
        </w:rPr>
      </w:pPr>
      <w:r>
        <w:rPr>
          <w:rFonts w:ascii="Times New Roman" w:cs="Times New Roman" w:eastAsia="Times New Roman" w:hAnsi="Times New Roman"/>
          <w:sz w:val="18"/>
          <w:szCs w:val="18"/>
          <w:color w:val="auto"/>
        </w:rPr>
        <w:t>Our disclosure controls and procedures and internal control over financial reporting are designed to provide reasonable assurance of achieving the desired control objectives. Our management recognizes that any control system, no matter how well designed and operated, is based upon certain judgments and assumptions and cannot provide absolute assurance that its objectives will be met. Similarly, an evaluation of controls cannot provide absolute assurance that misstatements due to error or fraud will not occur or that all control issues and instances of fraud, if any, have been detected.</w:t>
      </w:r>
    </w:p>
    <w:p>
      <w:pPr>
        <w:spacing w:after="0" w:line="14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w:t>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310" w:lineRule="exact"/>
        <w:rPr>
          <w:sz w:val="20"/>
          <w:szCs w:val="20"/>
          <w:color w:val="auto"/>
        </w:rPr>
      </w:pPr>
    </w:p>
    <w:p>
      <w:pPr>
        <w:jc w:val="both"/>
        <w:ind w:right="40" w:firstLine="578"/>
        <w:spacing w:after="0" w:line="274"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We are not presently a party to any legal proceedings that, if determined adversely to us, would individually or taken together have a material adverse effect on our business, operating results, financial condition or cash flows.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42</w:t>
      </w:r>
    </w:p>
    <w:p>
      <w:pPr>
        <w:spacing w:after="0" w:line="200" w:lineRule="exact"/>
        <w:rPr>
          <w:sz w:val="20"/>
          <w:szCs w:val="20"/>
          <w:color w:val="auto"/>
        </w:rPr>
      </w:pPr>
    </w:p>
    <w:p>
      <w:pPr>
        <w:spacing w:after="0" w:line="345" w:lineRule="exact"/>
        <w:rPr>
          <w:sz w:val="20"/>
          <w:szCs w:val="20"/>
          <w:color w:val="auto"/>
        </w:rPr>
      </w:pPr>
    </w:p>
    <w:p>
      <w:pPr>
        <w:ind w:left="2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308" w:lineRule="exact"/>
        <w:rPr>
          <w:sz w:val="20"/>
          <w:szCs w:val="20"/>
          <w:color w:val="auto"/>
        </w:rPr>
      </w:pPr>
    </w:p>
    <w:p>
      <w:pPr>
        <w:jc w:val="both"/>
        <w:ind w:firstLine="578"/>
        <w:spacing w:after="0" w:line="261" w:lineRule="auto"/>
        <w:rPr>
          <w:sz w:val="20"/>
          <w:szCs w:val="20"/>
          <w:color w:val="auto"/>
        </w:rPr>
      </w:pPr>
      <w:r>
        <w:rPr>
          <w:rFonts w:ascii="Times New Roman" w:cs="Times New Roman" w:eastAsia="Times New Roman" w:hAnsi="Times New Roman"/>
          <w:sz w:val="18"/>
          <w:szCs w:val="18"/>
          <w:i w:val="1"/>
          <w:iCs w:val="1"/>
          <w:color w:val="auto"/>
        </w:rPr>
        <w:t>Our operations and financial results are subject to numerous risks and uncertainties, including those described below, which may have a material and adverse effect on our business, results of operations, cash flows, financial conditions, and the trading price of our common stock. The risks and uncertainties described below are not the only ones facing us. Additional risks and uncertainties not presently known to us or that we currently deem immaterial also may impair our business operations. You should consider these risks and uncertainties carefully, together with all of the other information included or incorporated by reference in this Quarterly Report on Form 10-Q. If any of the following risks actually occur, our business, financial condition, results of operations and future prospects could be materially and adversely affected. You should not interpret our disclosure of any of the following risks to imply that such risks have not already materialized.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jc w:val="both"/>
        <w:ind w:firstLine="584"/>
        <w:spacing w:after="0" w:line="266" w:lineRule="auto"/>
        <w:rPr>
          <w:sz w:val="20"/>
          <w:szCs w:val="20"/>
          <w:color w:val="auto"/>
        </w:rPr>
      </w:pPr>
      <w:r>
        <w:rPr>
          <w:rFonts w:ascii="Times New Roman" w:cs="Times New Roman" w:eastAsia="Times New Roman" w:hAnsi="Times New Roman"/>
          <w:sz w:val="18"/>
          <w:szCs w:val="18"/>
          <w:color w:val="auto"/>
        </w:rPr>
        <w:t>We may be unable for many reasons, including those that are beyond our control, to implement our business strategy successfully. Below is a summary of material factors that make an investment in our shares of common stock speculative or risky. Importantly, this summary does not address all of the risks and uncertainties that we face. Additional discussion of the risks and uncertainties summarized in this risk factor summary, as well as other risks and uncertainties that we face, immediately follows this risk factor summary. The below risk factor summary is qualified in its entirety by that more complete discussion of such risks and uncertainties.</w:t>
      </w:r>
    </w:p>
    <w:p>
      <w:pPr>
        <w:spacing w:after="0" w:line="68" w:lineRule="exact"/>
        <w:rPr>
          <w:sz w:val="20"/>
          <w:szCs w:val="20"/>
          <w:color w:val="auto"/>
        </w:rPr>
      </w:pPr>
    </w:p>
    <w:p>
      <w:pPr>
        <w:ind w:left="1020" w:right="2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only recently launched our commercial products, which may make it difficult to evaluate the prospects for our future viability and predict our future performance. We have limited experience marketing and selling our products.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a limited number of product offerings. Our revenue has been primarily generated from sales of our core Aurora and Northern Light systems, which require a substantial sales cycle and are prone to quarterly fluctuations in revenue. Our future success depends on our ability to develop and successfully introduce new and enhanced products that meet the needs of our customers.</w:t>
      </w:r>
    </w:p>
    <w:p>
      <w:pPr>
        <w:spacing w:after="0" w:line="82" w:lineRule="exact"/>
        <w:rPr>
          <w:rFonts w:ascii="Times New Roman" w:cs="Times New Roman" w:eastAsia="Times New Roman" w:hAnsi="Times New Roman"/>
          <w:sz w:val="18"/>
          <w:szCs w:val="18"/>
          <w:color w:val="auto"/>
        </w:rPr>
      </w:pPr>
    </w:p>
    <w:p>
      <w:pPr>
        <w:jc w:val="both"/>
        <w:ind w:left="1020" w:hanging="503"/>
        <w:spacing w:after="0" w:line="245"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single source suppliers and, in some cases, sole source suppliers, for certain components and materials used in our systems and may not be able to find replacements or immediately transition to alternative suppliers, which could have an adverse effect on our business, financial condition and results of operations. On August 25, 2021, we and Cytek (Wuxi) Biosciences Co., Ltd, our China subsidiary (the “Subsidiary”), entered into a Supply Agreement (the “Coherent Agreement”) with Coherent NA, Inc. (“Coherent”). Pursuant to the Coherent Agreement, Coherent has agreed to sell and supply to us and the Subsidiary, on a non-exclusive basis, laser products manufactured by Coherent. Other than the Coherent Agreement, we do not currently have long-term supply contracts with our sole and single source suppliers of key components.</w:t>
      </w:r>
    </w:p>
    <w:p>
      <w:pPr>
        <w:spacing w:after="0" w:line="7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will be harmed if we are unable to accurately forecast customer demand for our products and manage our inventory.</w:t>
      </w:r>
    </w:p>
    <w:p>
      <w:pPr>
        <w:spacing w:after="0" w:line="103"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adoption of our products by academic and government institutions, clinical research organizations, pharmaceutical companies and clinical laboratories for their research and development activities focused on cell analysis. If academic and government institutions, clinical research organizations, pharmaceutical companies and clinical laboratories are unwilling to adopt our products, it will negatively affect our business, financial condition, prospects and results of operations.</w:t>
      </w:r>
    </w:p>
    <w:p>
      <w:pPr>
        <w:spacing w:after="0" w:line="69"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manufacture our products in high-quality commercial quantities successfully and consistently to meet demand, our growth will be limited.</w:t>
      </w:r>
    </w:p>
    <w:p>
      <w:pPr>
        <w:spacing w:after="0" w:line="40"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is dependent upon our ability to increase penetration in our existing markets and expand into adjacent markets. If we are unable to successfully expand our commercial operations, including hiring additional qualified sales representatives, technical applications specialists and customer support staff, our business may be adversely affected.</w:t>
      </w:r>
    </w:p>
    <w:p>
      <w:pPr>
        <w:spacing w:after="0" w:line="61"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suppliers are subject to ongoing regulatory obligations and continued regulatory review, which may result in significant additional expense and subject us to penalties if we fail to comply with applicable regulatory requirements. Our products may become subject to more onerous regulation by the FDA or other regulatory agencies in the future, which could increase our costs and delay or prevent sales of our products or commercialization of new products and product enhancements.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43</w:t>
      </w:r>
    </w:p>
    <w:p>
      <w:pPr>
        <w:spacing w:after="0" w:line="104" w:lineRule="exact"/>
        <w:rPr>
          <w:sz w:val="20"/>
          <w:szCs w:val="20"/>
          <w:color w:val="auto"/>
        </w:rPr>
      </w:pPr>
    </w:p>
    <w:p>
      <w:pPr>
        <w:jc w:val="both"/>
        <w:ind w:left="1020" w:hanging="503"/>
        <w:spacing w:after="0" w:line="250"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ownership of our common stock among our executive officers, directors, principal stockholders and their respective affiliates may prevent new investors from influencing significant corporate decisions. Based on shares outstanding as of June 30, 2022, our executive officers, directors, holders of 5% or more of our common stock and their respective affiliates, in the aggregate, own approximately 40.9% of our common stock. These stockholders, acting together, will be able to significantly influence all matters requiring stockholder approval, including the election and removal of directors and any merger or other significant corporate transaction.</w:t>
      </w:r>
    </w:p>
    <w:p>
      <w:pPr>
        <w:spacing w:after="0" w:line="69"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or other intellectual property protection for any of our current or future products, or if the scope of the patent and other intellectual property protection obtained is not sufficiently broad, our competitors could develop and commercialize products similar or identical to ours, and our ability to successfully commercialize our current or future products may be harmed.</w:t>
      </w:r>
    </w:p>
    <w:p>
      <w:pPr>
        <w:spacing w:after="0" w:line="69"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currently depends significantly on research and development spending by academic institutions and government-owned institutions, a reduction in which could limit demand for our solutions and adversely affect our business and operating results.</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operations and expansion of our international business exposes us to business, regulatory, political, operational, financial and economic risks associated with doing business outside of the United States.</w:t>
      </w:r>
    </w:p>
    <w:p>
      <w:pPr>
        <w:spacing w:after="0" w:line="54"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cell analysis technologies and life sciences tools, including flow cytometry, is rapidly evolving and highly competitive. If we are unable to successfully develop new products, adapt to rapid and significant technological change, respond to introductions of new products by competitors, make strategic and operational decisions to prioritize certain markets, technology offerings or partnerships, and develop and capitalize on markets, technologies or partnerships, our business could suffer.</w:t>
      </w:r>
    </w:p>
    <w:p>
      <w:pPr>
        <w:spacing w:after="0" w:line="8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products do not perform as expected, our operating results, reputation and business will suffer.</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expand or leverage the number of peer-reviewed articles published using data generated by our products or otherwise increase brand awareness, the demand for our products and our business may be adversely affected.</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increased the size of our organization and expect to further increase it in the future, and we may experience difficulties in managing our growth. If we are unable to manage the anticipated growth of our business, our future revenue and operating results may be harmed.</w:t>
      </w:r>
    </w:p>
    <w:p>
      <w:pPr>
        <w:spacing w:after="0" w:line="54"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distributors for sales of our products in certain geographies outside of the United States. If we are unable to secure additional distributors or maintain good relationships with our existing distributors, or if such distributors do not perform adequately or effectively, our business could suffer.</w:t>
      </w:r>
    </w:p>
    <w:p>
      <w:pPr>
        <w:spacing w:after="0" w:line="61"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w:t>
      </w:r>
    </w:p>
    <w:p>
      <w:pPr>
        <w:spacing w:after="0" w:line="61"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significantly, which makes our future operating results difficult to predict and could cause our operating results to fall below expectations or any guidance we may provide.</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additional capital to fund our existing operations, develop our products and/or expand our operations.</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has had and could continue to have an adverse impact on our business, operations, and the markets and communities in which we, our partners, and customers operate.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Strategy</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only recently launched our commercial products, which may make it difficult to evaluate the prospects for our future viability and predict our future performance. We have limited experience marketing and selling our products.</w:t>
      </w:r>
    </w:p>
    <w:p>
      <w:pPr>
        <w:spacing w:after="0" w:line="37" w:lineRule="exact"/>
        <w:rPr>
          <w:sz w:val="20"/>
          <w:szCs w:val="20"/>
          <w:color w:val="auto"/>
        </w:rPr>
      </w:pPr>
    </w:p>
    <w:p>
      <w:pPr>
        <w:jc w:val="both"/>
        <w:ind w:firstLine="578"/>
        <w:spacing w:after="0" w:line="279" w:lineRule="auto"/>
        <w:rPr>
          <w:sz w:val="20"/>
          <w:szCs w:val="20"/>
          <w:color w:val="auto"/>
        </w:rPr>
      </w:pPr>
      <w:r>
        <w:rPr>
          <w:rFonts w:ascii="Times New Roman" w:cs="Times New Roman" w:eastAsia="Times New Roman" w:hAnsi="Times New Roman"/>
          <w:sz w:val="17"/>
          <w:szCs w:val="17"/>
          <w:color w:val="auto"/>
        </w:rPr>
        <w:t>We have a limited operating history and may encounter unforeseen expenses, difficulties, complications, delays and other known and unknown obstacles. We launched our first core commercial product, the Aurora system, in June 2017. Our limited commercial and operating history makes it difficult to evaluate our current business and predict our future performance. Although we have experienced significant revenue growth in recent periods, any assessment of our future revenue, profitability or prediction about our future success or viability is subject to significant uncertainty. We have encountered in the past, and will encounter in the future, risks and uncertainties frequently experienced by growing companies with limited operating histories in emerging and rapidly changing industries, including scaling up our infrastructure and headcount.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materially and adversely affected.</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44</w:t>
      </w:r>
    </w:p>
    <w:p>
      <w:pPr>
        <w:spacing w:after="0" w:line="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a limited number of product offerings. Our revenue has been primarily generated from sale of our core Aurora and Northern Lights systems, which require a substantial sales cycle and are prone to quarterly fluctuations in revenue.</w:t>
      </w:r>
    </w:p>
    <w:p>
      <w:pPr>
        <w:spacing w:after="0" w:line="61" w:lineRule="exact"/>
        <w:rPr>
          <w:sz w:val="20"/>
          <w:szCs w:val="20"/>
          <w:color w:val="auto"/>
        </w:rPr>
      </w:pPr>
    </w:p>
    <w:p>
      <w:pPr>
        <w:jc w:val="both"/>
        <w:ind w:firstLine="578"/>
        <w:spacing w:after="0" w:line="262" w:lineRule="auto"/>
        <w:rPr>
          <w:sz w:val="20"/>
          <w:szCs w:val="20"/>
          <w:color w:val="auto"/>
        </w:rPr>
      </w:pPr>
      <w:r>
        <w:rPr>
          <w:rFonts w:ascii="Times New Roman" w:cs="Times New Roman" w:eastAsia="Times New Roman" w:hAnsi="Times New Roman"/>
          <w:sz w:val="18"/>
          <w:szCs w:val="18"/>
          <w:color w:val="auto"/>
        </w:rPr>
        <w:t>Our Aurora system was commercially launched in June 2017, our Northern Lights system was commercially launched in October 2018 and our Aurora CS was first commercially shipped in June 2021. Sales of the Aurora and Northern Lights systems together accounted for a substantial portion of our revenue for the periods presented. We expect that, for at least the foreseeable future, sales of our Aurora and Northern Lights systems will continue to account for a substantial portion of our revenue. The sales cycle for our flow cytometer instruments is slow and can take up to six months or longer to complete. As a result of this lengthy and unpredictable sales cycle, we will be prone to quarterly fluctuations in our revenue as sales of the Aurora and Northern Lights systems are expected to continue to comprise a significant component of our revenue. Additionally, we experience seasonality in our business, with revenue in the fourth quarter typically being higher as a result of higher sales volume due to marketing campaign closing activity. Quarterly fluctuations may make it difficult for us to predict our future operating results. Consequently, comparisons of our operating results on a period-to-period basis may not be meaningful. Investors should not rely on our past results as an indication of our future performance.</w:t>
      </w:r>
    </w:p>
    <w:p>
      <w:pPr>
        <w:spacing w:after="0" w:line="153" w:lineRule="exact"/>
        <w:rPr>
          <w:sz w:val="20"/>
          <w:szCs w:val="20"/>
          <w:color w:val="auto"/>
        </w:rPr>
      </w:pPr>
    </w:p>
    <w:p>
      <w:pPr>
        <w:jc w:val="both"/>
        <w:ind w:firstLine="578"/>
        <w:spacing w:after="0" w:line="266" w:lineRule="auto"/>
        <w:rPr>
          <w:sz w:val="20"/>
          <w:szCs w:val="20"/>
          <w:color w:val="auto"/>
        </w:rPr>
      </w:pPr>
      <w:r>
        <w:rPr>
          <w:rFonts w:ascii="Times New Roman" w:cs="Times New Roman" w:eastAsia="Times New Roman" w:hAnsi="Times New Roman"/>
          <w:sz w:val="18"/>
          <w:szCs w:val="18"/>
          <w:color w:val="auto"/>
        </w:rPr>
        <w:t>As a result of variability and unpredictability, we may also fail to meet the expectations of industry or financial analysts or investors for any period. If our revenue or operating results fall short of the expectations of analysts or investors or any guidance we may provide, or if the guidance we provide falls short of the expectations of analysts or investors, the price of our common stock could decline substantially. Such a stock price decline could occur even when we have met or exceeded any previously publicly stated guidance we may have provided.</w:t>
      </w:r>
    </w:p>
    <w:p>
      <w:pPr>
        <w:spacing w:after="0" w:line="14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single source suppliers and, in some cases, sole source suppliers, for certain components and materials used in our systems and may not be able to find replacements or immediately transition to alternative suppliers, which could have an adverse effect on our business, financial condition and results of operations.</w:t>
      </w:r>
    </w:p>
    <w:p>
      <w:pPr>
        <w:spacing w:after="0" w:line="60" w:lineRule="exact"/>
        <w:rPr>
          <w:sz w:val="20"/>
          <w:szCs w:val="20"/>
          <w:color w:val="auto"/>
        </w:rPr>
      </w:pPr>
    </w:p>
    <w:p>
      <w:pPr>
        <w:jc w:val="both"/>
        <w:ind w:firstLine="578"/>
        <w:spacing w:after="0" w:line="260" w:lineRule="auto"/>
        <w:rPr>
          <w:sz w:val="20"/>
          <w:szCs w:val="20"/>
          <w:color w:val="auto"/>
        </w:rPr>
      </w:pPr>
      <w:r>
        <w:rPr>
          <w:rFonts w:ascii="Times New Roman" w:cs="Times New Roman" w:eastAsia="Times New Roman" w:hAnsi="Times New Roman"/>
          <w:sz w:val="18"/>
          <w:szCs w:val="18"/>
          <w:color w:val="auto"/>
        </w:rPr>
        <w:t>We have sourced and will continue to source certain components of the Aurora, Northern Lights and Aurora CS systems from a limited number of suppliers and, in some cases, sole source suppliers. Key components in our products that are supplied by sole or single source suppliers include certain lasers, semiconductors and mechanical components that are used in our optical, electrical and fluidic subassemblies. On August 25, 2021, we and our China Subsidiary entered into the Coherent Agreement with Coherent. Pursuant to the Coherent Agreement, Coherent has agreed to sell and supply to us and the Subsidiary, on a non-exclusive basis, laser products manufactured by Coherent. We and the Subsidiary provide Coherent with rolling forecasts of our and the Subsidiary’s anticipated orders, which are non-binding. Purchase orders submitted by us and the Subsidiary pursuant to the terms of the Coherent Agreement will be deemed accepted upon written acknowledgement of acceptance by Coherent. Other than the Coherent Agreement, we do not currently have long-term supply contracts with our sole and single source suppliers of key components. Additionally, we believe we are not a major customer to most of our suppliers. Our suppliers may therefore give other customers’ needs higher priority than ours, and we may not be able to obtain adequate supply in a timely manner or on commercially reasonable terms. While we are in the process of qualifying additional sources of supply, qualifications can take 12 to 24 months and, in some cases, longer. If we were to lose one or more of our sole or single source suppliers, it would take significant time and effort to qualify alternative suppliers, if available. Moreover, in the event that we transition to a new supplier, particularly from any of our single source suppliers, doing so could be time-consuming and expensive, may result in interruptions in our ability to supply our products to the market and could affect the performance of our products, resulting in increased costs and negative customer perception.</w:t>
      </w:r>
    </w:p>
    <w:p>
      <w:pPr>
        <w:spacing w:after="0" w:line="155" w:lineRule="exact"/>
        <w:rPr>
          <w:sz w:val="20"/>
          <w:szCs w:val="20"/>
          <w:color w:val="auto"/>
        </w:rPr>
      </w:pPr>
    </w:p>
    <w:p>
      <w:pPr>
        <w:jc w:val="both"/>
        <w:ind w:firstLine="578"/>
        <w:spacing w:after="0" w:line="261" w:lineRule="auto"/>
        <w:rPr>
          <w:sz w:val="20"/>
          <w:szCs w:val="20"/>
          <w:color w:val="auto"/>
        </w:rPr>
      </w:pPr>
      <w:r>
        <w:rPr>
          <w:rFonts w:ascii="Times New Roman" w:cs="Times New Roman" w:eastAsia="Times New Roman" w:hAnsi="Times New Roman"/>
          <w:sz w:val="18"/>
          <w:szCs w:val="18"/>
          <w:color w:val="auto"/>
        </w:rPr>
        <w:t>Although we believe that we have stable relationships with our existing suppliers, we cannot assure you that we will be able to secure a stable supply of components materials going forward. In the event that any adverse developments occur with our suppliers, in particular for those products that are sole-sourced, or if any of our suppliers modifies any of the components they supply to us, our ability to supply our products may be temporarily or permanently interrupted. Obtaining substitute components could be difficult, time and resource-consuming and costly. Also, there can be no assurance that we will be able to secure a supply of alternative components at reasonable prices without experiencing interruptions in our business operations. In addition, quarantines, shelter-in-place and similar government orders related to the COVID-19 pandemic or other infectious disease outbreaks, or the perception that such orders, shutdowns or other restrictions on the conduct of business operations could occur, could impact the suppliers upon which we rely, or the availability or cost of materials, which could disrupt the supply chain for our products.</w:t>
      </w:r>
    </w:p>
    <w:p>
      <w:pPr>
        <w:spacing w:after="0" w:line="157" w:lineRule="exact"/>
        <w:rPr>
          <w:sz w:val="20"/>
          <w:szCs w:val="20"/>
          <w:color w:val="auto"/>
        </w:rPr>
      </w:pPr>
    </w:p>
    <w:p>
      <w:pPr>
        <w:jc w:val="both"/>
        <w:ind w:firstLine="578"/>
        <w:spacing w:after="0" w:line="274" w:lineRule="auto"/>
        <w:rPr>
          <w:sz w:val="20"/>
          <w:szCs w:val="20"/>
          <w:color w:val="auto"/>
        </w:rPr>
      </w:pPr>
      <w:r>
        <w:rPr>
          <w:rFonts w:ascii="Times New Roman" w:cs="Times New Roman" w:eastAsia="Times New Roman" w:hAnsi="Times New Roman"/>
          <w:sz w:val="18"/>
          <w:szCs w:val="18"/>
          <w:color w:val="auto"/>
        </w:rPr>
        <w:t>In addition, we cannot assure you that our suppliers have obtained and will be able to obtain or maintain all licenses, permits and approvals necessary for their operations or comply with all applicable laws and regulations, and failure to do so by them may lead to interruption in their business operations, which in turn may result in shortages of components supplied to us.</w:t>
      </w:r>
    </w:p>
    <w:p>
      <w:pPr>
        <w:spacing w:after="0" w:line="142" w:lineRule="exact"/>
        <w:rPr>
          <w:sz w:val="20"/>
          <w:szCs w:val="20"/>
          <w:color w:val="auto"/>
        </w:rPr>
      </w:pPr>
    </w:p>
    <w:p>
      <w:pPr>
        <w:jc w:val="both"/>
        <w:ind w:firstLine="578"/>
        <w:spacing w:after="0" w:line="274" w:lineRule="auto"/>
        <w:rPr>
          <w:sz w:val="20"/>
          <w:szCs w:val="20"/>
          <w:color w:val="auto"/>
        </w:rPr>
      </w:pPr>
      <w:r>
        <w:rPr>
          <w:rFonts w:ascii="Times New Roman" w:cs="Times New Roman" w:eastAsia="Times New Roman" w:hAnsi="Times New Roman"/>
          <w:sz w:val="18"/>
          <w:szCs w:val="18"/>
          <w:color w:val="auto"/>
        </w:rPr>
        <w:t>Supply interruptions have in the past arisen and could arise in the future from effects of the COVID-19 pandemic, shortages of raw materials, labor disputes or weather conditions affecting products or shipments, transportation disruptions, adjustments to our inventory levels or other factors within and beyond our control, and such supply interruption risk is increased by the limited number of</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45</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suppliers for certain of the components we use in our products. Our failure to maintain a continued supply of components that meets our quality control requirements for any reason, including changes to or termination of our agreements with key suppliers, or to enter into new agreements with other suppliers, particularly in the case of single or sole source suppliers, could result in the loss of access to important components and materials used in our products and impact our ability to manufacture and sell our products. Any delay or interruption in the supply of our materials could delay or suspend sales of our products and increase the costs of manufacturing our products, which could have an adverse effect on our business, financial condition and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will be harmed if we are unable to accurately forecast customer demand for our products and manage our inventory.</w:t>
      </w:r>
    </w:p>
    <w:p>
      <w:pPr>
        <w:spacing w:after="0" w:line="108" w:lineRule="exact"/>
        <w:rPr>
          <w:sz w:val="20"/>
          <w:szCs w:val="20"/>
          <w:color w:val="auto"/>
        </w:rPr>
      </w:pPr>
    </w:p>
    <w:p>
      <w:pPr>
        <w:jc w:val="both"/>
        <w:ind w:firstLine="578"/>
        <w:spacing w:after="0" w:line="263" w:lineRule="auto"/>
        <w:rPr>
          <w:sz w:val="20"/>
          <w:szCs w:val="20"/>
          <w:color w:val="auto"/>
        </w:rPr>
      </w:pPr>
      <w:r>
        <w:rPr>
          <w:rFonts w:ascii="Times New Roman" w:cs="Times New Roman" w:eastAsia="Times New Roman" w:hAnsi="Times New Roman"/>
          <w:sz w:val="18"/>
          <w:szCs w:val="18"/>
          <w:color w:val="auto"/>
        </w:rPr>
        <w:t>To ensure adequate supply of our instruments and other products, we must forecast the inventory needs of our current and prospective customers, and manufacture our products based on our estimates of future demand. Our ability to accurately forecast demand for our products could be negatively affected by many factors, many of which are beyond our control, including our failure to accurately manage our expansion strategy, product introductions by competitors, an increase or decrease in customer demand for our products or for products of our competitors, our failure to accurately forecast market acceptance of new products, changes in general market conditions, including as a result of the COVID-19 pandemic, seasonal demands, regulatory matters, inflation or weakening of general economic conditions.</w:t>
      </w:r>
    </w:p>
    <w:p>
      <w:pPr>
        <w:spacing w:after="0" w:line="151" w:lineRule="exact"/>
        <w:rPr>
          <w:sz w:val="20"/>
          <w:szCs w:val="20"/>
          <w:color w:val="auto"/>
        </w:rPr>
      </w:pPr>
    </w:p>
    <w:p>
      <w:pPr>
        <w:jc w:val="both"/>
        <w:ind w:firstLine="578"/>
        <w:spacing w:after="0" w:line="261" w:lineRule="auto"/>
        <w:rPr>
          <w:sz w:val="20"/>
          <w:szCs w:val="20"/>
          <w:color w:val="auto"/>
        </w:rPr>
      </w:pPr>
      <w:r>
        <w:rPr>
          <w:rFonts w:ascii="Times New Roman" w:cs="Times New Roman" w:eastAsia="Times New Roman" w:hAnsi="Times New Roman"/>
          <w:sz w:val="18"/>
          <w:szCs w:val="18"/>
          <w:color w:val="auto"/>
        </w:rPr>
        <w:t>We seek to maintain sufficient levels of inventory of our instruments and other products to protect ourselves from supply interruptions. We rely in part on our support organizations and distributors to supply forecasts of anticipated product orders in their respective territories. If we fail to accurately estimate customer demand for our products, our inventory forecasts may be inaccurate, resulting in shortages or excesses of inventory. Inventory levels in excess of customer demand may result in inventory write-downs or write-offs, which would cause our gross margin to be adversely affected and negatively impact our business, prospects, financial condition and results of operations. Conversely, if we underestimate customer demand for our products, we may not be able to deliver products in a timely manner or at all, and this could result in reduced revenue and damage to our reputation and customer relationships. In addition, if we experience a significant increase in demand, we may not have adequate manufacturing capacity to meet such demand, and additional supplies may not be available when required on terms that are acceptable to us, or at all, or suppliers may not be able to allocate sufficient capacity to meet our increased requirements, all of which would negatively affect our business, financial condition and results of operations. If we are unable to meet customer demand, we could lose our existing customers or lose our ability to acquire new customers, which would also negatively impact our business, financial condition and results of operations.</w:t>
      </w:r>
    </w:p>
    <w:p>
      <w:pPr>
        <w:spacing w:after="0" w:line="1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manufacturing our products and if we are unable to manufacture our products in high-quality commercial quantities successfully and consistently to meet demand, our growth will be limited.</w:t>
      </w:r>
    </w:p>
    <w:p>
      <w:pPr>
        <w:spacing w:after="0" w:line="63" w:lineRule="exact"/>
        <w:rPr>
          <w:sz w:val="20"/>
          <w:szCs w:val="20"/>
          <w:color w:val="auto"/>
        </w:rPr>
      </w:pPr>
    </w:p>
    <w:p>
      <w:pPr>
        <w:jc w:val="both"/>
        <w:ind w:firstLine="578"/>
        <w:spacing w:after="0" w:line="266" w:lineRule="auto"/>
        <w:rPr>
          <w:sz w:val="20"/>
          <w:szCs w:val="20"/>
          <w:color w:val="auto"/>
        </w:rPr>
      </w:pPr>
      <w:r>
        <w:rPr>
          <w:rFonts w:ascii="Times New Roman" w:cs="Times New Roman" w:eastAsia="Times New Roman" w:hAnsi="Times New Roman"/>
          <w:sz w:val="18"/>
          <w:szCs w:val="18"/>
          <w:color w:val="auto"/>
        </w:rPr>
        <w:t>We have limited experience manufacturing our products. We currently manufacture our instruments and reagents at our manufacturing facilities in Fremont, California, and Wuxi, China, and reagents at our facility in San Diego, California. To manufacture our products in the quantities that we believe will be required to meet the currently anticipated market demand beyond the next several years, we will need to increase manufacturing capacity, which will involve significant challenges and may require additional quality controls and regulatory approvals. We may not successfully complete any required increase to existing manufacturing capacity in a timely manner, or at all.</w:t>
      </w:r>
    </w:p>
    <w:p>
      <w:pPr>
        <w:spacing w:after="0" w:line="149" w:lineRule="exact"/>
        <w:rPr>
          <w:sz w:val="20"/>
          <w:szCs w:val="20"/>
          <w:color w:val="auto"/>
        </w:rPr>
      </w:pPr>
    </w:p>
    <w:p>
      <w:pPr>
        <w:jc w:val="both"/>
        <w:ind w:firstLine="578"/>
        <w:spacing w:after="0" w:line="262" w:lineRule="auto"/>
        <w:rPr>
          <w:sz w:val="20"/>
          <w:szCs w:val="20"/>
          <w:color w:val="auto"/>
        </w:rPr>
      </w:pPr>
      <w:r>
        <w:rPr>
          <w:rFonts w:ascii="Times New Roman" w:cs="Times New Roman" w:eastAsia="Times New Roman" w:hAnsi="Times New Roman"/>
          <w:sz w:val="18"/>
          <w:szCs w:val="18"/>
          <w:color w:val="auto"/>
        </w:rPr>
        <w:t>If there is a disruption to our manufacturing operations, we will have no other means of producing our products until we resolve such issues with our manufacturing facilities, develop alternative manufacturing facilities, or contract with third-party manufacturers capable of producing our products. Additionally, any damage to or destruction of our manufacturing facilities or equipment may significantly impair our ability to manufacture products on a timely basis. There may also be unforeseen occurrences that increase our costs, such as increased prices of the components of our products, changes to labor costs or less favorable terms with third-party suppliers. There can be no assurance that we will not encounter such problems in the future.</w:t>
      </w:r>
    </w:p>
    <w:p>
      <w:pPr>
        <w:spacing w:after="0" w:line="153" w:lineRule="exact"/>
        <w:rPr>
          <w:sz w:val="20"/>
          <w:szCs w:val="20"/>
          <w:color w:val="auto"/>
        </w:rPr>
      </w:pPr>
    </w:p>
    <w:p>
      <w:pPr>
        <w:jc w:val="both"/>
        <w:ind w:firstLine="578"/>
        <w:spacing w:after="0" w:line="266" w:lineRule="auto"/>
        <w:rPr>
          <w:sz w:val="20"/>
          <w:szCs w:val="20"/>
          <w:color w:val="auto"/>
        </w:rPr>
      </w:pPr>
      <w:r>
        <w:rPr>
          <w:rFonts w:ascii="Times New Roman" w:cs="Times New Roman" w:eastAsia="Times New Roman" w:hAnsi="Times New Roman"/>
          <w:sz w:val="18"/>
          <w:szCs w:val="18"/>
          <w:color w:val="auto"/>
        </w:rPr>
        <w:t>If we are unable to manufacture products consistently and in sufficient quantities to meet anticipated customer demand, our business, financial condition, results of operations and prospects would be harmed. As we continue to scale the commercial production of our products and increase our manufacturing capacity, we may encounter quality issues that could result in product defects, errors or recalls. Manufacturing delays related to quality control could negatively impact our ability to bring our products to market, harm our reputation and decrease our revenue. Any defects, errors or recalls could be expensive and generate negative publicity, which could impair our ability to market or sell our products, and adversely affect our results of operations.</w:t>
      </w:r>
    </w:p>
    <w:p>
      <w:pPr>
        <w:spacing w:after="0" w:line="149" w:lineRule="exact"/>
        <w:rPr>
          <w:sz w:val="20"/>
          <w:szCs w:val="20"/>
          <w:color w:val="auto"/>
        </w:rPr>
      </w:pPr>
    </w:p>
    <w:p>
      <w:pPr>
        <w:jc w:val="both"/>
        <w:ind w:firstLine="578"/>
        <w:spacing w:after="0" w:line="274" w:lineRule="auto"/>
        <w:rPr>
          <w:sz w:val="20"/>
          <w:szCs w:val="20"/>
          <w:color w:val="auto"/>
        </w:rPr>
      </w:pPr>
      <w:r>
        <w:rPr>
          <w:rFonts w:ascii="Times New Roman" w:cs="Times New Roman" w:eastAsia="Times New Roman" w:hAnsi="Times New Roman"/>
          <w:sz w:val="18"/>
          <w:szCs w:val="18"/>
          <w:color w:val="auto"/>
        </w:rPr>
        <w:t>In addition, the introduction of new products may require the development of new manufacturing sites, processes or procedures as well as new suppliers. Developing new processes and negotiating supply agreements can be very time consuming, and any unexpected difficulty in doing so could delay the introduction of a product.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46</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is dependent upon our ability to increase penetration in our existing markets and expand into adjacent markets.</w:t>
      </w:r>
    </w:p>
    <w:p>
      <w:pPr>
        <w:spacing w:after="0" w:line="97" w:lineRule="exact"/>
        <w:rPr>
          <w:sz w:val="20"/>
          <w:szCs w:val="20"/>
          <w:color w:val="auto"/>
        </w:rPr>
      </w:pPr>
    </w:p>
    <w:p>
      <w:pPr>
        <w:jc w:val="both"/>
        <w:ind w:firstLine="578"/>
        <w:spacing w:after="0" w:line="263" w:lineRule="auto"/>
        <w:rPr>
          <w:sz w:val="20"/>
          <w:szCs w:val="20"/>
          <w:color w:val="auto"/>
        </w:rPr>
      </w:pPr>
      <w:r>
        <w:rPr>
          <w:rFonts w:ascii="Times New Roman" w:cs="Times New Roman" w:eastAsia="Times New Roman" w:hAnsi="Times New Roman"/>
          <w:sz w:val="18"/>
          <w:szCs w:val="18"/>
          <w:color w:val="auto"/>
        </w:rPr>
        <w:t>Our customer base includes academic and government institutions, pharmaceutical and biotechnology companies, clinical research organizations and clinical laboratories focused on cell analysis. Approximately 38% and 45% of our revenue came from sales to academic and government-owned institutions and 62% and 55% of our revenue came from sales to pharmaceutical and biotechnology companies, distributors and CROs in the three months ended June 30, 2022 and 2021, respectively. Our success will depend upon our ability to increase our market penetration. We cannot guarantee that we will be able to further penetrate our existing markets or that these markets will be able to sustain our current and future product and service offerings. Any failure to increase penetration in our existing markets would adversely affect our ability to improve our operating results.</w:t>
      </w:r>
    </w:p>
    <w:p>
      <w:pPr>
        <w:spacing w:after="0" w:line="151" w:lineRule="exact"/>
        <w:rPr>
          <w:sz w:val="20"/>
          <w:szCs w:val="20"/>
          <w:color w:val="auto"/>
        </w:rPr>
      </w:pPr>
    </w:p>
    <w:p>
      <w:pPr>
        <w:jc w:val="both"/>
        <w:ind w:firstLine="578"/>
        <w:spacing w:after="0" w:line="262" w:lineRule="auto"/>
        <w:rPr>
          <w:sz w:val="20"/>
          <w:szCs w:val="20"/>
          <w:color w:val="auto"/>
        </w:rPr>
      </w:pPr>
      <w:r>
        <w:rPr>
          <w:rFonts w:ascii="Times New Roman" w:cs="Times New Roman" w:eastAsia="Times New Roman" w:hAnsi="Times New Roman"/>
          <w:sz w:val="18"/>
          <w:szCs w:val="18"/>
          <w:color w:val="auto"/>
        </w:rPr>
        <w:t xml:space="preserve">Our success will also depend on our ability to further expand into adjacent markets, such as immunotherapy, immuno-oncology, bio-processing, infectious diseases and immune-deficiencies, as well as areas outside of healthcare, such as marine biology and alternative biofuels and other environmental fields. For example, in the United States, our products are currently labeled and promoted, and are, and in the near-future are expected to continue to be, sold primarily to academic and research institutions and biopharmaceutical companies as research use only products for non-diagnostic and non-clinical purposes, and are not currently designed, or intended to be used, for clinical diagnostic tests. We plan to continue generating supporting publications and data, as well as pursue any required regulatory approvals for clinical use for our products in the United States. Our ability to penetrate the clinical markets in the United States will depend in part on our ability to receive 510(k) clearance,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or approval of a pre-market approval application from the FDA. Our failure to further expand in adjacent markets and attract new customers could adversely affect our ability to improve our operating results.</w:t>
      </w:r>
    </w:p>
    <w:p>
      <w:pPr>
        <w:spacing w:after="0" w:line="1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on adoption of our products by academic and government institutions, clinical research organizations, pharmaceutical companies and clinical laboratories for their research and development activities focused on cell analysis. If academic and government institutions, clinical research organizations, pharmaceutical companies and clinical laboratories are unwilling to change current practices to adopt our products, it will negatively affect our business, financial condition, prospects and results of operations.</w:t>
      </w:r>
    </w:p>
    <w:p>
      <w:pPr>
        <w:spacing w:after="0" w:line="66" w:lineRule="exact"/>
        <w:rPr>
          <w:sz w:val="20"/>
          <w:szCs w:val="20"/>
          <w:color w:val="auto"/>
        </w:rPr>
      </w:pPr>
    </w:p>
    <w:p>
      <w:pPr>
        <w:jc w:val="both"/>
        <w:ind w:firstLine="578"/>
        <w:spacing w:after="0" w:line="266" w:lineRule="auto"/>
        <w:rPr>
          <w:sz w:val="20"/>
          <w:szCs w:val="20"/>
          <w:color w:val="auto"/>
        </w:rPr>
      </w:pPr>
      <w:r>
        <w:rPr>
          <w:rFonts w:ascii="Times New Roman" w:cs="Times New Roman" w:eastAsia="Times New Roman" w:hAnsi="Times New Roman"/>
          <w:sz w:val="18"/>
          <w:szCs w:val="18"/>
          <w:color w:val="auto"/>
        </w:rPr>
        <w:t>Our primary strategy to grow our revenue is to take a stepwise approach to market our products across key stakeholders in flow cytometry and cell analysis, such as academic and government institutions, clinical research organizations, pharmaceutical companies and clinical laboratories. While the number of customers using our products has increased in recent years, many academic and government institutions, clinical research organizations, pharmaceutical companies and clinical laboratories have not yet adopted our products, and such institutions and companies may choose not to adopt our products for a number of reasons, including:</w:t>
      </w:r>
    </w:p>
    <w:p>
      <w:pPr>
        <w:spacing w:after="0" w:line="149" w:lineRule="exact"/>
        <w:rPr>
          <w:sz w:val="20"/>
          <w:szCs w:val="20"/>
          <w:color w:val="auto"/>
        </w:rPr>
      </w:pPr>
    </w:p>
    <w:p>
      <w:pPr>
        <w:ind w:left="102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recruiting or training of talented sales force in existing and new markets to facilitate outreach and further adoption and awareness of our products;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experience with our products for cell analysis;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inadequacy of evidence supporting benefits or cost-effectiveness of our products over existing alternatives;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risks generally associated with the use of new products and processes;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training required to use new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or delay in the research and development activities using our products as a result of the COVID-19 pandemic;</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products and alternatives;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other novel alternative products for cell analysis.</w:t>
      </w:r>
    </w:p>
    <w:p>
      <w:pPr>
        <w:spacing w:after="0" w:line="320" w:lineRule="exact"/>
        <w:rPr>
          <w:sz w:val="20"/>
          <w:szCs w:val="20"/>
          <w:color w:val="auto"/>
        </w:rPr>
      </w:pPr>
    </w:p>
    <w:p>
      <w:pPr>
        <w:jc w:val="both"/>
        <w:ind w:firstLine="578"/>
        <w:spacing w:after="0" w:line="266" w:lineRule="auto"/>
        <w:rPr>
          <w:sz w:val="20"/>
          <w:szCs w:val="20"/>
          <w:color w:val="auto"/>
        </w:rPr>
      </w:pPr>
      <w:r>
        <w:rPr>
          <w:rFonts w:ascii="Times New Roman" w:cs="Times New Roman" w:eastAsia="Times New Roman" w:hAnsi="Times New Roman"/>
          <w:sz w:val="18"/>
          <w:szCs w:val="18"/>
          <w:color w:val="auto"/>
        </w:rPr>
        <w:t>We believe that educating notable industry KOLs, representatives of academic and government institutions, clinical research organizations, pharmaceutical companies and clinical laboratories, about the merits and benefits of our products for flow cytometry and cell analysis is one of key elements of increasing the adoption of our products. If these institutions and companies do not adopt our products for any reason, including those listed above, our ability to execute our growth strategy will be impaired, and it will negatively affect our business, financial condition, prospects and results of operations.</w:t>
      </w:r>
    </w:p>
    <w:p>
      <w:pPr>
        <w:spacing w:after="0" w:line="14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currently depends significantly on research and development spending by academic and government-owned institutions, a reduction in which could limit demand for our solutions and adversely affect our business and operating results.</w:t>
      </w:r>
    </w:p>
    <w:p>
      <w:pPr>
        <w:spacing w:after="0" w:line="50" w:lineRule="exact"/>
        <w:rPr>
          <w:sz w:val="20"/>
          <w:szCs w:val="20"/>
          <w:color w:val="auto"/>
        </w:rPr>
      </w:pPr>
    </w:p>
    <w:p>
      <w:pPr>
        <w:jc w:val="both"/>
        <w:ind w:firstLine="578"/>
        <w:spacing w:after="0" w:line="274" w:lineRule="auto"/>
        <w:rPr>
          <w:sz w:val="20"/>
          <w:szCs w:val="20"/>
          <w:color w:val="auto"/>
        </w:rPr>
      </w:pPr>
      <w:r>
        <w:rPr>
          <w:rFonts w:ascii="Times New Roman" w:cs="Times New Roman" w:eastAsia="Times New Roman" w:hAnsi="Times New Roman"/>
          <w:sz w:val="18"/>
          <w:szCs w:val="18"/>
          <w:color w:val="auto"/>
        </w:rPr>
        <w:t>Approximately 38% and 45% of our revenue came from sales to academic and government-owned institutions in the three months ended June 30, 2022 and 2021, respectively. Much of their funding was, in turn, provided by various state, federal and foreign government agencies. In the near term, we expect that a large portion of our revenue will continue to be derived from sales to academic</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47</w:t>
      </w:r>
    </w:p>
    <w:p>
      <w:pPr>
        <w:spacing w:after="0" w:line="104"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and government-owned institutions. As a result, the demand for our solutions may depend upon the research and development budgets of these customers, which are impacted by factors beyond our control, such as:</w:t>
      </w:r>
    </w:p>
    <w:p>
      <w:pPr>
        <w:spacing w:after="0" w:line="122"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government funding of research and development, including as a result of the COVID-19 pandemic;</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programs that provide funding to research laboratories, hospitals and related institutions, including changes in the amount of funds allocated to different areas of research or changes that have the effect of increasing the length of the funding process;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and the political climate;</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scientists’ and customers’ opinions of the utility of new products or services;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budgetary cycles;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 product offerings or pricing;</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market-driven pressures to consolidate operations and reduce costs;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relatively new technologies, such as ours.</w:t>
      </w:r>
    </w:p>
    <w:p>
      <w:pPr>
        <w:spacing w:after="0" w:line="104" w:lineRule="exact"/>
        <w:rPr>
          <w:sz w:val="20"/>
          <w:szCs w:val="20"/>
          <w:color w:val="auto"/>
        </w:rPr>
      </w:pPr>
    </w:p>
    <w:p>
      <w:pPr>
        <w:jc w:val="both"/>
        <w:ind w:firstLine="578"/>
        <w:spacing w:after="0" w:line="261" w:lineRule="auto"/>
        <w:rPr>
          <w:sz w:val="20"/>
          <w:szCs w:val="20"/>
          <w:color w:val="auto"/>
        </w:rPr>
      </w:pPr>
      <w:r>
        <w:rPr>
          <w:rFonts w:ascii="Times New Roman" w:cs="Times New Roman" w:eastAsia="Times New Roman" w:hAnsi="Times New Roman"/>
          <w:sz w:val="18"/>
          <w:szCs w:val="18"/>
          <w:color w:val="auto"/>
        </w:rPr>
        <w:t>In addition, various state, federal and foreign agencies that provide grants and other funding may be subject to stringent budgetary constraints that could result in spending reductions, reduced grant making, reduced allocations or budget cutbacks, including as a result of negative or worsening conditions in the general economy, which could jeopardize the ability of these customers, or the customers to whom they provide funding, to purchase our solutions. For example, congressional appropriations to the National Institutes of Health (the “NIH”) have generally increased year-over-year in recent years, but the NIH also experiences occasional year-over-year decreases in appropriations. There is no guarantee that NIH appropriations will not decrease or halt in the future. A decrease in the amount or halt of, or delay in the approval of, appropriations to NIH or other similar United States or foreign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solutions. Our operating results may fluctuate substantially due to any such reductions and delays. Any decrease in our customers’ budgets or expenditures, or in the size, scope or frequency of their capital or operating expenditures, could materially and adversely affect our business, operating results and financial condition.</w:t>
      </w:r>
    </w:p>
    <w:p>
      <w:pPr>
        <w:spacing w:after="0" w:line="152" w:lineRule="exact"/>
        <w:rPr>
          <w:sz w:val="20"/>
          <w:szCs w:val="20"/>
          <w:color w:val="auto"/>
        </w:rPr>
      </w:pPr>
    </w:p>
    <w:p>
      <w:pPr>
        <w:jc w:val="both"/>
        <w:ind w:firstLine="36"/>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rely on distributors for sales of our products in certain geographies outside of the United States. If we are unable to secure additional distributors or maintain good relationships with our existing distributors, or if such distributors do not perform adequately or effectively, our business could suffer.</w:t>
      </w:r>
    </w:p>
    <w:p>
      <w:pPr>
        <w:spacing w:after="0" w:line="50" w:lineRule="exact"/>
        <w:rPr>
          <w:sz w:val="20"/>
          <w:szCs w:val="20"/>
          <w:color w:val="auto"/>
        </w:rPr>
      </w:pPr>
    </w:p>
    <w:p>
      <w:pPr>
        <w:jc w:val="both"/>
        <w:ind w:firstLine="578"/>
        <w:spacing w:after="0" w:line="266" w:lineRule="auto"/>
        <w:rPr>
          <w:sz w:val="20"/>
          <w:szCs w:val="20"/>
          <w:color w:val="auto"/>
        </w:rPr>
      </w:pPr>
      <w:r>
        <w:rPr>
          <w:rFonts w:ascii="Times New Roman" w:cs="Times New Roman" w:eastAsia="Times New Roman" w:hAnsi="Times New Roman"/>
          <w:sz w:val="18"/>
          <w:szCs w:val="18"/>
          <w:color w:val="auto"/>
        </w:rPr>
        <w:t>In addition to selling our products through our direct sales force and support organizations in North America, Europe, China, and several countries in the Asia-Pacific region, we sell our products through third-party distributors or sales agents in certain countries in Europe, Latin America, the Middle East and the Asia-Pacific region. If current or future distributors do not perform adequately or effectively or fail to obtain or maintain any required regulatory approvals, we may not realize long-term international revenue growth and our business, operating results and financial condition may be harmed. We have limited control over our distributors, which may not commit the necessary resources to market our products to the level of our expectations.</w:t>
      </w:r>
    </w:p>
    <w:p>
      <w:pPr>
        <w:spacing w:after="0" w:line="149" w:lineRule="exact"/>
        <w:rPr>
          <w:sz w:val="20"/>
          <w:szCs w:val="20"/>
          <w:color w:val="auto"/>
        </w:rPr>
      </w:pPr>
    </w:p>
    <w:p>
      <w:pPr>
        <w:jc w:val="both"/>
        <w:ind w:firstLine="578"/>
        <w:spacing w:after="0" w:line="266" w:lineRule="auto"/>
        <w:rPr>
          <w:sz w:val="20"/>
          <w:szCs w:val="20"/>
          <w:color w:val="auto"/>
        </w:rPr>
      </w:pPr>
      <w:r>
        <w:rPr>
          <w:rFonts w:ascii="Times New Roman" w:cs="Times New Roman" w:eastAsia="Times New Roman" w:hAnsi="Times New Roman"/>
          <w:sz w:val="18"/>
          <w:szCs w:val="18"/>
          <w:color w:val="auto"/>
        </w:rPr>
        <w:t>We intend to continue to grow our business internationally and to do so we may choose to partner with additional distributors to maximize the commercial opportunity for our products. There is no guarantee that we will be successful in attracting or retaining desirable sales and distribution partners or that we will be able to enter into such arrangements on favorable terms, which could affect our ability to expand into or further penetrate certain geographies and adversely impact our business, operating results and financial condition.</w:t>
      </w:r>
    </w:p>
    <w:p>
      <w:pPr>
        <w:spacing w:after="0" w:line="14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International operations and expansion of our international business exposes us to business, regulatory, political, operational, financial and economic risks associated with doing business outside of the United States.</w:t>
      </w:r>
    </w:p>
    <w:p>
      <w:pPr>
        <w:spacing w:after="0" w:line="63" w:lineRule="exact"/>
        <w:rPr>
          <w:sz w:val="20"/>
          <w:szCs w:val="20"/>
          <w:color w:val="auto"/>
        </w:rPr>
      </w:pPr>
    </w:p>
    <w:p>
      <w:pPr>
        <w:jc w:val="both"/>
        <w:ind w:firstLine="578"/>
        <w:spacing w:after="0" w:line="266" w:lineRule="auto"/>
        <w:rPr>
          <w:sz w:val="20"/>
          <w:szCs w:val="20"/>
          <w:color w:val="auto"/>
        </w:rPr>
      </w:pPr>
      <w:r>
        <w:rPr>
          <w:rFonts w:ascii="Times New Roman" w:cs="Times New Roman" w:eastAsia="Times New Roman" w:hAnsi="Times New Roman"/>
          <w:sz w:val="18"/>
          <w:szCs w:val="18"/>
          <w:color w:val="auto"/>
        </w:rPr>
        <w:t>We currently have significant international operations and our business strategy incorporates further international expansion. We currently maintain relationships with distributors and suppliers outside of the United States and may in the future enter into new distributor and supplier relationships outside of the United States. In addition, we currently have manufacturing operations in both the United States and China. Doing business internationally involves a number of risks, including:</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48</w:t>
      </w:r>
    </w:p>
    <w:p>
      <w:pPr>
        <w:spacing w:after="0" w:line="104" w:lineRule="exact"/>
        <w:rPr>
          <w:sz w:val="20"/>
          <w:szCs w:val="20"/>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privacy regulations, tax laws, export and import restrictions, tariffs, economic sanctions and embargoes, employment laws, regulatory requirements and other governmental approvals, permits and licenses;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or our distributors to obtain approvals to conduct our business in various countries;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intellectual property protection, enforcing our intellectual property and defending against third party intellectual property claims;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regulations associated with shipping systems and parts and components for our products, as well as transportation delays;</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restrictions that limit the ability of marketing, presales, sales, services and support teams to service customers, including those resulting from the COVID-19 pandemic;</w:t>
      </w:r>
    </w:p>
    <w:p>
      <w:pPr>
        <w:spacing w:after="0" w:line="5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disputes that could result in tariffs and other protective measures;</w:t>
      </w:r>
    </w:p>
    <w:p>
      <w:pPr>
        <w:spacing w:after="0" w:line="10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and political unrest such as the ongoing war in Ukraine, outbreak of disease, boycotts, curtailment of trade and other business restrictions; and</w:t>
      </w:r>
    </w:p>
    <w:p>
      <w:pPr>
        <w:spacing w:after="0" w:line="40"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sales and distributors’ activities that may fall within the purview of the U.S. Foreign Corrupt Practices Act (the “FCPA”), its books and records provisions, or its anti-bribery provisions.</w:t>
      </w:r>
    </w:p>
    <w:p>
      <w:pPr>
        <w:spacing w:after="0" w:line="68" w:lineRule="exact"/>
        <w:rPr>
          <w:sz w:val="20"/>
          <w:szCs w:val="20"/>
          <w:color w:val="auto"/>
        </w:rPr>
      </w:pPr>
    </w:p>
    <w:p>
      <w:pPr>
        <w:jc w:val="both"/>
        <w:ind w:firstLine="578"/>
        <w:spacing w:after="0" w:line="266" w:lineRule="auto"/>
        <w:rPr>
          <w:sz w:val="20"/>
          <w:szCs w:val="20"/>
          <w:color w:val="auto"/>
        </w:rPr>
      </w:pPr>
      <w:r>
        <w:rPr>
          <w:rFonts w:ascii="Times New Roman" w:cs="Times New Roman" w:eastAsia="Times New Roman" w:hAnsi="Times New Roman"/>
          <w:sz w:val="18"/>
          <w:szCs w:val="18"/>
          <w:color w:val="auto"/>
        </w:rPr>
        <w:t>Any of these factors could significantly harm our future international expansion and operations and, consequently, our business, financial condition, results of operations and prospects. In addition, certain international markets are subject to significant political and economic uncertainty, including, for example, the effect of the withdrawal of the United Kingdom from the European Union. Significant political and economic developments in international markets in which we currently or intend to operate, or the perception that any of them could occur, creates further challenges for operating in these markets in addition to creating instability in global economic conditions.</w:t>
      </w:r>
    </w:p>
    <w:p>
      <w:pPr>
        <w:spacing w:after="0" w:line="14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market for cell analysis technologies and life sciences tools, including flow cytometry, is highly competitive, and if we cannot compete successfully with our competitors, we may be unable to increase or sustain our revenue, or achieve and sustain profitability.</w:t>
      </w:r>
    </w:p>
    <w:p>
      <w:pPr>
        <w:spacing w:after="0" w:line="50" w:lineRule="exact"/>
        <w:rPr>
          <w:sz w:val="20"/>
          <w:szCs w:val="20"/>
          <w:color w:val="auto"/>
        </w:rPr>
      </w:pPr>
    </w:p>
    <w:p>
      <w:pPr>
        <w:jc w:val="both"/>
        <w:ind w:firstLine="578"/>
        <w:spacing w:after="0" w:line="260" w:lineRule="auto"/>
        <w:rPr>
          <w:sz w:val="20"/>
          <w:szCs w:val="20"/>
          <w:color w:val="auto"/>
        </w:rPr>
      </w:pPr>
      <w:r>
        <w:rPr>
          <w:rFonts w:ascii="Times New Roman" w:cs="Times New Roman" w:eastAsia="Times New Roman" w:hAnsi="Times New Roman"/>
          <w:sz w:val="18"/>
          <w:szCs w:val="18"/>
          <w:color w:val="auto"/>
        </w:rPr>
        <w:t>We face significant competition in the cell analysis and life sciences tools markets. We currently compete with both established and early stage life sciences technology companies that design, manufacture and market conventional flow cytometry (“CFCs”), spectral flow cytometry and mass cytometry instruments, consumables and software for cell analysis and/or provide services related to the same. An increasing number of applications for cell analysis, and more particularly flow cytometry, is leading to more companies offering competitive products and services. Our competitors include Agilent Technologies, Beckman Coulter (Danaher Corporation), Becton, Dickinson and Company (“BD”), Bio-Rad Laboratories, Standard BioTools Inc., Miltenyi Biotec, Sony Biotechnology (Sony Corporation), and Thermo Fisher Scientific. Our target customers may also elect to develop their workflows using other technologies rather than implementing our platform or existing customers may decide to stop using our platform. In addition, there are many large, established companies in the life sciences tools market that could develop instruments or other products that will compete with us in the future. These large, established companies have substantially greater financial and other resources than us, including larger research and development staff or more established marketing and sales forces.</w:t>
      </w:r>
    </w:p>
    <w:p>
      <w:pPr>
        <w:spacing w:after="0" w:line="1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Our competitors and potential competitors may enjoy a number of competitive advantages over us, including:</w:t>
      </w:r>
    </w:p>
    <w:p>
      <w:pPr>
        <w:spacing w:after="0" w:line="198"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operating histories;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customer bases;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brand recognition and market penetration;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resources and capabilities;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technological and research and development resources;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intellectual property portfolios;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49</w:t>
      </w:r>
    </w:p>
    <w:p>
      <w:pPr>
        <w:spacing w:after="0" w:line="104"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system reliability and robustness;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selling and marketing capabilities;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established, larger scale and lower cost manufacturing capabilities.</w:t>
      </w:r>
    </w:p>
    <w:p>
      <w:pPr>
        <w:spacing w:after="0" w:line="104" w:lineRule="exact"/>
        <w:rPr>
          <w:sz w:val="20"/>
          <w:szCs w:val="20"/>
          <w:color w:val="auto"/>
        </w:rPr>
      </w:pPr>
    </w:p>
    <w:p>
      <w:pPr>
        <w:jc w:val="both"/>
        <w:ind w:firstLine="578"/>
        <w:spacing w:after="0" w:line="263" w:lineRule="auto"/>
        <w:rPr>
          <w:sz w:val="20"/>
          <w:szCs w:val="20"/>
          <w:color w:val="auto"/>
        </w:rPr>
      </w:pPr>
      <w:r>
        <w:rPr>
          <w:rFonts w:ascii="Times New Roman" w:cs="Times New Roman" w:eastAsia="Times New Roman" w:hAnsi="Times New Roman"/>
          <w:sz w:val="18"/>
          <w:szCs w:val="18"/>
          <w:color w:val="auto"/>
        </w:rPr>
        <w:t>In addition, competitors may be acquired by, receive investments from or enter into other commercial relationships with larger, well-established and well-financed companies. Our competitors and potential competitors may be able to respond more quickly to changes in customer requirements, devote greater resources to the development, promotion and sale of their products and services than we can, secure key components from suppliers on more favorable terms, adopt more aggressive pricing policies or sell their products or offer services competitive with our products at prices and margins designed to win significant levels of market share. We may not be able to compete effectively against these organizations. If we are unable to compete successfully against current and future competitors, we may be unable to increase market adoption and sales of our products, which could negatively impact our business, financial condition, results of operations and prospects.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develop and successfully introduce new and enhanced products that meet the needs of our customers.</w:t>
      </w:r>
    </w:p>
    <w:p>
      <w:pPr>
        <w:spacing w:after="0" w:line="108" w:lineRule="exact"/>
        <w:rPr>
          <w:sz w:val="20"/>
          <w:szCs w:val="20"/>
          <w:color w:val="auto"/>
        </w:rPr>
      </w:pPr>
    </w:p>
    <w:p>
      <w:pPr>
        <w:jc w:val="both"/>
        <w:ind w:firstLine="578"/>
        <w:spacing w:after="0" w:line="271" w:lineRule="auto"/>
        <w:rPr>
          <w:sz w:val="20"/>
          <w:szCs w:val="20"/>
          <w:color w:val="auto"/>
        </w:rPr>
      </w:pPr>
      <w:r>
        <w:rPr>
          <w:rFonts w:ascii="Times New Roman" w:cs="Times New Roman" w:eastAsia="Times New Roman" w:hAnsi="Times New Roman"/>
          <w:sz w:val="18"/>
          <w:szCs w:val="18"/>
          <w:color w:val="auto"/>
        </w:rPr>
        <w:t>Our current products include instruments, consumables and services to advance high-content and high-sensitivity cell analysis by utilizing our full spectrum profiling (“FSP”) technology. We cannot assure you that the market for our current products will continue to generate significant or consistent demand. Demand for our current products could be significantly diminished by competitive technologies or products that replace them or render them obsolete or less desirable. Accordingly, we must continue to invest in research and development to develop competitive products and enabling services.</w:t>
      </w:r>
    </w:p>
    <w:p>
      <w:pPr>
        <w:spacing w:after="0" w:line="145" w:lineRule="exact"/>
        <w:rPr>
          <w:sz w:val="20"/>
          <w:szCs w:val="20"/>
          <w:color w:val="auto"/>
        </w:rPr>
      </w:pPr>
    </w:p>
    <w:p>
      <w:pPr>
        <w:jc w:val="both"/>
        <w:ind w:firstLine="578"/>
        <w:spacing w:after="0" w:line="266" w:lineRule="auto"/>
        <w:rPr>
          <w:sz w:val="20"/>
          <w:szCs w:val="20"/>
          <w:color w:val="auto"/>
        </w:rPr>
      </w:pPr>
      <w:r>
        <w:rPr>
          <w:rFonts w:ascii="Times New Roman" w:cs="Times New Roman" w:eastAsia="Times New Roman" w:hAnsi="Times New Roman"/>
          <w:sz w:val="18"/>
          <w:szCs w:val="18"/>
          <w:color w:val="auto"/>
        </w:rPr>
        <w:t>Our future success depends on our ability to anticipate our customers’ needs and develop new products and enhance current products and services to address those needs. Introduction of new products and product enhancements will require that we effectively transfer production processes from research and development to manufacturing and coordinate our efforts with those of our suppliers to achieve the desired level of production. If we fail to transfer production processes effectively, develop product enhancements or introduce new products or enabling services in sufficient quantities to meet the needs of our customers, or effectively coordinate with our suppliers, our net sales may be reduced and our business would be harmed.</w:t>
      </w:r>
    </w:p>
    <w:p>
      <w:pPr>
        <w:spacing w:after="0" w:line="149" w:lineRule="exact"/>
        <w:rPr>
          <w:sz w:val="20"/>
          <w:szCs w:val="20"/>
          <w:color w:val="auto"/>
        </w:rPr>
      </w:pPr>
    </w:p>
    <w:p>
      <w:pPr>
        <w:jc w:val="both"/>
        <w:ind w:firstLine="578"/>
        <w:spacing w:after="0" w:line="266" w:lineRule="auto"/>
        <w:rPr>
          <w:sz w:val="20"/>
          <w:szCs w:val="20"/>
          <w:color w:val="auto"/>
        </w:rPr>
      </w:pPr>
      <w:r>
        <w:rPr>
          <w:rFonts w:ascii="Times New Roman" w:cs="Times New Roman" w:eastAsia="Times New Roman" w:hAnsi="Times New Roman"/>
          <w:sz w:val="18"/>
          <w:szCs w:val="18"/>
          <w:color w:val="auto"/>
        </w:rPr>
        <w:t>The commercial success of all of our products and services will depend upon their acceptance by the life sciences and biopharmaceutical industries. Some of the products and services that we are developing are based upon new technologies or approaches. As a result, there can be no assurance that these new products and services, even if successfully developed and introduced, will be accepted by customers. If customers do not adopt our new products, services and technologies, our results of operations may suffer and, as a result, the market price of our common stock may decline.</w:t>
      </w:r>
    </w:p>
    <w:p>
      <w:pPr>
        <w:spacing w:after="0" w:line="14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develop new products, adapt to rapid and significant technological change, respond to introductions of new products by competitors, make strategic and operational decisions to prioritize certain markets, technology offerings or partnerships, and develop and capitalize on markets, technologies or partnerships, our business could suffer.</w:t>
      </w:r>
    </w:p>
    <w:p>
      <w:pPr>
        <w:spacing w:after="0" w:line="60" w:lineRule="exact"/>
        <w:rPr>
          <w:sz w:val="20"/>
          <w:szCs w:val="20"/>
          <w:color w:val="auto"/>
        </w:rPr>
      </w:pPr>
    </w:p>
    <w:p>
      <w:pPr>
        <w:jc w:val="both"/>
        <w:ind w:firstLine="578"/>
        <w:spacing w:after="0" w:line="261" w:lineRule="auto"/>
        <w:rPr>
          <w:sz w:val="20"/>
          <w:szCs w:val="20"/>
          <w:color w:val="auto"/>
        </w:rPr>
      </w:pPr>
      <w:r>
        <w:rPr>
          <w:rFonts w:ascii="Times New Roman" w:cs="Times New Roman" w:eastAsia="Times New Roman" w:hAnsi="Times New Roman"/>
          <w:sz w:val="18"/>
          <w:szCs w:val="18"/>
          <w:color w:val="auto"/>
        </w:rPr>
        <w:t>We currently sell our products primarily in the cell analysis market, which is characterized by significant enhancements and evolving industry and regulatory standards. As a result, our customers’ needs are rapidly evolving. If we do not appropriately innovate and offer our customers comprehensive solutions and otherwise invest in new technologies, our offerings may become less desirable in the markets we serve, and our customers could move to new technologies offered by our competitors or make products themselves. Without the timely introduction of new instruments, consumables, software, services and enhancements, our offerings may become less competitive over time, in which case our competitive position and operating results could suffer. Accordingly, we focus significant efforts and resources on the development and identification of new products and applications to further drive adoption of our platform. To the extent we fail to timely introduce new and innovative products, offer enhancements to our existing products, adequately predict our customers’ needs or fail to obtain desired levels of market acceptance, our business may suffer and our operating results could be adversely affected.</w:t>
      </w:r>
    </w:p>
    <w:p>
      <w:pPr>
        <w:spacing w:after="0" w:line="157" w:lineRule="exact"/>
        <w:rPr>
          <w:sz w:val="20"/>
          <w:szCs w:val="20"/>
          <w:color w:val="auto"/>
        </w:rPr>
      </w:pPr>
    </w:p>
    <w:p>
      <w:pPr>
        <w:jc w:val="both"/>
        <w:ind w:firstLine="578"/>
        <w:spacing w:after="0" w:line="263" w:lineRule="auto"/>
        <w:rPr>
          <w:sz w:val="20"/>
          <w:szCs w:val="20"/>
          <w:color w:val="auto"/>
        </w:rPr>
      </w:pPr>
      <w:r>
        <w:rPr>
          <w:rFonts w:ascii="Times New Roman" w:cs="Times New Roman" w:eastAsia="Times New Roman" w:hAnsi="Times New Roman"/>
          <w:sz w:val="18"/>
          <w:szCs w:val="18"/>
          <w:color w:val="auto"/>
        </w:rPr>
        <w:t>We believe our products have potential applications across a wide range of markets and we have targeted certain markets in which we believe our technology has significant advantages, or for which we believe we have a higher probability of success or revenue opportunity. For example, we are committed to developing our platform’s applications within the clinical market, and in particular, within disease detection, diagnosis, and treatment monitoring. We seek to maintain a process of prioritization and resource allocation among our programs to maintain a balance between advancing near-term opportunities and exploring additional markets and use cases for our technology. However, due to the significant resources required for the development of products or services for new markets, we must make decisions on which markets to pursue and the amount of resources to allocate to each. Our decisions concerning the allocation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50</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research, development, collaboration, management and financial resources toward particular markets, products or services may not lead to the development of any viable products or services and may divert resources away from better opportunities. Similarly, our potential decisions to delay, terminate or collaborate with third parties in respect of certain markets may subsequently also prove to be suboptimal and could cause us to miss valuable opportunities. In particular, if we are unable to accelerate adoption of our FSP solutions, it could slow or stop our business growth and negatively impact our business, financial condition, results of operations and prospects.</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product development involves a lengthy and complex process and we may be unable to develop or commercialize products on a timely basis, or at all.</w:t>
      </w:r>
    </w:p>
    <w:p>
      <w:pPr>
        <w:spacing w:after="0" w:line="37" w:lineRule="exact"/>
        <w:rPr>
          <w:sz w:val="20"/>
          <w:szCs w:val="20"/>
          <w:color w:val="auto"/>
        </w:rPr>
      </w:pPr>
    </w:p>
    <w:p>
      <w:pPr>
        <w:jc w:val="both"/>
        <w:ind w:firstLine="578"/>
        <w:spacing w:after="0" w:line="266" w:lineRule="auto"/>
        <w:rPr>
          <w:sz w:val="20"/>
          <w:szCs w:val="20"/>
          <w:color w:val="auto"/>
        </w:rPr>
      </w:pPr>
      <w:r>
        <w:rPr>
          <w:rFonts w:ascii="Times New Roman" w:cs="Times New Roman" w:eastAsia="Times New Roman" w:hAnsi="Times New Roman"/>
          <w:sz w:val="18"/>
          <w:szCs w:val="18"/>
          <w:color w:val="auto"/>
        </w:rPr>
        <w:t>Products from our research and development programs will take time and considerable resources to develop, and may include improvements or changes to our current products, and we may not be able to complete development and commercialization of new or enhanced products on a timely basis, or at all. There can be no assurance that our research and development efforts will produce commercially viable products and solutions and before we can commercialize any new products, we will need to expend significant funds to, for example:</w:t>
      </w:r>
    </w:p>
    <w:p>
      <w:pPr>
        <w:spacing w:after="0" w:line="149"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substantial research and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necessary regulatory approval;</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scale our laboratory, engineering and manufacturing processes to accommodate different products;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and enter into agreements with new suppliers;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scale our infrastructure.</w:t>
      </w:r>
    </w:p>
    <w:p>
      <w:pPr>
        <w:spacing w:after="0" w:line="117" w:lineRule="exact"/>
        <w:rPr>
          <w:sz w:val="20"/>
          <w:szCs w:val="20"/>
          <w:color w:val="auto"/>
        </w:rPr>
      </w:pPr>
    </w:p>
    <w:p>
      <w:pPr>
        <w:jc w:val="both"/>
        <w:ind w:firstLine="578"/>
        <w:spacing w:after="0" w:line="282" w:lineRule="auto"/>
        <w:rPr>
          <w:sz w:val="20"/>
          <w:szCs w:val="20"/>
          <w:color w:val="auto"/>
        </w:rPr>
      </w:pPr>
      <w:r>
        <w:rPr>
          <w:rFonts w:ascii="Times New Roman" w:cs="Times New Roman" w:eastAsia="Times New Roman" w:hAnsi="Times New Roman"/>
          <w:sz w:val="18"/>
          <w:szCs w:val="18"/>
          <w:color w:val="auto"/>
        </w:rPr>
        <w:t>Our product development processes involve a high degree of risk, and these efforts may be delayed or fail for many reasons, including failure of the product to perform as expected and failure to reliably demonstrate the advantages of the product.</w:t>
      </w:r>
    </w:p>
    <w:p>
      <w:pPr>
        <w:spacing w:after="0" w:line="135" w:lineRule="exact"/>
        <w:rPr>
          <w:sz w:val="20"/>
          <w:szCs w:val="20"/>
          <w:color w:val="auto"/>
        </w:rPr>
      </w:pPr>
    </w:p>
    <w:p>
      <w:pPr>
        <w:jc w:val="both"/>
        <w:ind w:firstLine="578"/>
        <w:spacing w:after="0" w:line="274" w:lineRule="auto"/>
        <w:rPr>
          <w:sz w:val="20"/>
          <w:szCs w:val="20"/>
          <w:color w:val="auto"/>
        </w:rPr>
      </w:pPr>
      <w:r>
        <w:rPr>
          <w:rFonts w:ascii="Times New Roman" w:cs="Times New Roman" w:eastAsia="Times New Roman" w:hAnsi="Times New Roman"/>
          <w:sz w:val="18"/>
          <w:szCs w:val="18"/>
          <w:color w:val="auto"/>
        </w:rPr>
        <w:t>Even if we are successful in developing new products, it will require us to make significant additional investments in marketing and selling resources to commercialize any such products. As a result, we may be unsuccessful in commercializing new products that we develop, which could adversely affect our business, financial condition, results of operations and prospects.</w:t>
      </w:r>
    </w:p>
    <w:p>
      <w:pPr>
        <w:spacing w:after="0" w:line="1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FSP systems are complex in design and may contain defects that are not detected until deployed by our customers, which could increase our costs and reduce our net sales. If our products do not perform as expected or the reliability of the technology on which our products and services are based is questioned, our operating results, reputation and business will suffer.</w:t>
      </w:r>
    </w:p>
    <w:p>
      <w:pPr>
        <w:spacing w:after="0" w:line="60" w:lineRule="exact"/>
        <w:rPr>
          <w:sz w:val="20"/>
          <w:szCs w:val="20"/>
          <w:color w:val="auto"/>
        </w:rPr>
      </w:pPr>
    </w:p>
    <w:p>
      <w:pPr>
        <w:jc w:val="both"/>
        <w:ind w:firstLine="578"/>
        <w:spacing w:after="0" w:line="260" w:lineRule="auto"/>
        <w:rPr>
          <w:sz w:val="20"/>
          <w:szCs w:val="20"/>
          <w:color w:val="auto"/>
        </w:rPr>
      </w:pPr>
      <w:r>
        <w:rPr>
          <w:rFonts w:ascii="Times New Roman" w:cs="Times New Roman" w:eastAsia="Times New Roman" w:hAnsi="Times New Roman"/>
          <w:sz w:val="18"/>
          <w:szCs w:val="18"/>
          <w:color w:val="auto"/>
        </w:rPr>
        <w:t>Our success depends on our ability to provide reliable, high quality products that enable high-content and high-sensitivity cell analysis through flexible, efficient and cost-effective solutions. Our FSP systems are complex in design and involve a highly complex and precise manufacturing process. As a result of the technological complexity of our systems, changes in our or our suppliers’ manufacturing processes or the inadvertent use of defective materials by us or our suppliers could result in an adverse effect on our ability to achieve acceptable manufacturing yields and product reliability. To the extent that we do not achieve and maintain our projected yields or product reliability, our business, operating results, financial condition and customer relationships would be adversely affected. We provide warranties on a majority of our product sales, and reserves for estimated warranty costs are recorded during the period of sale. The determination of such reserves requires us to make estimates of failure rates and expected costs to repair or replace the products under warranty. We typically establish warranty reserves based on historical warranty costs for each product line. If actual repair and replacement costs differ significantly from our estimates, adjustments to cost of sales may be required in future periods which could have an adverse effect on our results of operations.</w:t>
      </w:r>
    </w:p>
    <w:p>
      <w:pPr>
        <w:spacing w:after="0" w:line="161" w:lineRule="exact"/>
        <w:rPr>
          <w:sz w:val="20"/>
          <w:szCs w:val="20"/>
          <w:color w:val="auto"/>
        </w:rPr>
      </w:pPr>
    </w:p>
    <w:p>
      <w:pPr>
        <w:jc w:val="both"/>
        <w:ind w:firstLine="578"/>
        <w:spacing w:after="0" w:line="274" w:lineRule="auto"/>
        <w:rPr>
          <w:sz w:val="20"/>
          <w:szCs w:val="20"/>
          <w:color w:val="auto"/>
        </w:rPr>
      </w:pPr>
      <w:r>
        <w:rPr>
          <w:rFonts w:ascii="Times New Roman" w:cs="Times New Roman" w:eastAsia="Times New Roman" w:hAnsi="Times New Roman"/>
          <w:sz w:val="18"/>
          <w:szCs w:val="18"/>
          <w:color w:val="auto"/>
        </w:rPr>
        <w:t>Our customers may discover defects in our products after the products have been fully installed and operated. In addition, some of our products include components from other vendors, which may contain defects. As a result, should problems occur, it may be difficult to identify the source of the problem. If we are unable to identify and fix defects or other problems, we could experience, among other things:</w:t>
      </w:r>
    </w:p>
    <w:p>
      <w:pPr>
        <w:spacing w:after="0" w:line="142"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customers or orders;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of warranty expenses;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 reputation;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new customers;</w:t>
      </w:r>
    </w:p>
    <w:p>
      <w:pPr>
        <w:spacing w:after="0" w:line="117" w:lineRule="exact"/>
        <w:rPr>
          <w:rFonts w:ascii="Times New Roman" w:cs="Times New Roman" w:eastAsia="Times New Roman" w:hAnsi="Times New Roman"/>
          <w:sz w:val="18"/>
          <w:szCs w:val="18"/>
          <w:color w:val="auto"/>
        </w:rPr>
      </w:pPr>
    </w:p>
    <w:p>
      <w:pPr>
        <w:ind w:left="5540" w:right="5260" w:hanging="5023"/>
        <w:spacing w:after="0" w:line="359" w:lineRule="auto"/>
        <w:tabs>
          <w:tab w:leader="none" w:pos="1032"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development, engineering and manufacturing resources;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233045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51</w:t>
      </w:r>
    </w:p>
    <w:p>
      <w:pPr>
        <w:spacing w:after="0" w:line="104"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by governmental authorities;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actions by our customers.</w:t>
      </w:r>
    </w:p>
    <w:p>
      <w:pPr>
        <w:spacing w:after="0" w:line="171" w:lineRule="exact"/>
        <w:rPr>
          <w:sz w:val="20"/>
          <w:szCs w:val="20"/>
          <w:color w:val="auto"/>
        </w:rPr>
      </w:pPr>
    </w:p>
    <w:p>
      <w:pPr>
        <w:jc w:val="both"/>
        <w:ind w:firstLine="578"/>
        <w:spacing w:after="0" w:line="266" w:lineRule="auto"/>
        <w:rPr>
          <w:sz w:val="20"/>
          <w:szCs w:val="20"/>
          <w:color w:val="auto"/>
        </w:rPr>
      </w:pPr>
      <w:r>
        <w:rPr>
          <w:rFonts w:ascii="Times New Roman" w:cs="Times New Roman" w:eastAsia="Times New Roman" w:hAnsi="Times New Roman"/>
          <w:sz w:val="18"/>
          <w:szCs w:val="18"/>
          <w:color w:val="auto"/>
        </w:rPr>
        <w:t>We believe that customers in our target markets are likely to be particularly sensitive to product defects and errors. Our reputation and the public image of our products, services and technologies may be impaired if our products or services fail to perform as expected. If our products do not perform, or are perceived to not have performed, as expected or favorably in comparison to competitive products, our operating results, reputation, and business will suffer, and we may also be subject to legal claims arising from product limitations, errors, or inaccuracies. Any of the foregoing could have an adverse effect on our business, financial condition and results of operations.</w:t>
      </w:r>
    </w:p>
    <w:p>
      <w:pPr>
        <w:spacing w:after="0" w:line="149" w:lineRule="exact"/>
        <w:rPr>
          <w:sz w:val="20"/>
          <w:szCs w:val="20"/>
          <w:color w:val="auto"/>
        </w:rPr>
      </w:pPr>
    </w:p>
    <w:p>
      <w:pPr>
        <w:jc w:val="both"/>
        <w:ind w:firstLine="578"/>
        <w:spacing w:after="0" w:line="266" w:lineRule="auto"/>
        <w:rPr>
          <w:sz w:val="20"/>
          <w:szCs w:val="20"/>
          <w:color w:val="auto"/>
        </w:rPr>
      </w:pPr>
      <w:r>
        <w:rPr>
          <w:rFonts w:ascii="Times New Roman" w:cs="Times New Roman" w:eastAsia="Times New Roman" w:hAnsi="Times New Roman"/>
          <w:sz w:val="18"/>
          <w:szCs w:val="18"/>
          <w:color w:val="auto"/>
        </w:rPr>
        <w:t>Although our products are tested prior to shipment, defects or errors could nonetheless occur. Our operating results depend on our ability to execute and, when necessary, improve our quality management strategy and systems and our ability to effectively train and maintain our employee base with respect to quality management. A failure of our quality control systems could result in problems with facility operations or preparation or provision of products. In each case, such problems could arise for a variety of reasons, including equipment malfunction, failure to follow specific protocols and procedures, problems with raw materials or environmental factors and damage to, or loss of, manufacturing operations.</w:t>
      </w:r>
    </w:p>
    <w:p>
      <w:pPr>
        <w:spacing w:after="0" w:line="149" w:lineRule="exact"/>
        <w:rPr>
          <w:sz w:val="20"/>
          <w:szCs w:val="20"/>
          <w:color w:val="auto"/>
        </w:rPr>
      </w:pPr>
    </w:p>
    <w:p>
      <w:pPr>
        <w:jc w:val="both"/>
        <w:ind w:firstLine="578"/>
        <w:spacing w:after="0" w:line="263" w:lineRule="auto"/>
        <w:rPr>
          <w:sz w:val="20"/>
          <w:szCs w:val="20"/>
          <w:color w:val="auto"/>
        </w:rPr>
      </w:pPr>
      <w:r>
        <w:rPr>
          <w:rFonts w:ascii="Times New Roman" w:cs="Times New Roman" w:eastAsia="Times New Roman" w:hAnsi="Times New Roman"/>
          <w:sz w:val="18"/>
          <w:szCs w:val="18"/>
          <w:color w:val="auto"/>
        </w:rPr>
        <w:t>We provide a one-year assurance-type warranty on our instruments. Existing and future warranties place us at the risk of incurring future repair and/or replacement costs. At the time revenue is recognized, we establish an accrual for estimated warranty expenses based on historical data and trends of product reliability and costs of repairing and replacing defective products. We exercise judgment in estimating the expected product warranty costs, using data such as the actual and projected product failure rates, estimated repair costs, freight, material, labor and overhead costs. While we believe that historical experience provides a reliable basis for estimating such warranty cost, unforeseen quality issues or component failure rates could result in future costs in excess of such estimates, or alternatively, improved quality and reliability in our products and consumables could result in actual expenses that are below those currently estimated. As of June 30, 2022, we had accrued approximately $1.8 million in expenses relating to product warranty accruals. Substantial amounts of warranty claims could have an adverse effect on our business, financial condition and results of operations.</w:t>
      </w:r>
    </w:p>
    <w:p>
      <w:pPr>
        <w:spacing w:after="0" w:line="156" w:lineRule="exact"/>
        <w:rPr>
          <w:sz w:val="20"/>
          <w:szCs w:val="20"/>
          <w:color w:val="auto"/>
        </w:rPr>
      </w:pPr>
    </w:p>
    <w:p>
      <w:pPr>
        <w:jc w:val="both"/>
        <w:ind w:firstLine="578"/>
        <w:spacing w:after="0" w:line="266" w:lineRule="auto"/>
        <w:rPr>
          <w:sz w:val="20"/>
          <w:szCs w:val="20"/>
          <w:color w:val="auto"/>
        </w:rPr>
      </w:pPr>
      <w:r>
        <w:rPr>
          <w:rFonts w:ascii="Times New Roman" w:cs="Times New Roman" w:eastAsia="Times New Roman" w:hAnsi="Times New Roman"/>
          <w:sz w:val="18"/>
          <w:szCs w:val="18"/>
          <w:color w:val="auto"/>
        </w:rPr>
        <w:t>Even after any underlying concerns or problems are resolved, any lingering concerns in our target markets regarding our technology or any manufacturing defects or performance errors in our products or services could continue to result in lost revenue, delayed market acceptance, damage to our reputation and claims against us.</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Shipping is a critical part of our business and any changes in our shipping arrangements or damages or losses sustained during shipping could adversely affect our business, financial condition, results of operations and prospects.</w:t>
      </w:r>
    </w:p>
    <w:p>
      <w:pPr>
        <w:spacing w:after="0" w:line="37" w:lineRule="exact"/>
        <w:rPr>
          <w:sz w:val="20"/>
          <w:szCs w:val="20"/>
          <w:color w:val="auto"/>
        </w:rPr>
      </w:pPr>
    </w:p>
    <w:p>
      <w:pPr>
        <w:jc w:val="both"/>
        <w:ind w:firstLine="578"/>
        <w:spacing w:after="0" w:line="260" w:lineRule="auto"/>
        <w:rPr>
          <w:sz w:val="20"/>
          <w:szCs w:val="20"/>
          <w:color w:val="auto"/>
        </w:rPr>
      </w:pPr>
      <w:r>
        <w:rPr>
          <w:rFonts w:ascii="Times New Roman" w:cs="Times New Roman" w:eastAsia="Times New Roman" w:hAnsi="Times New Roman"/>
          <w:sz w:val="18"/>
          <w:szCs w:val="18"/>
          <w:color w:val="auto"/>
        </w:rPr>
        <w:t>We currently rely on third-party vendors for our shipping. If we are not able to negotiate acceptable pricing and other terms with these entities or they experience performance problems or other difficulties, it could negatively impact our operating results and our customers’ experience. Additionally, our manufacturing operations in Fremont and San Diego, California, and Wuxi, China require global shipping services which are subject to certain factors outside of our control, such as increased costs due to fuel surcharges or otherwise, delays passing through customs and disruptions to global shipping routes. We have also experienced shipping delays and difficulties due to the COVID-19 pandemic and may again experience such delays or difficulties due to future quarantines, shelter-in-place and similar government orders related to the COVID-19 pandemic or other infectious disease outbreaks or natural disasters. Moreover, there is no guarantee that our systems will not become damaged or lost in transit, and we have experienced, and expect to continue to experience, delivery difficulties. If a system is damaged in transit, it may result in a substantial delay in the fulfillment of the customer’s order, and depending on the type and extent of the damage and whether the incident is covered by insurance, it may result in customer dissatisfaction and a substantial financial loss for us. If our products are not delivered in a timely fashion or are lost during the delivery process, our customers could also become dissatisfied and cease using our products or services, which would adversely affect our business, financial condition, results of operations and prospects. Additionally, delays in shipping could have an adverse impact on our ability to recognize revenue in a timely manner, which could have an adverse impact on our quarterly results of operations.</w:t>
      </w:r>
    </w:p>
    <w:p>
      <w:pPr>
        <w:spacing w:after="0" w:line="1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expand our commercial operations, including hiring additional qualified sales representatives, technical applications specialists and customer support staff, our business may be adversely affected.</w:t>
      </w:r>
    </w:p>
    <w:p>
      <w:pPr>
        <w:spacing w:after="0" w:line="50" w:lineRule="exact"/>
        <w:rPr>
          <w:sz w:val="20"/>
          <w:szCs w:val="20"/>
          <w:color w:val="auto"/>
        </w:rPr>
      </w:pPr>
    </w:p>
    <w:p>
      <w:pPr>
        <w:jc w:val="both"/>
        <w:ind w:firstLine="578"/>
        <w:spacing w:after="0" w:line="266" w:lineRule="auto"/>
        <w:rPr>
          <w:sz w:val="20"/>
          <w:szCs w:val="20"/>
          <w:color w:val="auto"/>
        </w:rPr>
      </w:pPr>
      <w:r>
        <w:rPr>
          <w:rFonts w:ascii="Times New Roman" w:cs="Times New Roman" w:eastAsia="Times New Roman" w:hAnsi="Times New Roman"/>
          <w:sz w:val="18"/>
          <w:szCs w:val="18"/>
          <w:color w:val="auto"/>
        </w:rPr>
        <w:t>Our future sales will depend, in large part, on our ability to develop and substantially expand our sales infrastructure, particularly as we enter into new markets, rollout new solutions and applications and manage inbound interest from new customers. We distribute our products through our direct sales force and support organizations located in North America, Europe, China, and several countries in the Asia-Pacific region, and through distributors or sales agents in several countries in Europe, Latin America, the Middle East and the Asia-Pacific region. Our sales and marketing efforts are targeted at academic and governmental institutions, pharmaceutical and biotechnology companies, clinical research organizations and clinical laboratories focused on cell analysis. To continue driving adoption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52</w:t>
      </w:r>
    </w:p>
    <w:p>
      <w:pPr>
        <w:spacing w:after="0" w:line="10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of our solutions and to support our global brand, we will need to further expand our sales infrastructure by hiring additional, highly qualified and reputable sales representatives, technical applications specialists and customer support staff, in addition to increasing advertising efforts.</w:t>
      </w:r>
    </w:p>
    <w:p>
      <w:pPr>
        <w:spacing w:after="0" w:line="122" w:lineRule="exact"/>
        <w:rPr>
          <w:sz w:val="20"/>
          <w:szCs w:val="20"/>
          <w:color w:val="auto"/>
        </w:rPr>
      </w:pPr>
    </w:p>
    <w:p>
      <w:pPr>
        <w:jc w:val="both"/>
        <w:ind w:firstLine="578"/>
        <w:spacing w:after="0" w:line="263" w:lineRule="auto"/>
        <w:rPr>
          <w:sz w:val="20"/>
          <w:szCs w:val="20"/>
          <w:color w:val="auto"/>
        </w:rPr>
      </w:pPr>
      <w:r>
        <w:rPr>
          <w:rFonts w:ascii="Times New Roman" w:cs="Times New Roman" w:eastAsia="Times New Roman" w:hAnsi="Times New Roman"/>
          <w:sz w:val="18"/>
          <w:szCs w:val="18"/>
          <w:color w:val="auto"/>
        </w:rPr>
        <w:t>Identifying and recruiting qualified personnel with sufficient industry experience and training them requires significant time, expense and attention. We have limited experience in training our personnel to successfully market and sell our products. If we provide inadequate training, fail to increase our sales and marketing capabilities or fail to develop broad brand awareness in a cost-effective manner, our business may be harmed. In addition, if our efforts to expand do not generate a corresponding increase in revenue or result in a decrease in our operating margin, our financial results will be adversely impacted. If we are unable to hire, develop and retain talented sales personnel or if new sales personnel are unable to achieve desired productivity levels in a reasonable period of time, we may not be able to realize the expected benefits of this investment or increase our revenue.</w:t>
      </w:r>
    </w:p>
    <w:p>
      <w:pPr>
        <w:spacing w:after="0" w:line="151" w:lineRule="exact"/>
        <w:rPr>
          <w:sz w:val="20"/>
          <w:szCs w:val="20"/>
          <w:color w:val="auto"/>
        </w:rPr>
      </w:pPr>
    </w:p>
    <w:p>
      <w:pPr>
        <w:jc w:val="both"/>
        <w:ind w:firstLine="578"/>
        <w:spacing w:after="0" w:line="263" w:lineRule="auto"/>
        <w:rPr>
          <w:sz w:val="20"/>
          <w:szCs w:val="20"/>
          <w:color w:val="auto"/>
        </w:rPr>
      </w:pPr>
      <w:r>
        <w:rPr>
          <w:rFonts w:ascii="Times New Roman" w:cs="Times New Roman" w:eastAsia="Times New Roman" w:hAnsi="Times New Roman"/>
          <w:sz w:val="18"/>
          <w:szCs w:val="18"/>
          <w:color w:val="auto"/>
        </w:rPr>
        <w:t>Additionally, our technical applications specialists work closely with researchers and clinicians to optimize and implement new panels and applications to meet their specific needs. Hiring these highly skilled specialists is competitive due to the limited number of people available with the necessary scientific and technical backgrounds and ability to understand our products at a technical level, and training such individuals requires significant time, expense and attention. Furthermore, we face intense competition in the labor market for such highly skilled specialists from competitors in our industry as well as competition from companies in other industries. To effectively support current and potential customers, we will need to hire, maintain, train and grow the number of our technical application specialists and customer support staff. If we are unable to maintain, attract, train or retain the number of qualified support personnel that our business needs, our business and prospects will suffer.</w:t>
      </w:r>
    </w:p>
    <w:p>
      <w:pPr>
        <w:spacing w:after="0" w:line="1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expand or leverage the number of peer-reviewed articles published using data generated by our products or otherwise increase brand awareness, the demand for our products and our business may be adversely affected.</w:t>
      </w:r>
    </w:p>
    <w:p>
      <w:pPr>
        <w:spacing w:after="0" w:line="63" w:lineRule="exact"/>
        <w:rPr>
          <w:sz w:val="20"/>
          <w:szCs w:val="20"/>
          <w:color w:val="auto"/>
        </w:rPr>
      </w:pPr>
    </w:p>
    <w:p>
      <w:pPr>
        <w:jc w:val="both"/>
        <w:ind w:firstLine="578"/>
        <w:spacing w:after="0" w:line="260" w:lineRule="auto"/>
        <w:rPr>
          <w:sz w:val="20"/>
          <w:szCs w:val="20"/>
          <w:color w:val="auto"/>
        </w:rPr>
      </w:pPr>
      <w:r>
        <w:rPr>
          <w:rFonts w:ascii="Times New Roman" w:cs="Times New Roman" w:eastAsia="Times New Roman" w:hAnsi="Times New Roman"/>
          <w:sz w:val="18"/>
          <w:szCs w:val="18"/>
          <w:color w:val="auto"/>
        </w:rPr>
        <w:t>We rely on a significant base of peer-reviewed publications to showcase and validate the importance and application of our technology in academic and clinical research settings. To date, there have been more than 760 peer-reviewed articles published, including many published in prominent journals, using data generated by our technology across a wide range of key scientific research areas, including immunology and inflammation, infectious diseases, immuno-oncology, oncology and others. We believe that expanding the base of these publications, and otherwise developing and maintaining awareness of our brand in a cost-effective manner is critical to achieving broad acceptance of our solutions and attracting new customers. Such publications and other brand promotion activities may not generate customer awareness or increase revenue and, even if they do, any increase in revenue may not offset the costs and expenses we incur in building our brand. If we fail to successfully promote, maintain and protect our brand, we may fail to attract or retain the customers necessary to realize a sufficient return on our brand-building efforts, or to achieve the widespread brand awareness that is critical for broad customer adoption of our solutions.</w:t>
      </w:r>
    </w:p>
    <w:p>
      <w:pPr>
        <w:spacing w:after="0" w:line="1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senior management team and key personnel and our business could be harmed if we are unable to attract and retain personnel necessary for our success.</w:t>
      </w:r>
    </w:p>
    <w:p>
      <w:pPr>
        <w:spacing w:after="0" w:line="37" w:lineRule="exact"/>
        <w:rPr>
          <w:sz w:val="20"/>
          <w:szCs w:val="20"/>
          <w:color w:val="auto"/>
        </w:rPr>
      </w:pPr>
    </w:p>
    <w:p>
      <w:pPr>
        <w:jc w:val="both"/>
        <w:ind w:firstLine="578"/>
        <w:spacing w:after="0" w:line="266" w:lineRule="auto"/>
        <w:rPr>
          <w:sz w:val="20"/>
          <w:szCs w:val="20"/>
          <w:color w:val="auto"/>
        </w:rPr>
      </w:pPr>
      <w:r>
        <w:rPr>
          <w:rFonts w:ascii="Times New Roman" w:cs="Times New Roman" w:eastAsia="Times New Roman" w:hAnsi="Times New Roman"/>
          <w:sz w:val="18"/>
          <w:szCs w:val="18"/>
          <w:color w:val="auto"/>
        </w:rPr>
        <w:t>We are highly dependent on our senior management team and key personnel. Our success will depend on our ability to retain senior management and to attract and retain qualified personnel in the future, including sales, marketing, scientific and technical professionals, and to integrate current and additional personnel in all departments. The loss of members of our senior management, sales, marketing, scientific and technical professionals could result in lower than expected sales and delays in product development. If we are not successful in attracting and retaining highly qualified personnel, it would have a negative impact on our business, financial condition and results of operations.</w:t>
      </w:r>
    </w:p>
    <w:p>
      <w:pPr>
        <w:spacing w:after="0" w:line="149" w:lineRule="exact"/>
        <w:rPr>
          <w:sz w:val="20"/>
          <w:szCs w:val="20"/>
          <w:color w:val="auto"/>
        </w:rPr>
      </w:pPr>
    </w:p>
    <w:p>
      <w:pPr>
        <w:jc w:val="both"/>
        <w:ind w:firstLine="578"/>
        <w:spacing w:after="0" w:line="263" w:lineRule="auto"/>
        <w:rPr>
          <w:sz w:val="20"/>
          <w:szCs w:val="20"/>
          <w:color w:val="auto"/>
        </w:rPr>
      </w:pPr>
      <w:r>
        <w:rPr>
          <w:rFonts w:ascii="Times New Roman" w:cs="Times New Roman" w:eastAsia="Times New Roman" w:hAnsi="Times New Roman"/>
          <w:sz w:val="18"/>
          <w:szCs w:val="18"/>
          <w:color w:val="auto"/>
        </w:rPr>
        <w:t>Competition for skilled personnel in our market is intense and has recently intensified further due to macro-economic conditions and industry trends in many areas where our employees are located. This may limit our ability to hire and retain highly qualified personnel on acceptable terms, or at all. To induce valuable employees to remain at our company, in addition to salary and cash incentives, we have issued, and will in the future issue,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they may terminate their employment with us on short notice. Our employment arrangements with our employees provide for at-will employment, which means that any of our employees could leave our employment at any time, with or without notice.</w:t>
      </w:r>
    </w:p>
    <w:p>
      <w:pPr>
        <w:spacing w:after="0" w:line="154" w:lineRule="exact"/>
        <w:rPr>
          <w:sz w:val="20"/>
          <w:szCs w:val="20"/>
          <w:color w:val="auto"/>
        </w:rPr>
      </w:pPr>
    </w:p>
    <w:p>
      <w:pPr>
        <w:jc w:val="both"/>
        <w:ind w:firstLine="578"/>
        <w:spacing w:after="0" w:line="266" w:lineRule="auto"/>
        <w:rPr>
          <w:sz w:val="20"/>
          <w:szCs w:val="20"/>
          <w:color w:val="auto"/>
        </w:rPr>
      </w:pPr>
      <w:r>
        <w:rPr>
          <w:rFonts w:ascii="Times New Roman" w:cs="Times New Roman" w:eastAsia="Times New Roman" w:hAnsi="Times New Roman"/>
          <w:sz w:val="18"/>
          <w:szCs w:val="18"/>
          <w:color w:val="auto"/>
        </w:rPr>
        <w:t>Many of the other cell analysis technology companies that we compete against for qualified personnel have greater financial and other resources, different risk profiles and a longer history in the industry than we do. They may also provide more diverse opportunities, better chances for career advancement and higher compensation. Some of these characteristics are more appealing to high quality candidates than what we can offer. Further, if we hire employees from competitors or other companies, their former employers may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53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attempt to assert that these employees or we have breached legal obligations, resulting in a diversion of our time and resources and, potentially, damages.</w:t>
      </w:r>
    </w:p>
    <w:p>
      <w:pPr>
        <w:spacing w:after="0" w:line="198" w:lineRule="exact"/>
        <w:rPr>
          <w:sz w:val="20"/>
          <w:szCs w:val="20"/>
          <w:color w:val="auto"/>
        </w:rPr>
      </w:pPr>
    </w:p>
    <w:p>
      <w:pPr>
        <w:jc w:val="both"/>
        <w:ind w:firstLine="578"/>
        <w:spacing w:after="0" w:line="266" w:lineRule="auto"/>
        <w:rPr>
          <w:sz w:val="20"/>
          <w:szCs w:val="20"/>
          <w:color w:val="auto"/>
        </w:rPr>
      </w:pPr>
      <w:r>
        <w:rPr>
          <w:rFonts w:ascii="Times New Roman" w:cs="Times New Roman" w:eastAsia="Times New Roman" w:hAnsi="Times New Roman"/>
          <w:sz w:val="18"/>
          <w:szCs w:val="18"/>
          <w:color w:val="auto"/>
        </w:rPr>
        <w:t>In addition, job candidates and existing employees often consider the value of the equity awards they receive in connection with their employment. If the perceived benefits of our stock awards decline, either because we are a public company or for other reasons, it may harm our ability to recruit and retain highly skilled employees. Many of our employees have become or will soon become vested in a substantial amount of their equity awards. Our employees may be more likely to leave us if the equity they own have significantly appreciated in value relative to the original purchase prices of the shares, or if the exercise prices of the options that they hold are significantly below the market price of our common stock, particularly after the expiration of the lock-up agreements described herein.</w:t>
      </w:r>
    </w:p>
    <w:p>
      <w:pPr>
        <w:spacing w:after="0" w:line="149" w:lineRule="exact"/>
        <w:rPr>
          <w:sz w:val="20"/>
          <w:szCs w:val="20"/>
          <w:color w:val="auto"/>
        </w:rPr>
      </w:pPr>
    </w:p>
    <w:p>
      <w:pPr>
        <w:jc w:val="both"/>
        <w:ind w:firstLine="578"/>
        <w:spacing w:after="0" w:line="274" w:lineRule="auto"/>
        <w:rPr>
          <w:sz w:val="20"/>
          <w:szCs w:val="20"/>
          <w:color w:val="auto"/>
        </w:rPr>
      </w:pPr>
      <w:r>
        <w:rPr>
          <w:rFonts w:ascii="Times New Roman" w:cs="Times New Roman" w:eastAsia="Times New Roman" w:hAnsi="Times New Roman"/>
          <w:sz w:val="18"/>
          <w:szCs w:val="18"/>
          <w:color w:val="auto"/>
        </w:rPr>
        <w:t>Our future success also depends on our ability to continue to attract and retain additional executive officers and other key employees as we expand our business and operations. If we fail to attract new personnel or fail to retain and motivate our current personnel, it will negatively affect our business, financial condition and results of operations.</w:t>
      </w:r>
    </w:p>
    <w:p>
      <w:pPr>
        <w:spacing w:after="0" w:line="13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increased the size of our organization and expect to further increase it in the future, and we may experience difficulties in managing our growth. If we are unable to manage the anticipated growth of our business, our future revenue and operating results may be harmed.</w:t>
      </w:r>
    </w:p>
    <w:p>
      <w:pPr>
        <w:spacing w:after="0" w:line="50" w:lineRule="exact"/>
        <w:rPr>
          <w:sz w:val="20"/>
          <w:szCs w:val="20"/>
          <w:color w:val="auto"/>
        </w:rPr>
      </w:pPr>
    </w:p>
    <w:p>
      <w:pPr>
        <w:jc w:val="both"/>
        <w:ind w:firstLine="578"/>
        <w:spacing w:after="0" w:line="274" w:lineRule="auto"/>
        <w:rPr>
          <w:sz w:val="20"/>
          <w:szCs w:val="20"/>
          <w:color w:val="auto"/>
        </w:rPr>
      </w:pPr>
      <w:r>
        <w:rPr>
          <w:rFonts w:ascii="Times New Roman" w:cs="Times New Roman" w:eastAsia="Times New Roman" w:hAnsi="Times New Roman"/>
          <w:sz w:val="18"/>
          <w:szCs w:val="18"/>
          <w:color w:val="auto"/>
        </w:rPr>
        <w:t>As of June 30, 2022, we had 555 full-time employees. As our sales and marketing strategies develop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142"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10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while complying with our contractual obligations to contractors and other third parties; and</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104" w:lineRule="exact"/>
        <w:rPr>
          <w:sz w:val="20"/>
          <w:szCs w:val="20"/>
          <w:color w:val="auto"/>
        </w:rPr>
      </w:pPr>
    </w:p>
    <w:p>
      <w:pPr>
        <w:jc w:val="both"/>
        <w:ind w:firstLine="578"/>
        <w:spacing w:after="0" w:line="261" w:lineRule="auto"/>
        <w:rPr>
          <w:sz w:val="20"/>
          <w:szCs w:val="20"/>
          <w:color w:val="auto"/>
        </w:rPr>
      </w:pPr>
      <w:r>
        <w:rPr>
          <w:rFonts w:ascii="Times New Roman" w:cs="Times New Roman" w:eastAsia="Times New Roman" w:hAnsi="Times New Roman"/>
          <w:sz w:val="18"/>
          <w:szCs w:val="18"/>
          <w:color w:val="auto"/>
        </w:rPr>
        <w:t>Since our inception, we have experienced growth and anticipate further growth in our business operations both inside and outside the United States. This future growth could strain our organizational, administrative and operational infrastructure, including quality control, operational, finance, customer service and sales organization management. We expect to continue to increase our headcount and to hire more specialized personnel in the future as we grow our business. We will need to continue to hire, train and manage additional qualified scientists, engineers, technical personnel and sales and marketing staff and improve and maintain our products to properly manage our growth. Rapid expansion in personnel could mean that less experienced people develop, market and sell our products, which could result in inefficiencies and unanticipated costs, reduced quality and disruptions to our operations. If our new hires perform poorly, if we are unsuccessful in hiring, training, managing and integrating these new employees or if we are not successful in retaining our employees, our business may be harmed. We may not be able to maintain the quality or expected turnaround times of our products, or satisfy customer demand as it grows. Our ability to manage our growth properly will require us to continue to improve our operational, financial and management controls, as well as our reporting systems and procedures. The time and resources required to implement these new systems and procedures is uncertain, and failure to complete this in a timely, efficient and effective manner could adversely affect our operations.</w:t>
      </w:r>
    </w:p>
    <w:p>
      <w:pPr>
        <w:spacing w:after="0" w:line="1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w:t>
      </w:r>
    </w:p>
    <w:p>
      <w:pPr>
        <w:spacing w:after="0" w:line="60" w:lineRule="exact"/>
        <w:rPr>
          <w:sz w:val="20"/>
          <w:szCs w:val="20"/>
          <w:color w:val="auto"/>
        </w:rPr>
      </w:pPr>
    </w:p>
    <w:p>
      <w:pPr>
        <w:jc w:val="both"/>
        <w:ind w:firstLine="578"/>
        <w:spacing w:after="0" w:line="263" w:lineRule="auto"/>
        <w:rPr>
          <w:sz w:val="20"/>
          <w:szCs w:val="20"/>
          <w:color w:val="auto"/>
        </w:rPr>
      </w:pPr>
      <w:r>
        <w:rPr>
          <w:rFonts w:ascii="Times New Roman" w:cs="Times New Roman" w:eastAsia="Times New Roman" w:hAnsi="Times New Roman"/>
          <w:sz w:val="18"/>
          <w:szCs w:val="18"/>
          <w:color w:val="auto"/>
        </w:rPr>
        <w:t>Prior to our initial public offering ("IPO") in July 2021, we were a private company with limited accounting personnel to adequately execute our accounting processes to address our internal control over financial reporting. In connection with our financial statement close process for the years ended December 31, 2019 and 2020, we identified material weaknesses associated with our control environment and control activities components of the Committee of Sponsoring Organizations (“COSO”) framework related to (i) the lack of sufficient qualified personnel within its accounting and IT function and (ii) establishing policies and procedures to identify, select and apply GAAP in order to ensure that transactions were being appropriately recorded; and the design of appropriate control activities over information technology systems and financial and reporting processes necessary to ensure the accuracy of financial reporting and the preparation of financial statements.</w:t>
      </w:r>
    </w:p>
    <w:p>
      <w:pPr>
        <w:spacing w:after="0" w:line="154" w:lineRule="exact"/>
        <w:rPr>
          <w:sz w:val="20"/>
          <w:szCs w:val="20"/>
          <w:color w:val="auto"/>
        </w:rPr>
      </w:pPr>
    </w:p>
    <w:p>
      <w:pPr>
        <w:jc w:val="both"/>
        <w:ind w:firstLine="578"/>
        <w:spacing w:after="0" w:line="274"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its financial statements would not be prevented or detected on a timely basis. These deficiencies could result in additional material misstatements to our consolidated financial statements that could not be prevented or detected on a timely basis.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54</w:t>
      </w:r>
    </w:p>
    <w:p>
      <w:pPr>
        <w:spacing w:after="0" w:line="104" w:lineRule="exact"/>
        <w:rPr>
          <w:sz w:val="20"/>
          <w:szCs w:val="20"/>
          <w:color w:val="auto"/>
        </w:rPr>
      </w:pPr>
    </w:p>
    <w:p>
      <w:pPr>
        <w:jc w:val="both"/>
        <w:ind w:firstLine="578"/>
        <w:spacing w:after="0" w:line="263" w:lineRule="auto"/>
        <w:rPr>
          <w:sz w:val="20"/>
          <w:szCs w:val="20"/>
          <w:color w:val="auto"/>
        </w:rPr>
      </w:pPr>
      <w:r>
        <w:rPr>
          <w:rFonts w:ascii="Times New Roman" w:cs="Times New Roman" w:eastAsia="Times New Roman" w:hAnsi="Times New Roman"/>
          <w:sz w:val="18"/>
          <w:szCs w:val="18"/>
          <w:color w:val="auto"/>
        </w:rPr>
        <w:t>We cannot be certain that the measures we have taken to date, and actions we may take in the future, will be sufficient to remediate the control deficiencies that led to our material weaknesses in our internal control over financial reporting or that they will prevent or avoid potential future material weaknesses. In addition, neither our management nor an independent registered public accounting firm has performed an evaluation of our internal control over financial reporting because no such evaluation has been previously required. If we are unable to successfully remediate our existing or any future material weaknesses in our internal control over financial reporting, or identify any additional material weaknesses, the accuracy and timing of our financial reporting may be negatively impacted,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fund our existing operations, develop our products and/or expand our operations.</w:t>
      </w:r>
    </w:p>
    <w:p>
      <w:pPr>
        <w:spacing w:after="0" w:line="108" w:lineRule="exact"/>
        <w:rPr>
          <w:sz w:val="20"/>
          <w:szCs w:val="20"/>
          <w:color w:val="auto"/>
        </w:rPr>
      </w:pPr>
    </w:p>
    <w:p>
      <w:pPr>
        <w:jc w:val="both"/>
        <w:ind w:firstLine="578"/>
        <w:spacing w:after="0" w:line="266" w:lineRule="auto"/>
        <w:rPr>
          <w:sz w:val="20"/>
          <w:szCs w:val="20"/>
          <w:color w:val="auto"/>
        </w:rPr>
      </w:pPr>
      <w:r>
        <w:rPr>
          <w:rFonts w:ascii="Times New Roman" w:cs="Times New Roman" w:eastAsia="Times New Roman" w:hAnsi="Times New Roman"/>
          <w:sz w:val="18"/>
          <w:szCs w:val="18"/>
          <w:color w:val="auto"/>
        </w:rPr>
        <w:t>Based on our current planned operations, we expect that our existing cash will enable us to fund our operating expenses for at least 12 months from the date hereof. However, if our available cash balances and anticipated cash flow from operations are insufficient to satisfy our liquidity requirements or otherwise, we may seek to issue equity or convertible debt securities, enter into a credit facility or another form of third-party funding, seek other debt financing or enter into collaborations or licensing arrangements.</w:t>
      </w:r>
    </w:p>
    <w:p>
      <w:pPr>
        <w:spacing w:after="0" w:line="149" w:lineRule="exact"/>
        <w:rPr>
          <w:sz w:val="20"/>
          <w:szCs w:val="20"/>
          <w:color w:val="auto"/>
        </w:rPr>
      </w:pPr>
    </w:p>
    <w:p>
      <w:pPr>
        <w:jc w:val="both"/>
        <w:ind w:right="20" w:firstLine="578"/>
        <w:spacing w:after="0" w:line="274" w:lineRule="auto"/>
        <w:rPr>
          <w:sz w:val="20"/>
          <w:szCs w:val="20"/>
          <w:color w:val="auto"/>
        </w:rPr>
      </w:pPr>
      <w:r>
        <w:rPr>
          <w:rFonts w:ascii="Times New Roman" w:cs="Times New Roman" w:eastAsia="Times New Roman" w:hAnsi="Times New Roman"/>
          <w:sz w:val="18"/>
          <w:szCs w:val="18"/>
          <w:color w:val="auto"/>
        </w:rPr>
        <w:t>We may consider raising additional capital in the future to expand our business, to pursue strategic investments, to take advantage of financing opportunities or for other reasons, including to further scale up our manufacturing of our products, to increase our sales and marketing efforts to drive market adoption of our products and address competitive developments, and to finance capital expenditures and general and administrative expenses.</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some of which are beyond our control, including:</w:t>
      </w:r>
    </w:p>
    <w:p>
      <w:pPr>
        <w:spacing w:after="0" w:line="198"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and maintain revenue growth;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expanding our operations, including our sales and marketing efforts;</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launching and commercializing new products, and the cost of the sales and marketing activities associated with, establishing adoption of our products;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 of research and development activities associated with, products in research and development;</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 of and delays in product development as a result of any regulatory oversight applicable to our products;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any product recall that may occur;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domestic and international expansion;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attaining, defending and enforcing our intellectual property rights;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other collaborative, licensing and other arrangements that we may establish.</w:t>
      </w:r>
    </w:p>
    <w:p>
      <w:pPr>
        <w:spacing w:after="0" w:line="185" w:lineRule="exact"/>
        <w:rPr>
          <w:sz w:val="20"/>
          <w:szCs w:val="20"/>
          <w:color w:val="auto"/>
        </w:rPr>
      </w:pPr>
    </w:p>
    <w:p>
      <w:pPr>
        <w:jc w:val="both"/>
        <w:ind w:firstLine="578"/>
        <w:spacing w:after="0" w:line="263" w:lineRule="auto"/>
        <w:rPr>
          <w:sz w:val="20"/>
          <w:szCs w:val="20"/>
          <w:color w:val="auto"/>
        </w:rPr>
      </w:pPr>
      <w:r>
        <w:rPr>
          <w:rFonts w:ascii="Times New Roman" w:cs="Times New Roman" w:eastAsia="Times New Roman" w:hAnsi="Times New Roman"/>
          <w:sz w:val="18"/>
          <w:szCs w:val="18"/>
          <w:color w:val="auto"/>
        </w:rPr>
        <w:t>Additional funding may not be available on acceptable terms, or at all.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 If we raise additional funds through other third-party funding, collaborations agreements, strategic alliances, licensing arrangements or marketing and distribution arrangements, we may have to relinquish valuable rights to our technologies, future revenue streams, research programs or products or grant licenses on terms that may not be favorable to us.</w:t>
      </w:r>
    </w:p>
    <w:p>
      <w:pPr>
        <w:spacing w:after="0" w:line="154" w:lineRule="exact"/>
        <w:rPr>
          <w:sz w:val="20"/>
          <w:szCs w:val="20"/>
          <w:color w:val="auto"/>
        </w:rPr>
      </w:pPr>
    </w:p>
    <w:p>
      <w:pPr>
        <w:jc w:val="both"/>
        <w:ind w:firstLine="578"/>
        <w:spacing w:after="0" w:line="263" w:lineRule="auto"/>
        <w:rPr>
          <w:sz w:val="20"/>
          <w:szCs w:val="20"/>
          <w:color w:val="auto"/>
        </w:rPr>
      </w:pPr>
      <w:r>
        <w:rPr>
          <w:rFonts w:ascii="Times New Roman" w:cs="Times New Roman" w:eastAsia="Times New Roman" w:hAnsi="Times New Roman"/>
          <w:sz w:val="18"/>
          <w:szCs w:val="18"/>
          <w:color w:val="auto"/>
        </w:rPr>
        <w:t>In addition, our ability to raise additional funds may be adversely impacted by potential worsening global economic conditions and the disruptions to, and volatility in, the credit and financial markets in the United States and worldwide resulting from the COVID-19 pandemic, and geopolitical tensions, such as the ongoing war in Ukraine. The global economy, including credit and financial markets, has experienced extreme volatility and disruptions, including severely diminished liquidity and credit availability, declines in economic growth, increases in inflation rates, higher interest rates and uncertainty about economic stability. If the equity and credit markets further deteriorate, or do not improve, it may make any necessary debt or equity financing more difficult, more costly and more dilutive. If we are unable to raise additional capital in sufficient amounts or on terms acceptable to us, we may have to significantly delay, scale back</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55</w:t>
      </w:r>
    </w:p>
    <w:p>
      <w:pPr>
        <w:spacing w:after="0" w:line="10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or discontinue the development, manufacturing or commercialization of our products, or other research and development initiatives. If this were to occur, our ability to grow and support our business and to respond to market challenges could be significantly limited, which could have an adverse effect on our business, financial condition and results of operations.</w:t>
      </w:r>
    </w:p>
    <w:p>
      <w:pPr>
        <w:spacing w:after="0" w:line="13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37" w:lineRule="exact"/>
        <w:rPr>
          <w:sz w:val="20"/>
          <w:szCs w:val="20"/>
          <w:color w:val="auto"/>
        </w:rPr>
      </w:pPr>
    </w:p>
    <w:p>
      <w:pPr>
        <w:jc w:val="both"/>
        <w:ind w:firstLine="578"/>
        <w:spacing w:after="0" w:line="282"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35"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of our products, which may vary significantly;</w:t>
      </w:r>
    </w:p>
    <w:p>
      <w:pPr>
        <w:spacing w:after="0" w:line="11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manufacturing, regulatory approval and commercialization activities relating to our products, which may change from time to time;</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seasonality and customer mix of the cell analysis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efforts and expenses;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grow our sales force and the speed at which newly-hired salespeople become effective;</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productivity of our sales force;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distribution partners in selling our products;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coverage in the media or publications of our products or competitive products;</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products, which may vary depending on the quantity of production and the terms of our arrangements with our suppliers;</w:t>
      </w:r>
    </w:p>
    <w:p>
      <w:pPr>
        <w:spacing w:after="0" w:line="6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competition in our industry and any change in the competitive landscape of our industry, including the introduction of new products or enhancements or technologies by us or others in the cell analysis market and competition-related pricing pressures;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or in the status of our regulatory approvals or applications;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0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business and operations or to the business and operations of our suppliers, distributors, and other third parties with whom we conduct business resulting from the COVID-19 pandemic or other widespread health crises such as the COVID-19 pandemic;</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costs due to increased fuel surcharges and delays due to customs requirements, disruptions to global shipping routes and due to the COVID-19 pandemic;</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global financial crises and economic downturns, including those caused by widespread public health crises;</w:t>
      </w:r>
    </w:p>
    <w:p>
      <w:pPr>
        <w:spacing w:after="0" w:line="11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factors, including changes in inflation, interest rates, foreign currency rates, and the potential effect of such factors on revenues and expenses; and</w:t>
      </w:r>
    </w:p>
    <w:p>
      <w:pPr>
        <w:spacing w:after="0" w:line="5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unrelated to our operating performance or the operating performance of our competitors.</w:t>
      </w:r>
    </w:p>
    <w:p>
      <w:pPr>
        <w:spacing w:after="0" w:line="108" w:lineRule="exact"/>
        <w:rPr>
          <w:sz w:val="20"/>
          <w:szCs w:val="20"/>
          <w:color w:val="auto"/>
        </w:rPr>
      </w:pPr>
    </w:p>
    <w:p>
      <w:pPr>
        <w:jc w:val="both"/>
        <w:ind w:firstLine="578"/>
        <w:spacing w:after="0" w:line="266" w:lineRule="auto"/>
        <w:rPr>
          <w:sz w:val="20"/>
          <w:szCs w:val="20"/>
          <w:color w:val="auto"/>
        </w:rPr>
      </w:pPr>
      <w:r>
        <w:rPr>
          <w:rFonts w:ascii="Times New Roman" w:cs="Times New Roman" w:eastAsia="Times New Roman" w:hAnsi="Times New Roman"/>
          <w:sz w:val="18"/>
          <w:szCs w:val="18"/>
          <w:color w:val="auto"/>
        </w:rPr>
        <w:t>The cumulative effects of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previously publicly stated guidance we may provide.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sizes of the markets for our products may be smaller than we estimate.</w:t>
      </w:r>
    </w:p>
    <w:p>
      <w:pPr>
        <w:spacing w:after="0" w:line="108" w:lineRule="exact"/>
        <w:rPr>
          <w:sz w:val="20"/>
          <w:szCs w:val="20"/>
          <w:color w:val="auto"/>
        </w:rPr>
      </w:pPr>
    </w:p>
    <w:p>
      <w:pPr>
        <w:jc w:val="both"/>
        <w:ind w:firstLine="578"/>
        <w:spacing w:after="0" w:line="297" w:lineRule="auto"/>
        <w:rPr>
          <w:sz w:val="20"/>
          <w:szCs w:val="20"/>
          <w:color w:val="auto"/>
        </w:rPr>
      </w:pPr>
      <w:r>
        <w:rPr>
          <w:rFonts w:ascii="Times New Roman" w:cs="Times New Roman" w:eastAsia="Times New Roman" w:hAnsi="Times New Roman"/>
          <w:sz w:val="18"/>
          <w:szCs w:val="18"/>
          <w:color w:val="auto"/>
        </w:rPr>
        <w:t>Within the life sciences technology market, flow cytometry technologies currently provide solutions largely within cell proliferation, cell counting, cell identification, cell quality control and single-cell applications, representing an initial total addressable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56</w:t>
      </w:r>
    </w:p>
    <w:p>
      <w:pPr>
        <w:spacing w:after="0" w:line="1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market (“TAM”) of nearly $8 billion. However, we believe that the enhanced capabilities of our FSP platform has the potential to capture an increasingly greater share of the broader cell analysis TAM. Our Northern Lights system has been approved for clinical use in the European Union and China. In the United States, our products are currently labeled and promoted, and are, and in the near-future are expected to continue to be, sold primarily to academic and research institutions and biopharmaceutical companies as research use only products for non-diagnostic and non-clinical purposes, and are not currently designed, or intended to be used, for clinical diagnostic tests. We plan to continue generating supporting publications and data, as well as pursue any required regulatory approvals for clinical use for our products in the United States. Our ability to penetrate the clinical markets in the United States will depend in part on our ability to receive 510(k) clearance,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or approval of a pre-market approval application from the FDA. Further, we believe our differentiated platform will enable us to expand the use of cell analysis into new markets, well beyond current applications addressed by prior flow cytometry technologies and other cell analysis technologies. While we believe our assumptions and the data underlying our estimates are reasonable, we have not independently verified the accuracy of the third-party data on which we have based our assumptions and estimates, and these assumptions and estimates may not be correct and significantly different than actual market sizes, and the conditions supporting our assumptions or estimates may change at any time, including as a result of factors outside our control, thereby reducing the predictive accuracy of these underlying factors. If the actual number of customers who would benefit from our products, the price at which we can sell products or the annual addressable market for our products is smaller than we have estimated, it may impair our sales growth and have an adverse impact on our business, financial condition and results of operations.</w:t>
      </w:r>
    </w:p>
    <w:p>
      <w:pPr>
        <w:spacing w:after="0" w:line="160" w:lineRule="exact"/>
        <w:rPr>
          <w:sz w:val="20"/>
          <w:szCs w:val="20"/>
          <w:color w:val="auto"/>
        </w:rPr>
      </w:pPr>
    </w:p>
    <w:p>
      <w:pPr>
        <w:jc w:val="both"/>
        <w:ind w:firstLine="578"/>
        <w:spacing w:after="0" w:line="266" w:lineRule="auto"/>
        <w:rPr>
          <w:sz w:val="20"/>
          <w:szCs w:val="20"/>
          <w:color w:val="auto"/>
        </w:rPr>
      </w:pPr>
      <w:r>
        <w:rPr>
          <w:rFonts w:ascii="Times New Roman" w:cs="Times New Roman" w:eastAsia="Times New Roman" w:hAnsi="Times New Roman"/>
          <w:sz w:val="18"/>
          <w:szCs w:val="18"/>
          <w:color w:val="auto"/>
        </w:rPr>
        <w:t>In addition, our growth strategy involves launching new solutions and expanding sales of existing solutions into new markets and geographies in which we have limited experience. For example, we intend to develop our platform’s applications within the clinical market, and in particular, within disease detection, diagnosis, and treatment monitoring. Sales of new or existing solutions into new market opportunities may take several years to develop and mature, and we cannot be certain that these market opportunities will develop as we expect. As a result, the sizes of the annual total addressable market for new markets and new products are even more difficult to predict.</w:t>
      </w:r>
    </w:p>
    <w:p>
      <w:pPr>
        <w:spacing w:after="0" w:line="14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were to be sued for product liability, we could face substantial liabilities that exceed our resources, limit sales of our existing products and limit commercialization of any products that we may develop.</w:t>
      </w:r>
    </w:p>
    <w:p>
      <w:pPr>
        <w:spacing w:after="0" w:line="50" w:lineRule="exact"/>
        <w:rPr>
          <w:sz w:val="20"/>
          <w:szCs w:val="20"/>
          <w:color w:val="auto"/>
        </w:rPr>
      </w:pPr>
    </w:p>
    <w:p>
      <w:pPr>
        <w:jc w:val="both"/>
        <w:ind w:firstLine="578"/>
        <w:spacing w:after="0" w:line="266" w:lineRule="auto"/>
        <w:rPr>
          <w:sz w:val="20"/>
          <w:szCs w:val="20"/>
          <w:color w:val="auto"/>
        </w:rPr>
      </w:pPr>
      <w:r>
        <w:rPr>
          <w:rFonts w:ascii="Times New Roman" w:cs="Times New Roman" w:eastAsia="Times New Roman" w:hAnsi="Times New Roman"/>
          <w:sz w:val="18"/>
          <w:szCs w:val="18"/>
          <w:color w:val="auto"/>
        </w:rPr>
        <w:t>The marketing, sale and use of our products could lead to the filing of product liability claims where someone may allege that our products identified inaccurate or incomplete information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If we cannot successfully defend ourselves against product liability claims, we will incur substantial liabilities and reputational harm. In addition, regardless of merit or eventual outcome, product liability claims may result in:</w:t>
      </w:r>
    </w:p>
    <w:p>
      <w:pPr>
        <w:spacing w:after="0" w:line="149"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litigation costs;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products or new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business reputation;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withdrawals from the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sales; or</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existing agreements by our partners and potential partners failing to partner with us.</w:t>
      </w:r>
    </w:p>
    <w:p>
      <w:pPr>
        <w:spacing w:after="0" w:line="185" w:lineRule="exact"/>
        <w:rPr>
          <w:sz w:val="20"/>
          <w:szCs w:val="20"/>
          <w:color w:val="auto"/>
        </w:rPr>
      </w:pPr>
    </w:p>
    <w:p>
      <w:pPr>
        <w:jc w:val="both"/>
        <w:ind w:firstLine="578"/>
        <w:spacing w:after="0" w:line="274" w:lineRule="auto"/>
        <w:rPr>
          <w:sz w:val="20"/>
          <w:szCs w:val="20"/>
          <w:color w:val="auto"/>
        </w:rPr>
      </w:pPr>
      <w:r>
        <w:rPr>
          <w:rFonts w:ascii="Times New Roman" w:cs="Times New Roman" w:eastAsia="Times New Roman" w:hAnsi="Times New Roman"/>
          <w:sz w:val="18"/>
          <w:szCs w:val="18"/>
          <w:color w:val="auto"/>
        </w:rPr>
        <w:t>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w:t>
      </w:r>
    </w:p>
    <w:p>
      <w:pPr>
        <w:spacing w:after="0" w:line="142" w:lineRule="exact"/>
        <w:rPr>
          <w:sz w:val="20"/>
          <w:szCs w:val="20"/>
          <w:color w:val="auto"/>
        </w:rPr>
      </w:pPr>
    </w:p>
    <w:p>
      <w:pPr>
        <w:jc w:val="both"/>
        <w:ind w:firstLine="578"/>
        <w:spacing w:after="0" w:line="266" w:lineRule="auto"/>
        <w:rPr>
          <w:sz w:val="20"/>
          <w:szCs w:val="20"/>
          <w:color w:val="auto"/>
        </w:rPr>
      </w:pPr>
      <w:r>
        <w:rPr>
          <w:rFonts w:ascii="Times New Roman" w:cs="Times New Roman" w:eastAsia="Times New Roman" w:hAnsi="Times New Roman"/>
          <w:sz w:val="18"/>
          <w:szCs w:val="18"/>
          <w:color w:val="auto"/>
        </w:rPr>
        <w:t>While we may attempt to manage our product liability exposure by proactively recalling or withdrawing from the market any defective products, any recall or market withdrawal of our products may delay the supply of those products to our customers and may impact our reputation. We may not be successful in initiating appropriate market recall or market withdrawal efforts that may be required in the future and these efforts may not have the intended effect of preventing product malfunctions and the accompanying product liability that may result. Such recalls and withdrawals may also harm our reputation with customers, which could negatively affect our business, financial condition and results of operations.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57</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other legal proceedings may harm our business.</w:t>
      </w:r>
    </w:p>
    <w:p>
      <w:pPr>
        <w:spacing w:after="0" w:line="97" w:lineRule="exact"/>
        <w:rPr>
          <w:sz w:val="20"/>
          <w:szCs w:val="20"/>
          <w:color w:val="auto"/>
        </w:rPr>
      </w:pPr>
    </w:p>
    <w:p>
      <w:pPr>
        <w:jc w:val="both"/>
        <w:ind w:firstLine="578"/>
        <w:spacing w:after="0" w:line="260" w:lineRule="auto"/>
        <w:rPr>
          <w:sz w:val="20"/>
          <w:szCs w:val="20"/>
          <w:color w:val="auto"/>
        </w:rPr>
      </w:pPr>
      <w:r>
        <w:rPr>
          <w:rFonts w:ascii="Times New Roman" w:cs="Times New Roman" w:eastAsia="Times New Roman" w:hAnsi="Times New Roman"/>
          <w:sz w:val="18"/>
          <w:szCs w:val="18"/>
          <w:color w:val="auto"/>
        </w:rPr>
        <w:t>We have been, and may become, involved in legal proceedings relating to patent and other intellectual property matters, product liability claims, employee claims, tort or contract claims, federal or state regulatory investigations, securities class actions and other legal proceedings or investigations, which could have a negative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harm our business, financial condition and results of operations. Adverse publicity about regulatory or legal action against us could damage our reputation and brand image, undermine our customers’ confidence and reduce long-term demand for our products, even if the regulatory or legal action is unfounded or not material to our operations.</w:t>
      </w:r>
    </w:p>
    <w:p>
      <w:pPr>
        <w:spacing w:after="0" w:line="1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 pandemic, epidemic or outbreak of an infectious disease in the United States or worldwide could adversely affect our business. The COVID-19 pandemic has had and could continue to have an adverse impact on our business, operations, and the markets and communities in which we, our partners, and customers operate.</w:t>
      </w:r>
    </w:p>
    <w:p>
      <w:pPr>
        <w:spacing w:after="0" w:line="60" w:lineRule="exact"/>
        <w:rPr>
          <w:sz w:val="20"/>
          <w:szCs w:val="20"/>
          <w:color w:val="auto"/>
        </w:rPr>
      </w:pPr>
    </w:p>
    <w:p>
      <w:pPr>
        <w:jc w:val="both"/>
        <w:ind w:firstLine="578"/>
        <w:spacing w:after="0" w:line="263" w:lineRule="auto"/>
        <w:rPr>
          <w:sz w:val="20"/>
          <w:szCs w:val="20"/>
          <w:color w:val="auto"/>
        </w:rPr>
      </w:pPr>
      <w:r>
        <w:rPr>
          <w:rFonts w:ascii="Times New Roman" w:cs="Times New Roman" w:eastAsia="Times New Roman" w:hAnsi="Times New Roman"/>
          <w:sz w:val="18"/>
          <w:szCs w:val="18"/>
          <w:color w:val="auto"/>
        </w:rPr>
        <w:t>If a pandemic, epidemic or outbreak of an infectious disease occurs in the United States or worldwide, our business may be adversely affected. The COVID-19 pandemic has caused general business disruption worldwide beginning in January 2020. While the duration and extent of the COVID-19 pandemic depends on future developments and potential resurgences of infections or new strains of the virus that cannot be accurately predicted at this time, such as the extent and effectiveness of containment actions and available vaccines, the pandemic has had an adverse effect on the global economy and the ultimate societal and economic impact of the COVID-19 pandemic remains unknown. The potential impact and duration of the COVID-19 pandemic on the global economy and our business are difficult to assess or predict, due in part to new variant strains of the virus and the degree of their vaccine resistance. Potential impacts, some of which we have already experienced, include:</w:t>
      </w:r>
    </w:p>
    <w:p>
      <w:pPr>
        <w:spacing w:after="0" w:line="154" w:lineRule="exact"/>
        <w:rPr>
          <w:sz w:val="20"/>
          <w:szCs w:val="20"/>
          <w:color w:val="auto"/>
        </w:rPr>
      </w:pPr>
    </w:p>
    <w:p>
      <w:pPr>
        <w:jc w:val="both"/>
        <w:ind w:left="1020" w:hanging="503"/>
        <w:spacing w:after="0" w:line="258"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 prospects and our existing customers may experience slowdowns in their businesses, and our academic institution customers may experience decreases in government funding of research and development, which in turn may result in reduced demand for our products, lengthening of sales cycles, loss of customers, difficulties in collections, and inaccurate inventory forecasting;</w:t>
      </w:r>
    </w:p>
    <w:p>
      <w:pPr>
        <w:spacing w:after="0" w:line="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delays in receiving supplies from the third parties we rely on to manufacture components to our products, which may impair our ability sell our products;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delays in installation of our products for our customers;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delays in the shipments of purchased products to customers or to our distribution partners;</w:t>
      </w:r>
    </w:p>
    <w:p>
      <w:pPr>
        <w:spacing w:after="0" w:line="10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employee productivity and morale, with increased employee attrition and risk of a cyberattack resulting from certain employees working from home;</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and significant costs to our growth planning, such as for facilities and international expansion;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liability for safe workplace claims;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critical vendors or third-party partners, which may go out of business; and</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in-person marketing events, including industry conferences, and prolonged delays in our ability to reschedule or conduct in-person marketing events and other sales and marketing activities.</w:t>
      </w:r>
    </w:p>
    <w:p>
      <w:pPr>
        <w:spacing w:after="0" w:line="270" w:lineRule="exact"/>
        <w:rPr>
          <w:sz w:val="20"/>
          <w:szCs w:val="20"/>
          <w:color w:val="auto"/>
        </w:rPr>
      </w:pPr>
    </w:p>
    <w:p>
      <w:pPr>
        <w:jc w:val="both"/>
        <w:ind w:firstLine="578"/>
        <w:spacing w:after="0" w:line="274" w:lineRule="auto"/>
        <w:rPr>
          <w:sz w:val="20"/>
          <w:szCs w:val="20"/>
          <w:color w:val="auto"/>
        </w:rPr>
      </w:pPr>
      <w:r>
        <w:rPr>
          <w:rFonts w:ascii="Times New Roman" w:cs="Times New Roman" w:eastAsia="Times New Roman" w:hAnsi="Times New Roman"/>
          <w:sz w:val="18"/>
          <w:szCs w:val="18"/>
          <w:color w:val="auto"/>
        </w:rPr>
        <w:t>The impact of any of the foregoing, individually or collectively, could adversely affect our business, financial condition, and results of operations. Moreover, to the extent the COVID-19 pandemic adversely affects our business, financial condition, and results of operations, it may also have the effect of heightening many of the other risks described in this “Risk Factors” section.</w:t>
      </w:r>
    </w:p>
    <w:p>
      <w:pPr>
        <w:spacing w:after="0" w:line="13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our security measures, or those maintained on our behalf, are compromised now, or in the future, or the security, confidentiality, integrity or availability of our information technology, software, services, networks, communications or data is compromised, limited or fails, this could have a material adverse effect on our business, financial condition and results of operations.</w:t>
      </w:r>
    </w:p>
    <w:p>
      <w:pPr>
        <w:spacing w:after="0" w:line="81" w:lineRule="exact"/>
        <w:rPr>
          <w:sz w:val="20"/>
          <w:szCs w:val="20"/>
          <w:color w:val="auto"/>
        </w:rPr>
      </w:pPr>
    </w:p>
    <w:p>
      <w:pPr>
        <w:jc w:val="both"/>
        <w:ind w:firstLine="584"/>
        <w:spacing w:after="0" w:line="250" w:lineRule="auto"/>
        <w:rPr>
          <w:sz w:val="20"/>
          <w:szCs w:val="20"/>
          <w:color w:val="auto"/>
        </w:rPr>
      </w:pPr>
      <w:r>
        <w:rPr>
          <w:rFonts w:ascii="Times New Roman" w:cs="Times New Roman" w:eastAsia="Times New Roman" w:hAnsi="Times New Roman"/>
          <w:sz w:val="18"/>
          <w:szCs w:val="18"/>
          <w:color w:val="auto"/>
        </w:rPr>
        <w:t>In the ordinary course of our business, we may collect, use, store, safeguard, disclose, share, transfer, secure and otherwise process (collectively, “Process” or “Processing”) proprietary, confidential and sensitive data, including personal data (such as key-coded data, health information and other special categories of personal data), intellectual property, trade secrets and proprietary business information owned or controlled by ourselves, our customers and other parties (collectively “Sensitive Information”). We may rely upon</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58</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parties (such as service providers) for our data processing–related activities. We may share or receive sensitive data with or from third parties.</w:t>
      </w:r>
    </w:p>
    <w:p>
      <w:pPr>
        <w:spacing w:after="0" w:line="185" w:lineRule="exact"/>
        <w:rPr>
          <w:sz w:val="20"/>
          <w:szCs w:val="20"/>
          <w:color w:val="auto"/>
        </w:rPr>
      </w:pPr>
    </w:p>
    <w:p>
      <w:pPr>
        <w:jc w:val="both"/>
        <w:ind w:firstLine="584"/>
        <w:spacing w:after="0" w:line="242" w:lineRule="auto"/>
        <w:rPr>
          <w:sz w:val="20"/>
          <w:szCs w:val="20"/>
          <w:color w:val="auto"/>
        </w:rPr>
      </w:pPr>
      <w:r>
        <w:rPr>
          <w:rFonts w:ascii="Times New Roman" w:cs="Times New Roman" w:eastAsia="Times New Roman" w:hAnsi="Times New Roman"/>
          <w:sz w:val="18"/>
          <w:szCs w:val="18"/>
          <w:color w:val="auto"/>
        </w:rPr>
        <w:t>We face a variety of evolving threats, which could cause security incidents. Cyberattacks, malicious internet-based activity, and online and offline fraud are prevalent and continue to increase. These threats are becoming increasingly difficult to detect. These threats come from a variety of sources. In addition to traditional computer “hackers,” threat actors, personnel (such as through theft or misuse), sophisticated nation-states, and nation-state-supported actors now engage in attacks.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cyberattacks, that could materially disrupt our systems and operations, supply chain, and ability to produce, sell and distribute our goods and services. We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telecommunications failures, and other similar threats. Ransomware attacks, including those perpetrated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The COVID-19 pandemic and our remote workforce poses increased risks to our information technology systems and data, as more of our employees work from home, utilizing network connections outside our premises.</w:t>
      </w:r>
    </w:p>
    <w:p>
      <w:pPr>
        <w:spacing w:after="0" w:line="157" w:lineRule="exact"/>
        <w:rPr>
          <w:sz w:val="20"/>
          <w:szCs w:val="20"/>
          <w:color w:val="auto"/>
        </w:rPr>
      </w:pPr>
    </w:p>
    <w:p>
      <w:pPr>
        <w:jc w:val="both"/>
        <w:ind w:firstLine="584"/>
        <w:spacing w:after="0" w:line="241"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A security incident could result in unauthorized, unlawful, or accidental acquisition, modification, destruction, loss, alteration, encryption, disclosure of, or access to data. A security incident could disrupt our ability (and that of third parties upon whom we rely) to provide our platform. We may expend significant resources or modify our business activities in an effort to protect against security incidents. Certain data privacy and security obligations may require us to implement and maintain specific security measures, industry-standard or reasonable security measures to protect our information technology systems and data. While we have implemented security measures designed to protect against security incidents, there can be no assurance that these measures will be effective. We may be unable in the future to detect vulnerabilities in our information technology systems because such threats and techniques change frequently, are often sophisticated in nature, and may not be detected until after a security incident has occurred. Applicable data privacy and security obligations may require us to notify relevant stakeholders of security incidents. Such disclosures are costly, and the disclosures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data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customers to stop using our products and services, deter new customers from purchasing our products and services, and negatively impact our ability to grow and operate our business.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89" w:lineRule="exact"/>
        <w:rPr>
          <w:sz w:val="20"/>
          <w:szCs w:val="20"/>
          <w:color w:val="auto"/>
        </w:rPr>
      </w:pPr>
    </w:p>
    <w:p>
      <w:pPr>
        <w:jc w:val="both"/>
        <w:ind w:firstLine="584"/>
        <w:spacing w:after="0" w:line="243" w:lineRule="auto"/>
        <w:rPr>
          <w:sz w:val="20"/>
          <w:szCs w:val="20"/>
          <w:color w:val="auto"/>
        </w:rPr>
      </w:pPr>
      <w:r>
        <w:rPr>
          <w:rFonts w:ascii="Times New Roman" w:cs="Times New Roman" w:eastAsia="Times New Roman" w:hAnsi="Times New Roman"/>
          <w:sz w:val="18"/>
          <w:szCs w:val="18"/>
          <w:color w:val="auto"/>
        </w:rPr>
        <w:t>Our operations (including our manufacturing operations) and the operations of our distribution partners could be subject to earthquakes, power shortages, telecommunications failures, water shortages, floods, hurricanes, typhoons, fires, extreme weather conditions, medical epidemics and pandemics, including the COVID-19 pandemic, and other natural or man-made disasters or business interruptions, for which we are predominantly self-insured. Our ability to obtain components for our products could be disrupted if the operations of our suppliers were affected by a man-made or natural disaster or other business interruption, including interruptions related to the COVID-19 pandemic. In addition, our corporate headquarters is located in Fremont, California and one of our reagents manufacturing facilities is located in San Diego, California, near major earthquake faults and fire zones, and the ultimate impact on us for being located near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159" w:lineRule="exact"/>
        <w:rPr>
          <w:sz w:val="20"/>
          <w:szCs w:val="20"/>
          <w:color w:val="auto"/>
        </w:rPr>
      </w:pPr>
    </w:p>
    <w:p>
      <w:pPr>
        <w:jc w:val="both"/>
        <w:ind w:firstLine="584"/>
        <w:spacing w:after="0" w:line="243" w:lineRule="auto"/>
        <w:rPr>
          <w:sz w:val="20"/>
          <w:szCs w:val="20"/>
          <w:color w:val="auto"/>
        </w:rPr>
      </w:pPr>
      <w:r>
        <w:rPr>
          <w:rFonts w:ascii="Times New Roman" w:cs="Times New Roman" w:eastAsia="Times New Roman" w:hAnsi="Times New Roman"/>
          <w:sz w:val="18"/>
          <w:szCs w:val="18"/>
          <w:color w:val="auto"/>
        </w:rPr>
        <w:t>We manufacture our products at our manufacturing facilities located in Fremont and San Diego, California, and Wuxi, China, and we rely on various suppliers in the United States, China and other countries. Should our manufacturing facilities or the facilities of our suppliers be damaged or destroyed by natural or man-made disasters, such as earthquakes, fires or other events, or should events such as political unrest unfold, it could take months to relocate or rebuild, during which time our manufacturing and the operations of our suppliers would cease or be delayed and our products may be unavailable. Moreover, the use of a new facility or new manufacturing, quality control, or environmental control equipment or systems generally requires FDA review and approval. Because of the time required to authorize manufacturing in a new facility under FDA and non-U.S. regulatory requirements, we may not be able to resume production on a timely basis even if we are able to replace production capacity in the event we lose our manufacturing capacity. The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59</w:t>
      </w:r>
    </w:p>
    <w:p>
      <w:pPr>
        <w:spacing w:after="0" w:line="1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inability to perform our manufacturing activities, combined with our limited inventory of materials and components and manufactured products, or the inability of our suppliers to continue their operations, may cause us to be unable to meet customer demand or harm our reputation, and we may be unable to reestablish relationships with such customers in the future. Consequently, a catastrophic event or business interruption at our manufacturing facilities or at our suppliers’ facilities could harm our business, financial condition and results of operations.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protect us only from some business risks, which leaves us exposed to significant uninsured liabilities.</w:t>
      </w:r>
    </w:p>
    <w:p>
      <w:pPr>
        <w:spacing w:after="0" w:line="108" w:lineRule="exact"/>
        <w:rPr>
          <w:sz w:val="20"/>
          <w:szCs w:val="20"/>
          <w:color w:val="auto"/>
        </w:rPr>
      </w:pPr>
    </w:p>
    <w:p>
      <w:pPr>
        <w:jc w:val="both"/>
        <w:ind w:firstLine="584"/>
        <w:spacing w:after="0" w:line="244"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Although we have general and product liability insurance that we believe is appropriate, this insurance is subject to deductibles and coverage limitations. Our current product liability insurance may not continue to be available to us on acceptable terms, if at all, and, if available, coverage may not be adequate to protect us against any future product liability claims. If we are unable to obtain insurance at an acceptable cost or on acceptable terms or otherwise protect against potential product liability claims, we could be exposed to significant liabilities. A product liability claim, recall or other claim with respect to uninsured liabilities or for amounts in excess of insured liabilities could negatively affect our business, financial condition and results of operations. We do not carry specific hazardous waste insurance coverage, and our property, casualty and general liability insurance policies specifically exclude coverage for damages and fines arising from hazardous waste exposure or contamination. Accordingly, in the event of contamination or injury, we could be held liable for damages or be penalized with fines in an amount exceeding our resources, and our clinical trials or regulatory approvals could be suspended. Although we carry cyber insurance, the coverage may not be sufficient to cover our losses in the event of a Security Breach. Additionally, no assurance can be given that such policies can be retained on acceptable terms or that litigation will not occur following an insurance claim.</w:t>
      </w:r>
    </w:p>
    <w:p>
      <w:pPr>
        <w:spacing w:after="0" w:line="142" w:lineRule="exact"/>
        <w:rPr>
          <w:sz w:val="20"/>
          <w:szCs w:val="20"/>
          <w:color w:val="auto"/>
        </w:rPr>
      </w:pPr>
    </w:p>
    <w:p>
      <w:pPr>
        <w:jc w:val="both"/>
        <w:ind w:firstLine="578"/>
        <w:spacing w:after="0" w:line="266" w:lineRule="auto"/>
        <w:rPr>
          <w:sz w:val="20"/>
          <w:szCs w:val="20"/>
          <w:color w:val="auto"/>
        </w:rPr>
      </w:pPr>
      <w:r>
        <w:rPr>
          <w:rFonts w:ascii="Times New Roman" w:cs="Times New Roman" w:eastAsia="Times New Roman" w:hAnsi="Times New Roman"/>
          <w:sz w:val="18"/>
          <w:szCs w:val="18"/>
          <w:color w:val="auto"/>
        </w:rPr>
        <w:t>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on our board committees or as executive officers. We do not know, however, if we will be able to maintain existing insurance with adequate levels of coverage. Any significant uninsured liability may require us to pay substantial amounts, which would negatively affect our business, financial condition and results of operations.</w:t>
      </w:r>
    </w:p>
    <w:p>
      <w:pPr>
        <w:spacing w:after="0" w:line="14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use hazardous biological materials that require considerable expertise for handling, storage and disposal and may result in claims against us. We and third parties with whom we contract must comply with environmental laws and regulations, which can be expensive and restrict how we do business, and could expose us to liability if our use of such hazardous materials cause injury.</w:t>
      </w:r>
    </w:p>
    <w:p>
      <w:pPr>
        <w:spacing w:after="0" w:line="60" w:lineRule="exact"/>
        <w:rPr>
          <w:sz w:val="20"/>
          <w:szCs w:val="20"/>
          <w:color w:val="auto"/>
        </w:rPr>
      </w:pPr>
    </w:p>
    <w:p>
      <w:pPr>
        <w:jc w:val="both"/>
        <w:ind w:firstLine="578"/>
        <w:spacing w:after="0" w:line="261" w:lineRule="auto"/>
        <w:rPr>
          <w:sz w:val="20"/>
          <w:szCs w:val="20"/>
          <w:color w:val="auto"/>
        </w:rPr>
      </w:pPr>
      <w:r>
        <w:rPr>
          <w:rFonts w:ascii="Times New Roman" w:cs="Times New Roman" w:eastAsia="Times New Roman" w:hAnsi="Times New Roman"/>
          <w:sz w:val="18"/>
          <w:szCs w:val="18"/>
          <w:color w:val="auto"/>
        </w:rPr>
        <w:t>Our research and development and manufacturing processes involve the controlled use of hazardous materials, including flammables, toxics, corrosives and biologics. Our research operations produce hazardous biological and chemical waste products, and we largely contract with third parties for the disposal of these products. Federal, state and local laws and regulations govern the use, generation, manufacture, storage, handling and disposal of these materials and wastes. We are subject to periodic inspections by federal, state and local authorities to ensure compliance with applicable laws. Compliance with applicable environmental laws and regulations is expensive, and current or future environmental laws and regulations may restrict our operations. If we do not comply with applicable regulations, we may be subject to fines and penalties. In the event of accidental contamination or injury from these materials or wastes, we could be liable for damages or penalized with fines in an amount exceeding our resources and our operations could be suspended or otherwise adversely affected.</w:t>
      </w:r>
    </w:p>
    <w:p>
      <w:pPr>
        <w:spacing w:after="0" w:line="157" w:lineRule="exact"/>
        <w:rPr>
          <w:sz w:val="20"/>
          <w:szCs w:val="20"/>
          <w:color w:val="auto"/>
        </w:rPr>
      </w:pPr>
    </w:p>
    <w:p>
      <w:pPr>
        <w:jc w:val="both"/>
        <w:ind w:firstLine="578"/>
        <w:spacing w:after="0" w:line="260" w:lineRule="auto"/>
        <w:rPr>
          <w:sz w:val="20"/>
          <w:szCs w:val="20"/>
          <w:color w:val="auto"/>
        </w:rPr>
      </w:pPr>
      <w:r>
        <w:rPr>
          <w:rFonts w:ascii="Times New Roman" w:cs="Times New Roman" w:eastAsia="Times New Roman" w:hAnsi="Times New Roman"/>
          <w:sz w:val="18"/>
          <w:szCs w:val="18"/>
          <w:color w:val="auto"/>
        </w:rPr>
        <w:t>In addition, because our product contains metals and electronic components which are purchased from third-party vendors, we may be required under rules promulgated by the U.S. Securities and Exchange Commission ("SEC") governing disclosure of the use of “conflict minerals” (tin, tungsten, tantalum and gold) to determine whether those minerals are necessary to the functionality or production of our products and, if so, conduct a country of origin inquiry with respect to all such minerals. If any such minerals may have originated in the Democratic Republic of the Congo, or DRC, or any of its adjoining countries, or covered countries, then we must conduct diligence on the source and chain of custody of those conflict minerals to determine if they originated in one of the covered countries and, if so, whether they financed or benefited armed groups in the covered countries. Disclosures relating to the products that may contain conflict minerals, the country of origin of those minerals and whether they are “DRC conflict free” must be provided in a Form SD (and accompanying conflict minerals report, if required, to disclose the diligence undertaken by us in sourcing the minerals and our conclusions relating to such diligence). If we are required to submit a conflict minerals report, that report must be audited by an independent auditor pursuant to existing government auditing standards. Compliance with this disclosure rule may be very time-consuming for our management and personnel (as well as time-consuming for our suppliers) and could involve the expenditure of significant amounts of money by us and them. Disclosures mandated by this rule, which can be perceived by the market to be “negative,” may cause customers to refuse to purchase our products. The cost of compliance with the rule could adversely affect our results of operations.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60</w:t>
      </w:r>
    </w:p>
    <w:p>
      <w:pPr>
        <w:spacing w:after="0" w:line="104" w:lineRule="exact"/>
        <w:rPr>
          <w:sz w:val="20"/>
          <w:szCs w:val="20"/>
          <w:color w:val="auto"/>
        </w:rPr>
      </w:pPr>
    </w:p>
    <w:p>
      <w:pPr>
        <w:jc w:val="both"/>
        <w:ind w:firstLine="578"/>
        <w:spacing w:after="0" w:line="271" w:lineRule="auto"/>
        <w:rPr>
          <w:sz w:val="20"/>
          <w:szCs w:val="20"/>
          <w:color w:val="auto"/>
        </w:rPr>
      </w:pPr>
      <w:r>
        <w:rPr>
          <w:rFonts w:ascii="Times New Roman" w:cs="Times New Roman" w:eastAsia="Times New Roman" w:hAnsi="Times New Roman"/>
          <w:sz w:val="18"/>
          <w:szCs w:val="18"/>
          <w:color w:val="auto"/>
        </w:rPr>
        <w:t>Furthermore, environmental laws and regulations are complex, change frequently and have tended to become more stringent. We cannot predict the impact of such changes and cannot be certain of our future compliance. We do not currently maintain separate environmental liability coverage and any accidental contamination or discharge or any resultant injury from these materials could result in significant cost to us in penalties, damages and suspension of our operations.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received funding under the Coronavirus Aid, Relief and Economic Security Act, or the CARES Act.</w:t>
      </w:r>
    </w:p>
    <w:p>
      <w:pPr>
        <w:spacing w:after="0" w:line="108" w:lineRule="exact"/>
        <w:rPr>
          <w:sz w:val="20"/>
          <w:szCs w:val="20"/>
          <w:color w:val="auto"/>
        </w:rPr>
      </w:pPr>
    </w:p>
    <w:p>
      <w:pPr>
        <w:jc w:val="both"/>
        <w:ind w:firstLine="578"/>
        <w:spacing w:after="0" w:line="266" w:lineRule="auto"/>
        <w:rPr>
          <w:sz w:val="20"/>
          <w:szCs w:val="20"/>
          <w:color w:val="auto"/>
        </w:rPr>
      </w:pPr>
      <w:r>
        <w:rPr>
          <w:rFonts w:ascii="Times New Roman" w:cs="Times New Roman" w:eastAsia="Times New Roman" w:hAnsi="Times New Roman"/>
          <w:sz w:val="18"/>
          <w:szCs w:val="18"/>
          <w:color w:val="auto"/>
        </w:rPr>
        <w:t>In June 2020, we executed a note in favor of Wells Fargo Bank, National Association, evidencing an unsecured loan, (“PPP loan”), in the aggregate principal amount of $4.1 million, which was made pursuant to the Paycheck Protection Program, or the PPP. The PPP was established under the CARES Act, which was enacted on March 27, 2020, and is administered by the U.S. Small Business Administration, or the SBA. We have used all of the proceeds from the loan to retain employees, maintain payroll and make lease and utility payments and expect to repay the PPP loan in the second quarter of 2021. On May 4, 2021, we fully repaid the PPP loan.</w:t>
      </w:r>
    </w:p>
    <w:p>
      <w:pPr>
        <w:spacing w:after="0" w:line="149" w:lineRule="exact"/>
        <w:rPr>
          <w:sz w:val="20"/>
          <w:szCs w:val="20"/>
          <w:color w:val="auto"/>
        </w:rPr>
      </w:pPr>
    </w:p>
    <w:p>
      <w:pPr>
        <w:jc w:val="both"/>
        <w:ind w:firstLine="578"/>
        <w:spacing w:after="0" w:line="263" w:lineRule="auto"/>
        <w:rPr>
          <w:sz w:val="20"/>
          <w:szCs w:val="20"/>
          <w:color w:val="auto"/>
        </w:rPr>
      </w:pPr>
      <w:r>
        <w:rPr>
          <w:rFonts w:ascii="Times New Roman" w:cs="Times New Roman" w:eastAsia="Times New Roman" w:hAnsi="Times New Roman"/>
          <w:sz w:val="18"/>
          <w:szCs w:val="18"/>
          <w:color w:val="auto"/>
        </w:rPr>
        <w:t>The PPP loan application required us to certify, among other things, that the current economic uncertainty made the PPP loan request necessary to support our ongoing operations. In 2020, the SBA, in consultation with the Department of Treasury, issued new guidance requiring borrowers to consider their ability to access other sources of liquidity before certifying in their loan applications that current economic uncertainty makes this loan request necessary to support the ongoing operations. We made the certification in good faith after analyzing our financial situation and access to capital and believe that we satisfied all eligibility criteria for the PPP loan. However, the SBA guidance and criteria are subject to interpretation, including by the new Biden Administration, and if we are found to have been ineligible, we could be subject to significant penalties. If we become subject to penalties, it could result in harm to our business, results of operation and financial condition.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foreign currency exchange risk.</w:t>
      </w:r>
    </w:p>
    <w:p>
      <w:pPr>
        <w:spacing w:after="0" w:line="108" w:lineRule="exact"/>
        <w:rPr>
          <w:sz w:val="20"/>
          <w:szCs w:val="20"/>
          <w:color w:val="auto"/>
        </w:rPr>
      </w:pPr>
    </w:p>
    <w:p>
      <w:pPr>
        <w:jc w:val="both"/>
        <w:ind w:firstLine="578"/>
        <w:spacing w:after="0" w:line="261" w:lineRule="auto"/>
        <w:rPr>
          <w:sz w:val="20"/>
          <w:szCs w:val="20"/>
          <w:color w:val="auto"/>
        </w:rPr>
      </w:pPr>
      <w:r>
        <w:rPr>
          <w:rFonts w:ascii="Times New Roman" w:cs="Times New Roman" w:eastAsia="Times New Roman" w:hAnsi="Times New Roman"/>
          <w:sz w:val="18"/>
          <w:szCs w:val="18"/>
          <w:color w:val="auto"/>
        </w:rPr>
        <w:t>A substantial amount of our revenues is derived from international operations, and we anticipate that a significant portion of our sales will continue to come from outside the United States in the future. As we have experienced in the six months ended June 30, 2022, where our prices are denominated in U.S. dollars, our sales and revenues could be adversely affected by declines in foreign currencies relative to the U.S. dollar. The revenues we report with respect to our operations outside the United States may be adversely affected by fluctuations in foreign currency exchange rates. See the section titled “Management’s Discussion and Analysis of Financial Condition and Results of Operations” for additional information on the financial impact of exchange rate fluctuations and the ways and extent to which we may attempt to address any impact. Any hedging activities we engage in may only offset a portion of the adverse financial impact resulting from unfavorable changes in foreign currency exchange rates. We cannot predict with any certainty changes in foreign currency exchange rates or the degree to which we can mitigate these risks.</w:t>
      </w:r>
    </w:p>
    <w:p>
      <w:pPr>
        <w:spacing w:after="0" w:line="15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businesses or form other joint ventures or make investments in other companies or technologies that could negatively affect our operating results, dilute our stockholders’ ownership, increase our debt or cause us to incur significant expense.</w:t>
      </w:r>
    </w:p>
    <w:p>
      <w:pPr>
        <w:spacing w:after="0" w:line="37" w:lineRule="exact"/>
        <w:rPr>
          <w:sz w:val="20"/>
          <w:szCs w:val="20"/>
          <w:color w:val="auto"/>
        </w:rPr>
      </w:pPr>
    </w:p>
    <w:p>
      <w:pPr>
        <w:jc w:val="both"/>
        <w:ind w:firstLine="578"/>
        <w:spacing w:after="0" w:line="260" w:lineRule="auto"/>
        <w:rPr>
          <w:sz w:val="20"/>
          <w:szCs w:val="20"/>
          <w:color w:val="auto"/>
        </w:rPr>
      </w:pPr>
      <w:r>
        <w:rPr>
          <w:rFonts w:ascii="Times New Roman" w:cs="Times New Roman" w:eastAsia="Times New Roman" w:hAnsi="Times New Roman"/>
          <w:sz w:val="18"/>
          <w:szCs w:val="18"/>
          <w:color w:val="auto"/>
        </w:rPr>
        <w:t>Although we currently have no agreements or commitments to complete any such transactions, we may pursue acquisitions of businesses and assets in the future. We also may pursue strategic alliances and additional joint ventures that leverage products and industry experience to expand our offerings or distribution. We have limited experience with acquiring other companies and forming strategic partnerships. We may not be able to find suitable partners or acquisition candidates, and we may not be able to complete such transactions on favorable terms, if at all. If we make any acquisitions, we may not be able to integrate these acquisitions successfully into our existing business, and we could assume unknown or contingent liabilities. Any future acquisitions also could result in the incurrence of debt, contingent liabilities or future write-offs of intangible assets or goodwill, any of which could have an adverse effect on our financial condition, results of operations and cash flows. In addition, any pursuit of an acquisition and any potential integration of an acquired company also may disrupt ongoing operations and divert management attention and resources that we would otherwise focus on developing our existing business. We may experience losses related to investments in other companies, which could have a negative effect on our results of operations and financial condition. We may not realize the anticipated benefits of any acquisition, technology license, strategic alliance or joint venture.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61</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 and Our Industry</w:t>
      </w:r>
    </w:p>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products may become subject to more onerous regulation by the FDA or other regulatory agencies in the future, which could increase our costs and delay or prevent sales of our products or commercialization of new products and product enhancements, thereby materially and adversely affecting our business, financial condition, results of operations and prospects.</w:t>
      </w:r>
    </w:p>
    <w:p>
      <w:pPr>
        <w:spacing w:after="0" w:line="141" w:lineRule="exact"/>
        <w:rPr>
          <w:sz w:val="20"/>
          <w:szCs w:val="20"/>
          <w:color w:val="auto"/>
        </w:rPr>
      </w:pPr>
    </w:p>
    <w:p>
      <w:pPr>
        <w:jc w:val="both"/>
        <w:ind w:firstLine="578"/>
        <w:spacing w:after="0" w:line="260" w:lineRule="auto"/>
        <w:rPr>
          <w:sz w:val="20"/>
          <w:szCs w:val="20"/>
          <w:color w:val="auto"/>
        </w:rPr>
      </w:pPr>
      <w:r>
        <w:rPr>
          <w:rFonts w:ascii="Times New Roman" w:cs="Times New Roman" w:eastAsia="Times New Roman" w:hAnsi="Times New Roman"/>
          <w:sz w:val="18"/>
          <w:szCs w:val="18"/>
          <w:color w:val="auto"/>
        </w:rPr>
        <w:t>Currently, our Northern Lights CLC system is available for clinical use in only China and the European Union. Our Aurora and Northern Lights systems are otherwise available to customers as research-use-only (“RUO”) products. RUO products are regulated by the FDA as medical devices. Although medical devices are subject to stringent FDA oversight, products that are intended for RUO and are labeled as RUO are exempt from compliance with most FDA requirements, including premarket clearance or approval, manufacturing requirements and others. A product labeled RUO but which is actually intended for clinical diagnostic use may be viewed by the FDA as adulterated and misbranded under the Federal Food, Drug, and Cosmetic Act (“FDCA”), and subject to FDA enforcement action. The FDA has indicated that when determining the intended use of a product labeled RUO, the FDA will consider the totality of the circumstances surrounding distribution and use of the product, including how the product is marketed and to whom. The FDA could disagree with our assessment that our products are properly marketed as RUOs, or could conclude that products labeled as RUO are actually intended for clinical diagnostic use, and could take enforcement action against us, including requiring us to stop distribution of our products until we are in compliance with applicable regulations, which would reduce our revenue, increase our costs and adversely affect our business, prospects, results of operations and financial condition. In the event that the FDA requires us to obtain marketing authorization of our RUO products in the future, there can be no assurance that the FDA will grant any clearance or approval requested by us in a timely manner, or at all.</w:t>
      </w:r>
    </w:p>
    <w:p>
      <w:pPr>
        <w:spacing w:after="0" w:line="158" w:lineRule="exact"/>
        <w:rPr>
          <w:sz w:val="20"/>
          <w:szCs w:val="20"/>
          <w:color w:val="auto"/>
        </w:rPr>
      </w:pPr>
    </w:p>
    <w:p>
      <w:pPr>
        <w:jc w:val="both"/>
        <w:ind w:firstLine="578"/>
        <w:spacing w:after="0" w:line="259" w:lineRule="auto"/>
        <w:rPr>
          <w:sz w:val="20"/>
          <w:szCs w:val="20"/>
          <w:color w:val="auto"/>
        </w:rPr>
      </w:pPr>
      <w:r>
        <w:rPr>
          <w:rFonts w:ascii="Times New Roman" w:cs="Times New Roman" w:eastAsia="Times New Roman" w:hAnsi="Times New Roman"/>
          <w:sz w:val="18"/>
          <w:szCs w:val="18"/>
          <w:color w:val="auto"/>
        </w:rPr>
        <w:t>As part of our growth strategy, we plan to seek approval to offer our Aurora and Northern Lights systems for clinical use in the United States and in other countries. In the United States, before we can market a new medical device, or a new use of, new claim for or significant modification to an existing product, we must first receive either clearance under Section 510(k) of the FDCA, or approval of a premarket approval application from the FDA, unless an exemption applies. The process of obtaining approval or clearance from the FDA for new products, or with respect to enhancements or modifications to existing products, could take a significant period of time, require the expenditure of substantial resources, involve rigorous pre-clinical and clinical testing, require changes to products or result in limitations on the indicated uses of products. There can be no assurance that we will receive the required approvals or clearances for any new products or for modifications to our existing products on a timely basis or that any approval or clearance will not be subsequently withdrawn or conditioned upon extensive post-market study requirements. Moreover, even if we receive FDA clearance or approval of new products or modifications to existing products, we will be required to comply with extensive regulations relating to the development, research, clearance, approval, distribution, marketing, advertising and promotion, manufacture, adverse event reporting, recordkeeping, import and export of such products, which may substantially increase our operating costs and have a material impact on our business, profits and results of operations.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clearances or approvals, withdrawals or suspensions of current approvals, resulting in prohibitions on sales of our products, and in the most serious cases, criminal penalties. Occurrence of any of the foregoing could harm our reputation, business, financial condition, results of operations and prospects.</w:t>
      </w:r>
    </w:p>
    <w:p>
      <w:pPr>
        <w:spacing w:after="0" w:line="16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and our suppliers are subject to ongoing regulatory obligations and continued regulatory review, which may result in significant additional expense and subject us to penalties if we fail to comply with applicable regulatory requirements.</w:t>
      </w:r>
    </w:p>
    <w:p>
      <w:pPr>
        <w:spacing w:after="0" w:line="50" w:lineRule="exact"/>
        <w:rPr>
          <w:sz w:val="20"/>
          <w:szCs w:val="20"/>
          <w:color w:val="auto"/>
        </w:rPr>
      </w:pPr>
    </w:p>
    <w:p>
      <w:pPr>
        <w:jc w:val="both"/>
        <w:ind w:firstLine="578"/>
        <w:spacing w:after="0" w:line="263" w:lineRule="auto"/>
        <w:rPr>
          <w:sz w:val="20"/>
          <w:szCs w:val="20"/>
          <w:color w:val="auto"/>
        </w:rPr>
      </w:pPr>
      <w:r>
        <w:rPr>
          <w:rFonts w:ascii="Times New Roman" w:cs="Times New Roman" w:eastAsia="Times New Roman" w:hAnsi="Times New Roman"/>
          <w:sz w:val="18"/>
          <w:szCs w:val="18"/>
          <w:color w:val="auto"/>
        </w:rPr>
        <w:t>Any medical device we market will be subject to continued regulatory review, oversight, requirements, and periodic inspections by the FDA and other domestic and foreign regulatory bodies. In particular, unless exempt, we and our suppliers are required to comply with the FDA’s Quality System Regulation (“QSR”) and other regulations enforced outside the United States which cover the manufacture of our products and the methods and documentation of the design, testing, production, control, quality assurance, labeling, packaging, storage and shipping of medical devices. Regulatory bodies, such as the FDA, enforce the QSR and other regulations through periodic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any of the following enforcement actions:</w:t>
      </w:r>
    </w:p>
    <w:p>
      <w:pPr>
        <w:spacing w:after="0" w:line="154"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 to address or defend such actions;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for repair, replacement or refunds;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detention or seizure of our products;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62</w:t>
      </w:r>
    </w:p>
    <w:p>
      <w:pPr>
        <w:spacing w:after="0" w:line="104"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our requests for 510(k) clearance or PMA approval of new products or modified products;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510(k) clearances on PMA approvals that have already been granted;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 for our products;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171" w:lineRule="exact"/>
        <w:rPr>
          <w:sz w:val="20"/>
          <w:szCs w:val="20"/>
          <w:color w:val="auto"/>
        </w:rPr>
      </w:pPr>
    </w:p>
    <w:p>
      <w:pPr>
        <w:jc w:val="both"/>
        <w:ind w:firstLine="578"/>
        <w:spacing w:after="0" w:line="274" w:lineRule="auto"/>
        <w:rPr>
          <w:sz w:val="20"/>
          <w:szCs w:val="20"/>
          <w:color w:val="auto"/>
        </w:rPr>
      </w:pPr>
      <w:r>
        <w:rPr>
          <w:rFonts w:ascii="Times New Roman" w:cs="Times New Roman" w:eastAsia="Times New Roman" w:hAnsi="Times New Roman"/>
          <w:sz w:val="18"/>
          <w:szCs w:val="18"/>
          <w:color w:val="auto"/>
        </w:rPr>
        <w:t>If any of these actions were to occur, our reputation would be harmed and our product sales and profitability would be adversely impacted.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42" w:lineRule="exact"/>
        <w:rPr>
          <w:sz w:val="20"/>
          <w:szCs w:val="20"/>
          <w:color w:val="auto"/>
        </w:rPr>
      </w:pPr>
    </w:p>
    <w:p>
      <w:pPr>
        <w:jc w:val="both"/>
        <w:ind w:firstLine="584"/>
        <w:spacing w:after="0" w:line="250" w:lineRule="auto"/>
        <w:rPr>
          <w:sz w:val="20"/>
          <w:szCs w:val="20"/>
          <w:color w:val="auto"/>
        </w:rPr>
      </w:pPr>
      <w:r>
        <w:rPr>
          <w:rFonts w:ascii="Times New Roman" w:cs="Times New Roman" w:eastAsia="Times New Roman" w:hAnsi="Times New Roman"/>
          <w:sz w:val="18"/>
          <w:szCs w:val="18"/>
          <w:color w:val="auto"/>
        </w:rPr>
        <w:t>Later discovery of previously unknown problems with our products, including manufacturing problems, or failure to comply with regulatory requirements such as the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137" w:lineRule="exact"/>
        <w:rPr>
          <w:sz w:val="20"/>
          <w:szCs w:val="20"/>
          <w:color w:val="auto"/>
        </w:rPr>
      </w:pPr>
    </w:p>
    <w:p>
      <w:pPr>
        <w:jc w:val="both"/>
        <w:ind w:firstLine="584"/>
        <w:spacing w:after="0" w:line="250"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clearance or approval is withdrawn, it would have a material adverse effect on our business, financial condition and results of operations.</w:t>
      </w:r>
    </w:p>
    <w:p>
      <w:pPr>
        <w:spacing w:after="0" w:line="14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or any component thereof may be subject to product recalls in the future. A recall of our products, either voluntarily or at the direction of the FDA or another governmental authority, or the discovery of serious safety issues with our products, could have a significant adverse impact on us.</w:t>
      </w:r>
    </w:p>
    <w:p>
      <w:pPr>
        <w:spacing w:after="0" w:line="37" w:lineRule="exact"/>
        <w:rPr>
          <w:sz w:val="20"/>
          <w:szCs w:val="20"/>
          <w:color w:val="auto"/>
        </w:rPr>
      </w:pPr>
    </w:p>
    <w:p>
      <w:pPr>
        <w:jc w:val="both"/>
        <w:ind w:firstLine="584"/>
        <w:spacing w:after="0" w:line="242" w:lineRule="auto"/>
        <w:rPr>
          <w:sz w:val="20"/>
          <w:szCs w:val="20"/>
          <w:color w:val="auto"/>
        </w:rPr>
      </w:pPr>
      <w:r>
        <w:rPr>
          <w:rFonts w:ascii="Times New Roman" w:cs="Times New Roman" w:eastAsia="Times New Roman" w:hAnsi="Times New Roman"/>
          <w:sz w:val="18"/>
          <w:szCs w:val="18"/>
          <w:color w:val="auto"/>
        </w:rPr>
        <w:t>The FDA has the authority to require the recall of commercialized products that are subject to FDA regulation. Manufacturers may, under their own initiative, recall a product if any deficiency is found. For reportable corrections and removals, companies are required to make additional periodic submissions to the FDA after initiating the recall, and often engage with the FDA on their recall strategy prior to initiating the recall. A government-mandated or voluntary recall by us or one of our distributors could occur as a result of an unacceptable health risk, component failures, failures in laboratory processes, malfunctions, manufacturing errors, design or labeling defects, or other deficiencies and issues. Recalls of any of our products would divert managerial and financial resources and adversely affect our business, results of operations, financial condition and reputation. We may also be subject to liability claims, be required to bear other costs or take other actions that may negatively impact our future sales and our ability to generate profits. Companies are also required to maintain certain records of corrections and removals, even if these do not require reporting to the FDA. We may initiate voluntary recalls involving our products. A recall announcement by us could harm our reputation with customers and negatively affect our business, financial condition, and results of operations. In addition, the FDA or other agency could take enforcement action for failing to report the recalls when they were conducted.</w:t>
      </w:r>
    </w:p>
    <w:p>
      <w:pPr>
        <w:spacing w:after="0" w:line="161" w:lineRule="exact"/>
        <w:rPr>
          <w:sz w:val="20"/>
          <w:szCs w:val="20"/>
          <w:color w:val="auto"/>
        </w:rPr>
      </w:pPr>
    </w:p>
    <w:p>
      <w:pPr>
        <w:jc w:val="both"/>
        <w:ind w:firstLine="584"/>
        <w:spacing w:after="0" w:line="246" w:lineRule="auto"/>
        <w:rPr>
          <w:sz w:val="20"/>
          <w:szCs w:val="20"/>
          <w:color w:val="auto"/>
        </w:rPr>
      </w:pPr>
      <w:r>
        <w:rPr>
          <w:rFonts w:ascii="Times New Roman" w:cs="Times New Roman" w:eastAsia="Times New Roman" w:hAnsi="Times New Roman"/>
          <w:sz w:val="18"/>
          <w:szCs w:val="18"/>
          <w:color w:val="auto"/>
        </w:rPr>
        <w:t>If we initiate a recall, including a correction or removal, for one of our products, issue a safety alert, or undertake a field action or recall to reduce a health risk, this could lead to increased scrutiny by the FDA, other governmental and regulatory enforcement bodies, and our customers regarding the quality and safety of our products, and to negative publicity, including FDA alerts, press releases, or administrative or judicial actions. Furthermore, the submission of these reports could be used against us by competitors and cause customers to delay purchase decisions or cancel orders, which would harm our reputation.</w:t>
      </w:r>
    </w:p>
    <w:p>
      <w:pPr>
        <w:spacing w:after="0" w:line="1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misuse or off-label use of our products may harm our reputation in the marketplace, or result in injuries that lead to product liability suits, which could be costly to our business. Moreover, we could be subject to FDA sanctions if we are deemed to have engaged in off-label promotion.</w:t>
      </w:r>
    </w:p>
    <w:p>
      <w:pPr>
        <w:spacing w:after="0" w:line="63" w:lineRule="exact"/>
        <w:rPr>
          <w:sz w:val="20"/>
          <w:szCs w:val="20"/>
          <w:color w:val="auto"/>
        </w:rPr>
      </w:pPr>
    </w:p>
    <w:p>
      <w:pPr>
        <w:jc w:val="both"/>
        <w:ind w:firstLine="578"/>
        <w:spacing w:after="0" w:line="261" w:lineRule="auto"/>
        <w:rPr>
          <w:sz w:val="20"/>
          <w:szCs w:val="20"/>
          <w:color w:val="auto"/>
        </w:rPr>
      </w:pPr>
      <w:r>
        <w:rPr>
          <w:rFonts w:ascii="Times New Roman" w:cs="Times New Roman" w:eastAsia="Times New Roman" w:hAnsi="Times New Roman"/>
          <w:sz w:val="18"/>
          <w:szCs w:val="18"/>
          <w:color w:val="auto"/>
        </w:rPr>
        <w:t>Our promotional materials and training methods must comply with FDA and other applicable laws and regulations, including the prohibition on the promotion of an RUO device or medical device for an indication that has not been approved or cleared by the FDA, referred to as an off-label use. We cannot prevent our customers from using our products for off-label uses, including in laboratory developed tests for clinical use. If the FDA determines that our promotional materials constitute the unlawful promotion of an off-label use, it could subject us to regulatory or enforcement actions, including civil money penalties, criminal fines and penalties, and exclusion from participation in federal health programs, among others. Other federal, state or foreign governmental authorities might also take action if they consider our promotion or training materials to constitute promotion of an off-label use, which could result in significant fines or penalties under other statutory authorities. In that event, our reputation could be damaged and the use of our products in the marketplace could be diminished.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63</w:t>
      </w:r>
    </w:p>
    <w:p>
      <w:pPr>
        <w:spacing w:after="0" w:line="104" w:lineRule="exact"/>
        <w:rPr>
          <w:sz w:val="20"/>
          <w:szCs w:val="20"/>
          <w:color w:val="auto"/>
        </w:rPr>
      </w:pPr>
    </w:p>
    <w:p>
      <w:pPr>
        <w:jc w:val="both"/>
        <w:ind w:firstLine="578"/>
        <w:spacing w:after="0" w:line="271" w:lineRule="auto"/>
        <w:rPr>
          <w:sz w:val="20"/>
          <w:szCs w:val="20"/>
          <w:color w:val="auto"/>
        </w:rPr>
      </w:pPr>
      <w:r>
        <w:rPr>
          <w:rFonts w:ascii="Times New Roman" w:cs="Times New Roman" w:eastAsia="Times New Roman" w:hAnsi="Times New Roman"/>
          <w:sz w:val="18"/>
          <w:szCs w:val="18"/>
          <w:color w:val="auto"/>
        </w:rPr>
        <w:t>Furthermore, off-label uses of our products may lead to performance issues or produce erroneous results, which could harm our reputation in the marketplace and increase the risk of product liability. Product liability claims are expensive to defend and could divert our management’s attention from our primary business and result in substantial damage awards against us. Any of these events could harm our business, results of operations and financial condition.</w:t>
      </w:r>
    </w:p>
    <w:p>
      <w:pPr>
        <w:spacing w:after="0" w:line="14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Changes in tariffs or other government trade policies may materially adversely affect our business and results of operations, including by reducing demand for our products.</w:t>
      </w:r>
    </w:p>
    <w:p>
      <w:pPr>
        <w:spacing w:after="0" w:line="50" w:lineRule="exact"/>
        <w:rPr>
          <w:sz w:val="20"/>
          <w:szCs w:val="20"/>
          <w:color w:val="auto"/>
        </w:rPr>
      </w:pPr>
    </w:p>
    <w:p>
      <w:pPr>
        <w:jc w:val="both"/>
        <w:ind w:firstLine="578"/>
        <w:spacing w:after="0" w:line="260" w:lineRule="auto"/>
        <w:rPr>
          <w:sz w:val="20"/>
          <w:szCs w:val="20"/>
          <w:color w:val="auto"/>
        </w:rPr>
      </w:pPr>
      <w:r>
        <w:rPr>
          <w:rFonts w:ascii="Times New Roman" w:cs="Times New Roman" w:eastAsia="Times New Roman" w:hAnsi="Times New Roman"/>
          <w:sz w:val="18"/>
          <w:szCs w:val="18"/>
          <w:color w:val="auto"/>
        </w:rPr>
        <w:t>The imposition of tariffs and trade restrictions as a result of international trade disputes or changes in trade policies may adversely affect our sales and profitability. For example, in 2018 and 2019, the U.S. government imposed and proposed, among other actions, new or higher tariffs on specified imported products originating from China in response to what it characterized as unfair trade practices, and China responded by imposing and proposing new or higher tariffs on specified U.S. products. There can be no assurance that a broader trade agreement will be successfully negotiated between the United States and China to reduce or eliminate these tariffs. These tariffs, and the related geopolitical uncertainty between the United States and China, may cause decreased demand for our products, which could have a material adverse effect on our business and results of operations. For example, certain of our foreign customers may respond to the imposition of tariffs or threat of tariffs on products we produce by delaying purchase orders or purchasing products from our competitors. Ongoing international trade disputes and changes in trade policies could also impact economic activity and lead to a general contraction of customer demand. In addition, tariffs on components that we may import from China or other nations will adversely affect our profitability unless we are able to exclude such components from the tariffs or we raise prices for our products, which may result in our products becoming less attractive relative to products offered by our competitors. Future actions or escalations by either the United States or China that affect trade relations may also negatively affect our business, or that of our suppliers or customers, and we cannot provide any assurances as to whether such actions will occur or the form that they may take. To the extent that our sales or profitability are negatively affected by any such tariffs or other trade actions, our business and results of operations may be materially adversely affected.</w:t>
      </w:r>
    </w:p>
    <w:p>
      <w:pPr>
        <w:spacing w:after="0" w:line="15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controls that could impair our ability to compete in international markets due to licensing requirements and subject us to liability if we are not in compliance with applicable laws.</w:t>
      </w:r>
    </w:p>
    <w:p>
      <w:pPr>
        <w:spacing w:after="0" w:line="37" w:lineRule="exact"/>
        <w:rPr>
          <w:sz w:val="20"/>
          <w:szCs w:val="20"/>
          <w:color w:val="auto"/>
        </w:rPr>
      </w:pPr>
    </w:p>
    <w:p>
      <w:pPr>
        <w:jc w:val="both"/>
        <w:ind w:firstLine="578"/>
        <w:spacing w:after="0" w:line="261" w:lineRule="auto"/>
        <w:rPr>
          <w:sz w:val="20"/>
          <w:szCs w:val="20"/>
          <w:color w:val="auto"/>
        </w:rPr>
      </w:pPr>
      <w:r>
        <w:rPr>
          <w:rFonts w:ascii="Times New Roman" w:cs="Times New Roman" w:eastAsia="Times New Roman" w:hAnsi="Times New Roman"/>
          <w:sz w:val="18"/>
          <w:szCs w:val="18"/>
          <w:color w:val="auto"/>
        </w:rPr>
        <w:t>Exports of our products are subject to export controls and sanctions laws and regulations imposed by the U.S. government and administered by the U.S. Departments of State, Commerce, and Treasury. U.S. export control laws may require a license or other authorization to export products to certain destinations and end users. In addition, U.S. economic sanctions laws include restrictions or prohibitions on the sale or supply of certain products and services to U.S. embargoed or sanctioned countries, governments, persons and entities. Obtaining export licenses can be difficult, costly and time-consuming and we may not always be successful in obtaining necessary export licenses, and our failure to obtain required export approval for our products or limitations on our ability to export or sell our products imposed by export control or sanctions laws may harm our revenues and adversely affect our business, financial condition, and results of operations. Noncompliance with these laws could have negative consequences, including government investigations, penalties and reputational harm.</w:t>
      </w:r>
    </w:p>
    <w:p>
      <w:pPr>
        <w:spacing w:after="0" w:line="1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changing data privacy and security laws, regulations and standards as well as policies, contracts and other obligations related to data privacy and security. Our actual or perceived failure to comply with such obligations could lead to government enforcement actions (that could include fines and penalties), a disruption of our business or commercialization of our products, private litigation, harm to our reputation, or other adverse effects on our business or prospects.</w:t>
      </w:r>
    </w:p>
    <w:p>
      <w:pPr>
        <w:spacing w:after="0" w:line="80" w:lineRule="exact"/>
        <w:rPr>
          <w:sz w:val="20"/>
          <w:szCs w:val="20"/>
          <w:color w:val="auto"/>
        </w:rPr>
      </w:pPr>
    </w:p>
    <w:p>
      <w:pPr>
        <w:jc w:val="both"/>
        <w:ind w:firstLine="584"/>
        <w:spacing w:after="0" w:line="250" w:lineRule="auto"/>
        <w:rPr>
          <w:sz w:val="20"/>
          <w:szCs w:val="20"/>
          <w:color w:val="auto"/>
        </w:rPr>
      </w:pPr>
      <w:r>
        <w:rPr>
          <w:rFonts w:ascii="Times New Roman" w:cs="Times New Roman" w:eastAsia="Times New Roman" w:hAnsi="Times New Roman"/>
          <w:sz w:val="18"/>
          <w:szCs w:val="18"/>
          <w:color w:val="auto"/>
        </w:rPr>
        <w:t>In the course of our operations, we process an increasing volume of personal data, including from our employees and third parties with whom we conduct business. Accordingly, we are, and may increasingly become, subject to various data privacy and security laws, the number and scope of which are changing, subject to differing applications and interpretations, may be inconsistent among jurisdictions, and may conflict with each other.</w:t>
      </w:r>
    </w:p>
    <w:p>
      <w:pPr>
        <w:spacing w:after="0" w:line="150" w:lineRule="exact"/>
        <w:rPr>
          <w:sz w:val="20"/>
          <w:szCs w:val="20"/>
          <w:color w:val="auto"/>
        </w:rPr>
      </w:pPr>
    </w:p>
    <w:p>
      <w:pPr>
        <w:jc w:val="both"/>
        <w:ind w:firstLine="584"/>
        <w:spacing w:after="0" w:line="243"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and security laws, and consumer protection laws. For example, the federal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The California Consumer Privacy Act of 2018 (“CCPA”) imposes obligations on businesses to which it applies. These obligations include, but are not limited to, providing specific disclosures in privacy notices and affording California residents certain rights related to their personal data. The CCPA allows for statutory fines for noncompliance (up to $7,500 per violation). In addition, it is anticipated that the California Privacy Rights Act of 2020 (“CPRA”), effective January 1, 2023, will expand the CCPA. For example, the CPRA establishes a new California Privacy Protection Agency to implement and enforce the CCPA (as amended), which could increase the risk of an enforcement action. Other states have enacted data privacy and security laws. For example, Virginia passed the Consumer Data Protection Act, and Colorado passed the Colorado Privacy Act, both of which differ from the CPRA and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64</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become effective in 2023. If we become subject to new data privacy and security laws, the risk of enforcement action against us could increase because we may become subject to additional obligations, and the number of individuals or entities that can initiate actions against us may increase (including individuals via a private right of action and state actors).</w:t>
      </w:r>
    </w:p>
    <w:p>
      <w:pPr>
        <w:spacing w:after="0" w:line="142" w:lineRule="exact"/>
        <w:rPr>
          <w:sz w:val="20"/>
          <w:szCs w:val="20"/>
          <w:color w:val="auto"/>
        </w:rPr>
      </w:pPr>
    </w:p>
    <w:p>
      <w:pPr>
        <w:jc w:val="both"/>
        <w:ind w:firstLine="584"/>
        <w:spacing w:after="0" w:line="242"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apply to data privacy and security. For example, the European Union’s General Data Protection Regulation (“EU GDPR”) and the United Kingdom’s General Data Protection Regulation (“UK GDPR”) impose strict requirements for processing the personal data of individuals located, respectively within the European Economic Area (“EEA”) and the United Kingdom (“UK”). For example, under the EU GDPR, government regulators may impose temporary or definitive bans on data processing, as well as fines of up to 20 million euros or 4% of annual global revenue, whichever is greater. Further, individuals may initiate litigation related to our processing of their personal data. Other countries outside of Europe have enacted or are considering enacting similar comprehensive data privacy and security laws and regulations, which could increase the cost and complexity of delivering our services and operating our business. For example, China’s cybersecurity law, which took effect in June 2017, and the Personal Information Protection Law, which took effect on November 1, 2021, broadly regulate data privacy and security practices and their applicability and scope are evolving and aspects of the law are uncertain. As another example, Canada has enacted the Personal Information Protection and Electronic Documents Act and Canada’s Anti-Spam Legislation, which broadly regulate the Processing of personal data and imposes compliance obligations and penalties comparable to those of European data privacy and security laws. Complying with these and other similar laws and regulations (to the extent applicable) may cause us to incur substantial operational costs or require us to change our business practices, and could lead to material fines, penalties and liability.</w:t>
      </w:r>
    </w:p>
    <w:p>
      <w:pPr>
        <w:spacing w:after="0" w:line="149" w:lineRule="exact"/>
        <w:rPr>
          <w:sz w:val="20"/>
          <w:szCs w:val="20"/>
          <w:color w:val="auto"/>
        </w:rPr>
      </w:pPr>
    </w:p>
    <w:p>
      <w:pPr>
        <w:jc w:val="both"/>
        <w:ind w:firstLine="584"/>
        <w:spacing w:after="0" w:line="242" w:lineRule="auto"/>
        <w:rPr>
          <w:sz w:val="20"/>
          <w:szCs w:val="20"/>
          <w:color w:val="auto"/>
        </w:rPr>
      </w:pPr>
      <w:r>
        <w:rPr>
          <w:rFonts w:ascii="Times New Roman" w:cs="Times New Roman" w:eastAsia="Times New Roman" w:hAnsi="Times New Roman"/>
          <w:sz w:val="18"/>
          <w:szCs w:val="18"/>
          <w:color w:val="auto"/>
        </w:rPr>
        <w:t>In addition, many jurisdictions have enacted data localization laws and cross-border persona data transfer laws. These laws may make it more difficult for us to transfer personal data across jurisdictions, which could impede our business. Certain jurisdictions have enacted data localization laws and cross-border personal data transfer laws. For example, absent appropriate safeguards or other circumstances, the EU GDPR generally restricts the transfer of personal data to countries outside of the EEA, such as the United States, which the European Commission does not consider to provide an adequate level of data privacy and security. The European Commission released a set of Standard Contractual Clauses that are designed to be a mechanism by which entities can transfer personal data out of the EEA to jurisdictions that the European Commission has not found to provide an adequate level of protection. Currently, these Standard Contractual clauses are a valid mechanism to transfer personal data outside of the EEA. The Standard Contractual Clauses, however, require parties that rely upon that legal mechanism to comply with additional obligations, such as conducting transfer impact assessments to determine whether additional security measures are necessary to protect the at-issue personal data. Moreover, due to potential legal challenges, there exists some uncertainty regarding whether the Standard Contractual Clauses will remain a valid mechanism for transfers of personal data out of the EEA. In addition, laws in Switzerland and the UK similarly restrict transfers of personal data outside of those jurisdictions to countries such as the United States of America that do not provide an adequate level of personal data protection. In addition to European restrictions on cross-border transfers of personal data, other jurisdictions have enacted or are considering similar cross-border personal data transfer laws and local personal data residency laws, any of which could increase the cost and complexity of doing business. If we cannot implement a valid compliance mechanism for cross-border data privacy and security transfers, we may face increased exposure to regulatory actions, substantial fines, and injunctions against processing or transferring personal data from Europe or elsewhere. The inability to import personal data to the United States could significantly and negatively impact our business operations, including by limiting our ability to collaborate with parties that are subject to European and other data privacy and security laws or requiring us to increase our personal data processing capabilities in Europe and/or elsewhere at significant expense.</w:t>
      </w:r>
    </w:p>
    <w:p>
      <w:pPr>
        <w:spacing w:after="0" w:line="158" w:lineRule="exact"/>
        <w:rPr>
          <w:sz w:val="20"/>
          <w:szCs w:val="20"/>
          <w:color w:val="auto"/>
        </w:rPr>
      </w:pPr>
    </w:p>
    <w:p>
      <w:pPr>
        <w:jc w:val="both"/>
        <w:ind w:firstLine="584"/>
        <w:spacing w:after="0" w:line="242" w:lineRule="auto"/>
        <w:rPr>
          <w:sz w:val="20"/>
          <w:szCs w:val="20"/>
          <w:color w:val="auto"/>
        </w:rPr>
      </w:pPr>
      <w:r>
        <w:rPr>
          <w:rFonts w:ascii="Times New Roman" w:cs="Times New Roman" w:eastAsia="Times New Roman" w:hAnsi="Times New Roman"/>
          <w:sz w:val="18"/>
          <w:szCs w:val="18"/>
          <w:color w:val="auto"/>
        </w:rPr>
        <w:t>Privacy advocates and industry groups have proposed, and may propose in the future, standards with which we are legally or contractually bound to comply. For example, we are also/may be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PCI-DSS can result in penalties ranging from $5,000 to $100,000 per month by credit card companies, litigation, damage to our reputation, and revenue losses. We may also rely on vendors to process payment card data, and those vendors may be subject to PCI DSS, and our business may be negatively affected if our vendors are fined or suffer other consequences as a result of PCI DSS noncompliance.</w:t>
      </w:r>
    </w:p>
    <w:p>
      <w:pPr>
        <w:spacing w:after="0" w:line="159" w:lineRule="exact"/>
        <w:rPr>
          <w:sz w:val="20"/>
          <w:szCs w:val="20"/>
          <w:color w:val="auto"/>
        </w:rPr>
      </w:pPr>
    </w:p>
    <w:p>
      <w:pPr>
        <w:jc w:val="both"/>
        <w:ind w:firstLine="584"/>
        <w:spacing w:after="0" w:line="243" w:lineRule="auto"/>
        <w:rPr>
          <w:sz w:val="20"/>
          <w:szCs w:val="20"/>
          <w:color w:val="auto"/>
        </w:rPr>
      </w:pPr>
      <w:r>
        <w:rPr>
          <w:rFonts w:ascii="Times New Roman" w:cs="Times New Roman" w:eastAsia="Times New Roman" w:hAnsi="Times New Roman"/>
          <w:sz w:val="18"/>
          <w:szCs w:val="18"/>
          <w:color w:val="auto"/>
        </w:rPr>
        <w:t>Our obligations related to data privacy and security are quickly changing in an increasingly stringent fashion. These obligations may be subject to differing applications and interpretations, which may be inconsistent or in conflict among jurisdictions. Preparing for and complying with these obligations requires us to devote significant resources (including, without limitation, financial and time-related resources). These obligations may necessitate changes to our information technologies, systems, and practices and to those of any third parties that process personal data on our behalf. In addition, these obligations may require us to change our business model. Although we endeavor to comply with all applicable data privacy and security obligations, we may at times fail (or be perceived to have failed) to do so. Moreover, despite our efforts, our personnel or third parties upon whom we rely may fail to comply with such obligations which could impact our compliance posture. If we fail, or are perceived to have failed, to address or comply with data privacy and security obligations, we could face significant consequences. These consequences may include, but are not limited to, government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65</w:t>
      </w:r>
    </w:p>
    <w:p>
      <w:pPr>
        <w:spacing w:after="0" w:line="10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enforcement actions (e.g., investigations, fines, penalties, audits, inspections, and similar), litigation (including class-related claims),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but not limited to: loss of customers, interruptions or stoppages in our business operations,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spacing w:after="0" w:line="14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anti-corruption and anti-money laundering laws and regulations. We can face criminal liability and other serious consequences for violations, which can harm our business.</w:t>
      </w:r>
    </w:p>
    <w:p>
      <w:pPr>
        <w:spacing w:after="0" w:line="50" w:lineRule="exact"/>
        <w:rPr>
          <w:sz w:val="20"/>
          <w:szCs w:val="20"/>
          <w:color w:val="auto"/>
        </w:rPr>
      </w:pPr>
    </w:p>
    <w:p>
      <w:pPr>
        <w:jc w:val="both"/>
        <w:ind w:firstLine="584"/>
        <w:spacing w:after="0" w:line="245" w:lineRule="auto"/>
        <w:rPr>
          <w:sz w:val="20"/>
          <w:szCs w:val="20"/>
          <w:color w:val="auto"/>
        </w:rPr>
      </w:pPr>
      <w:r>
        <w:rPr>
          <w:rFonts w:ascii="Times New Roman" w:cs="Times New Roman" w:eastAsia="Times New Roman" w:hAnsi="Times New Roman"/>
          <w:sz w:val="18"/>
          <w:szCs w:val="18"/>
          <w:color w:val="auto"/>
        </w:rPr>
        <w:t>We are subject to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or may in the future conduct activities. Anti-corruption laws are interpreted broadly and prohibit companies and their employees, agents, contractors and other third-party collaborators from authorizing, promising, offering, providing, soliciting or receiving, directly or indirectly, improper payments or anything else of value to or from persons in the public or private sector. The FCPA also requires public companies to make and keep books and records that accurately and fairly reflect the transactions of the corporation and to devise and maintain an adequate system of internal accounting controls.</w:t>
      </w:r>
    </w:p>
    <w:p>
      <w:pPr>
        <w:spacing w:after="0" w:line="154" w:lineRule="exact"/>
        <w:rPr>
          <w:sz w:val="20"/>
          <w:szCs w:val="20"/>
          <w:color w:val="auto"/>
        </w:rPr>
      </w:pPr>
    </w:p>
    <w:p>
      <w:pPr>
        <w:jc w:val="both"/>
        <w:ind w:firstLine="584"/>
        <w:spacing w:after="0" w:line="245" w:lineRule="auto"/>
        <w:rPr>
          <w:sz w:val="20"/>
          <w:szCs w:val="20"/>
          <w:color w:val="auto"/>
        </w:rPr>
      </w:pPr>
      <w:r>
        <w:rPr>
          <w:rFonts w:ascii="Times New Roman" w:cs="Times New Roman" w:eastAsia="Times New Roman" w:hAnsi="Times New Roman"/>
          <w:sz w:val="18"/>
          <w:szCs w:val="18"/>
          <w:color w:val="auto"/>
        </w:rPr>
        <w:t>In addition to selling our products internationally directly through our sales teams, we currently engage third parties outside of the United States, and may engage additional third parties outside of the United States, to sell our products internationally and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third-party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U.S. federal and state fraud and abuse and other healthcare laws and regulations, including those relating to kickbacks and false claims, we could face substantial penalties and our business operations and financial condition could be harmed.</w:t>
      </w:r>
    </w:p>
    <w:p>
      <w:pPr>
        <w:spacing w:after="0" w:line="50" w:lineRule="exact"/>
        <w:rPr>
          <w:sz w:val="20"/>
          <w:szCs w:val="20"/>
          <w:color w:val="auto"/>
        </w:rPr>
      </w:pPr>
    </w:p>
    <w:p>
      <w:pPr>
        <w:jc w:val="both"/>
        <w:ind w:firstLine="584"/>
        <w:spacing w:after="0" w:line="250" w:lineRule="auto"/>
        <w:rPr>
          <w:sz w:val="20"/>
          <w:szCs w:val="20"/>
          <w:color w:val="auto"/>
        </w:rPr>
      </w:pPr>
      <w:r>
        <w:rPr>
          <w:rFonts w:ascii="Times New Roman" w:cs="Times New Roman" w:eastAsia="Times New Roman" w:hAnsi="Times New Roman"/>
          <w:sz w:val="18"/>
          <w:szCs w:val="18"/>
          <w:color w:val="auto"/>
        </w:rPr>
        <w:t>We are exposed to broadly applicable anti-fraud and abuse, anti-kickback, false claims and other healthcare laws and regulations that may constrain our business, our arrangements and relationships with customers, and how we market, sell and distribute our products. We have a compliance program, code of conduct and associated policies and procedures, but it is not always possible to identify and deter misconduct by our employees and other third parties, and the precautions we take to detect and prevent noncompliance may not be effective in protecting us from governmental investigations for failure to comply with applicable fraud and abuse or other healthcare laws and regulations. The laws that may affect our ability to operate include, among others:</w:t>
      </w:r>
    </w:p>
    <w:p>
      <w:pPr>
        <w:spacing w:after="0" w:line="150" w:lineRule="exact"/>
        <w:rPr>
          <w:sz w:val="20"/>
          <w:szCs w:val="20"/>
          <w:color w:val="auto"/>
        </w:rPr>
      </w:pPr>
    </w:p>
    <w:p>
      <w:pPr>
        <w:jc w:val="both"/>
        <w:ind w:left="1020" w:hanging="503"/>
        <w:spacing w:after="0" w:line="241"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Anti-Kickback Statute, which prohibits, among other things, knowingly and willingly soliciting, offering, receiving or paying remuneration, directly or indirectly, overtly or covertly, in cash or in kind, to induce or reward either the referral of a person, or the purchase, order or recommendation of, items or services for which payment may be made, in whole or in part, under a federal healthcare program such as the Medicare and Medicaid programs. The term “remuneration” has been broadly interpreted to include anything of value, and the government can establish a violation of the Anti-Kickback Statute without proving that a person or entity had actual knowledge of the law or a specific intent to violate. In addition, the government may assert that a claim, including items or services resulting from a violation of the Anti-Kickback Statute, constitutes a false or fraudulent claim for purposes of the FCA. There are a number of statutory exceptions and regulatory safe harbors protecting certain business arrangements from prosecution under the Anti-Kickback Statute; however, those exceptions and safe harbors are drawn narrowly, and there may be limited or no exception or safe harbor for many common business activities. Certain common business activities including, certain reimbursement support programs, educational and research grants or charitable donations, and practices that involve remuneration to those who prescribe, purchase or recommend medical devices, including discounts, providing items or services for free or engaging such people as consultants, advisors or speakers, may be subject to scrutiny if they do not fit squarely within any available exception or safe harbor and would be subject to a facts and circumstances analysis to determine compliance with the Anti-Kickback Statute. Our business may not in all cases meet all of the criteria for statutory exception or regulatory safe harbor protection from anti-kickback liability;</w:t>
      </w:r>
    </w:p>
    <w:p>
      <w:pPr>
        <w:spacing w:after="0" w:line="81"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False Claims Act, or the FCA, which prohibits, among other things, persons or entities from knowingly presenting, or causing to be presented, a false or fraudulent claim for payment of government funds and knowingly making, using or causing to be made or used, a false record or statement to get a false claim paid or to avoid, decrease or conceal an obligation to pay money to the federal government. A claim including items or services resulting from a violation of the Anti-Kickback Statute constitutes a false or fraudulent claim for purposes of the FCA. Actions under the FCA may be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66</w:t>
      </w:r>
    </w:p>
    <w:p>
      <w:pPr>
        <w:spacing w:after="0" w:line="104" w:lineRule="exact"/>
        <w:rPr>
          <w:sz w:val="20"/>
          <w:szCs w:val="20"/>
          <w:color w:val="auto"/>
        </w:rPr>
      </w:pPr>
    </w:p>
    <w:p>
      <w:pPr>
        <w:jc w:val="both"/>
        <w:ind w:left="1020"/>
        <w:spacing w:after="0" w:line="242" w:lineRule="auto"/>
        <w:rPr>
          <w:sz w:val="20"/>
          <w:szCs w:val="20"/>
          <w:color w:val="auto"/>
        </w:rPr>
      </w:pPr>
      <w:r>
        <w:rPr>
          <w:rFonts w:ascii="Times New Roman" w:cs="Times New Roman" w:eastAsia="Times New Roman" w:hAnsi="Times New Roman"/>
          <w:sz w:val="18"/>
          <w:szCs w:val="18"/>
          <w:color w:val="auto"/>
        </w:rPr>
        <w:t>brought by the government or as a qui tam action by a private person in the name of the government. These people, sometimes known as “relators” or, more commonly, as “whistleblowers,” may share in any monetary recovery. Many medical device manufacturers have been investigated and have reached substantial financial settlements with the federal government under the FCA for a variety of alleged improper activities, including causing false claims to be submitted as a result of the marketing of their products for unapproved and thus non-reimbursable uses and interactions with prescribers and other customers, including those that may have affected their billing or coding practices and submission of claims to the federal government. FCA liability is potentially significant in the healthcare industry because the statute provides for treble damages and mandatory monetary penalties for each false or fraudulent claim or statement. Because of the potential for large monetary exposure, life sciences companies often resolve allegations without admissions of liability for significant and material amounts to avoid the uncertainty of treble damages and per claim penalties that may be awarded in litigation proceedings. Settlements may require companies to enter into corporate integrity agreements with the government, which may impose substantial costs on companies to ensure compliance. Medical device manufacturers and other healthcare companies also are subject to other federal false claims laws, including, among others, federal criminal healthcare fraud and false statement statutes that extend to non-government health benefit programs;</w:t>
      </w:r>
    </w:p>
    <w:p>
      <w:pPr>
        <w:spacing w:after="0" w:line="81" w:lineRule="exact"/>
        <w:rPr>
          <w:sz w:val="20"/>
          <w:szCs w:val="20"/>
          <w:color w:val="auto"/>
        </w:rPr>
      </w:pPr>
    </w:p>
    <w:p>
      <w:pPr>
        <w:jc w:val="both"/>
        <w:ind w:left="1020" w:hanging="503"/>
        <w:spacing w:after="0" w:line="247"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imposes criminal and civil liability for, among other actions, knowingly and willfully executing, or attempting to execute, a scheme to defraud any healthcare benefit program, including private third-party payors, or knowingly and willfully falsifying, concealing or covering up a material fact or making a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statute or specific intent to violate it to have committed a violation;</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or HITECH Act, and their implementing regulations, also impose obligations, including mandatory contractual terms, on covered entities subject to the rule, such as health plans, healthcare clearinghouses and certain healthcare providers, as well as their business associates that perform certain services for them or on their behalf involving the use or disclosure of individually identifiable health information with respect to safeguarding the privacy, security and transmission of individually identifiable health information;</w:t>
      </w:r>
    </w:p>
    <w:p>
      <w:pPr>
        <w:spacing w:after="0" w:line="69" w:lineRule="exact"/>
        <w:rPr>
          <w:rFonts w:ascii="Times New Roman" w:cs="Times New Roman" w:eastAsia="Times New Roman" w:hAnsi="Times New Roman"/>
          <w:sz w:val="18"/>
          <w:szCs w:val="18"/>
          <w:color w:val="auto"/>
        </w:rPr>
      </w:pPr>
    </w:p>
    <w:p>
      <w:pPr>
        <w:jc w:val="both"/>
        <w:ind w:left="1020" w:hanging="503"/>
        <w:spacing w:after="0" w:line="244"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state laws govern the privacy and security of personal information, including the California Consumer Protection Act, or CCPA, which became effective January 1, 2020, and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w:t>
      </w:r>
    </w:p>
    <w:p>
      <w:pPr>
        <w:spacing w:after="0" w:line="87" w:lineRule="exact"/>
        <w:rPr>
          <w:rFonts w:ascii="Times New Roman" w:cs="Times New Roman" w:eastAsia="Times New Roman" w:hAnsi="Times New Roman"/>
          <w:sz w:val="18"/>
          <w:szCs w:val="18"/>
          <w:color w:val="auto"/>
        </w:rPr>
      </w:pPr>
    </w:p>
    <w:p>
      <w:pPr>
        <w:jc w:val="both"/>
        <w:ind w:left="1020" w:hanging="503"/>
        <w:spacing w:after="0" w:line="243"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implemented as Open Payments, requires manufacturers of drugs, devices, biologics and medical supplies for which payment is available under Medicare, Medicaid or the Children’s Health Insurance Program to report annually, with certain exceptions to CMS, information related to payments or other “transfers of value” made to physicians, as defined by such law, and teaching hospitals, and requires applicable manufacturers and group purchasing organizations to report annually to CMS ownership and investment interests held by physicians and their immediate family members. Beginning in 2022, applicable manufacturers also will be required to report such information regarding payments and transfers of value provided, as well as ownership and investment interests held, during the previous year to physician assistants, nurse practitioners, clinical nurse specialists, certified nurse anesthetists and certified nurse-midwives; and</w:t>
      </w:r>
    </w:p>
    <w:p>
      <w:pPr>
        <w:spacing w:after="0" w:line="78" w:lineRule="exact"/>
        <w:rPr>
          <w:rFonts w:ascii="Times New Roman" w:cs="Times New Roman" w:eastAsia="Times New Roman" w:hAnsi="Times New Roman"/>
          <w:sz w:val="18"/>
          <w:szCs w:val="18"/>
          <w:color w:val="auto"/>
        </w:rPr>
      </w:pPr>
    </w:p>
    <w:p>
      <w:pPr>
        <w:jc w:val="both"/>
        <w:ind w:left="1020" w:hanging="503"/>
        <w:spacing w:after="0" w:line="243"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 equivalents of each of the above federal laws, such as anti-kickback and false claims laws which may apply to items or services reimbursed by any third-party payor, including commercial insurers; state laws that require medical device companies to comply with the industry’s voluntary compliance guidelines and the applicable compliance guidance promulgated by the federal government or otherwise restrict payments that may be made to healthcare providers and other potential referral sources; state beneficiary inducement laws, which are state laws that require medical device manufacturers to report information related to payments and other transfers of value to physicians and other healthcare providers or marketing expenditures; and state and foreign laws governing the privacy and security of health information in certain circumstances, many of which differ from each other in significant ways and may not have the same effect, thus complicating compliance efforts.</w:t>
      </w:r>
    </w:p>
    <w:p>
      <w:pPr>
        <w:spacing w:after="0" w:line="92" w:lineRule="exact"/>
        <w:rPr>
          <w:sz w:val="20"/>
          <w:szCs w:val="20"/>
          <w:color w:val="auto"/>
        </w:rPr>
      </w:pPr>
    </w:p>
    <w:p>
      <w:pPr>
        <w:jc w:val="both"/>
        <w:ind w:firstLine="584"/>
        <w:spacing w:after="0" w:line="246" w:lineRule="auto"/>
        <w:rPr>
          <w:sz w:val="20"/>
          <w:szCs w:val="20"/>
          <w:color w:val="auto"/>
        </w:rPr>
      </w:pPr>
      <w:r>
        <w:rPr>
          <w:rFonts w:ascii="Times New Roman" w:cs="Times New Roman" w:eastAsia="Times New Roman" w:hAnsi="Times New Roman"/>
          <w:sz w:val="18"/>
          <w:szCs w:val="18"/>
          <w:color w:val="auto"/>
        </w:rPr>
        <w:t>State and federal regulatory and enforcement agencies continue to actively investigate violations of healthcare laws and regulations, and the U.S. Congress continues to strengthen the arsenal of enforcement tools. Most recently, the Bipartisan Budget Act of 2018, or the BBA, increased the criminal and civil penalties that can be imposed for violating certain federal health care laws, including the Anti-Kickback Statute. Enforcement agencies also continue to pursue novel theories of liability under these laws. In particular, government agencies have increased regulatory scrutiny and enforcement activity with respect to manufacturer</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67</w:t>
      </w:r>
    </w:p>
    <w:p>
      <w:pPr>
        <w:spacing w:after="0" w:line="1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reimbursement support activities, including bringing criminal charges or civil enforcement actions under the Anti-Kickback Statute, FCA and HIPAA’s healthcare fraud and privacy provisions.</w:t>
      </w:r>
    </w:p>
    <w:p>
      <w:pPr>
        <w:spacing w:after="0" w:line="40" w:lineRule="exact"/>
        <w:rPr>
          <w:sz w:val="20"/>
          <w:szCs w:val="20"/>
          <w:color w:val="auto"/>
        </w:rPr>
      </w:pPr>
    </w:p>
    <w:p>
      <w:pPr>
        <w:jc w:val="both"/>
        <w:ind w:firstLine="578"/>
        <w:spacing w:after="0" w:line="266"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under such laws, it is possible that some of our business activities, including certain sales and marketing practices of our products, could be subject to challenge under one or more such laws. If an arrangement were deemed to violate the Anti-Kickback Statute, it may also subject us to violations under other fraud and abuse laws such as the federal civil FCA and civil monetary penalties laws. Moreover, such arrangements could be found to violate comparable state fraud and abuse laws.</w:t>
      </w:r>
    </w:p>
    <w:p>
      <w:pPr>
        <w:spacing w:after="0" w:line="149" w:lineRule="exact"/>
        <w:rPr>
          <w:sz w:val="20"/>
          <w:szCs w:val="20"/>
          <w:color w:val="auto"/>
        </w:rPr>
      </w:pPr>
    </w:p>
    <w:p>
      <w:pPr>
        <w:jc w:val="both"/>
        <w:ind w:firstLine="578"/>
        <w:spacing w:after="0" w:line="261" w:lineRule="auto"/>
        <w:rPr>
          <w:sz w:val="20"/>
          <w:szCs w:val="20"/>
          <w:color w:val="auto"/>
        </w:rPr>
      </w:pPr>
      <w:r>
        <w:rPr>
          <w:rFonts w:ascii="Times New Roman" w:cs="Times New Roman" w:eastAsia="Times New Roman" w:hAnsi="Times New Roman"/>
          <w:sz w:val="18"/>
          <w:szCs w:val="18"/>
          <w:color w:val="auto"/>
        </w:rPr>
        <w:t>Achieving and sustaining compliance with applicable federal and state anti-fraud and abuse laws may prove costly. If we or our employees are found to have violated any of the above laws we may be subjected to substantial criminal, civil and administrative penalties, including imprisonment, exclusion from participation in federal healthcare programs, such as Medicare and Medicaid, and significant fines, monetary penalties, forfeiture, disgorgement and damages, contractual damages, reputational harm, administrative burdens, diminished profits and future earnings and the curtailment or restructuring of our operations, any of which could adversely affect our ability to operate our business and our financial results. Any action or investigation against us for the violation of these healthcare fraud and abuse laws, even if successfully defended, could result in significant legal expenses and could divert our management’s attention from the operation of our business. Companies settling FCA, Anti-Kickback Statute or civil monetary penalties law cases also may enter into a Corporate Integrity Agreement with the U.S. Department of Health and Human Services Office of Inspector General, or the OIG, to avoid exclusion from participation (such as loss of coverage for their products) in federal healthcare programs such as Medicare and Medicaid. Corporate Integrity Agreements typically impose substantial costs on companies to ensure compliance. Defending against any such actions can be costly, time-consuming and may require significant personnel resources, and may harm our business, financial condition and results of operations.</w:t>
      </w:r>
    </w:p>
    <w:p>
      <w:pPr>
        <w:spacing w:after="0" w:line="15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 which could harm our business, financial condition and results of operations.</w:t>
      </w:r>
    </w:p>
    <w:p>
      <w:pPr>
        <w:spacing w:after="0" w:line="50" w:lineRule="exact"/>
        <w:rPr>
          <w:sz w:val="20"/>
          <w:szCs w:val="20"/>
          <w:color w:val="auto"/>
        </w:rPr>
      </w:pPr>
    </w:p>
    <w:p>
      <w:pPr>
        <w:jc w:val="both"/>
        <w:ind w:firstLine="578"/>
        <w:spacing w:after="0" w:line="26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commercial partners, distributors and vendors may engage in fraudulent or illegal activity. Misconduct by these parties could include intentional, reckless or negligent conduct or disclosure of unauthorized activities to us that violates: (1) the laws of the FDA and other similar regulatory bodies, including those laws requiring the reporting of true, complete and accurate information to such regulators, (2) manufacturing standards, (3) healthcare fraud and abuse laws in the United States and similar foreign fraudulent misconduct laws, or (4) laws that require the true, complete and accurate reporting of financial information or data. These laws may impact, among other things,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w:t>
      </w:r>
    </w:p>
    <w:p>
      <w:pPr>
        <w:spacing w:after="0" w:line="153" w:lineRule="exact"/>
        <w:rPr>
          <w:sz w:val="20"/>
          <w:szCs w:val="20"/>
          <w:color w:val="auto"/>
        </w:rPr>
      </w:pPr>
    </w:p>
    <w:p>
      <w:pPr>
        <w:jc w:val="both"/>
        <w:ind w:firstLine="578"/>
        <w:spacing w:after="0" w:line="261"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our directors, officers and employees, but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imprisonment, additional integrity reporting and oversight obligations, possible exclusion from participation in Medicare, Medicaid and other federal healthcare programs, contractual damages, reputational harm, diminished profits and future earnings and curtailment of operations, any of which could adversely affect our ability to operate our business and our results of operations. Whether or not we are successful in defending against any such actions or investigations, we could incur substantial costs, including legal fees and reputational harm, and divert the attention of management in defending ourselves against any of these claims or investigations, which could harm our business, financial condition and results of operations.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68</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or other intellectual property protection for any of our current or future products, or if the scope of the patent and other intellectual property protection obtained is not sufficiently broad, our competitors could develop and commercialize products similar or identical to ours, and our ability to successfully commercialize our current or future products may be harmed.</w:t>
      </w:r>
    </w:p>
    <w:p>
      <w:pPr>
        <w:spacing w:after="0" w:line="141" w:lineRule="exact"/>
        <w:rPr>
          <w:sz w:val="20"/>
          <w:szCs w:val="20"/>
          <w:color w:val="auto"/>
        </w:rPr>
      </w:pPr>
    </w:p>
    <w:p>
      <w:pPr>
        <w:jc w:val="both"/>
        <w:ind w:firstLine="584"/>
        <w:spacing w:after="0" w:line="245" w:lineRule="auto"/>
        <w:rPr>
          <w:sz w:val="20"/>
          <w:szCs w:val="20"/>
          <w:color w:val="auto"/>
        </w:rPr>
      </w:pPr>
      <w:r>
        <w:rPr>
          <w:rFonts w:ascii="Times New Roman" w:cs="Times New Roman" w:eastAsia="Times New Roman" w:hAnsi="Times New Roman"/>
          <w:sz w:val="18"/>
          <w:szCs w:val="18"/>
          <w:color w:val="auto"/>
        </w:rPr>
        <w:t>As with other flow cytometry companies, our success depends in large part on our ability to obtain, maintain and solidify a proprietary position for our current and any future products, which will depend upon our success in obtaining effective patent protection in the United States and other countries that cover, and other intellectual property with respect to, such products, their manufacturing processes and their intended methods of use and enforcing those patent claims once granted as well as our other intellectual property. In some cases, we may not be able to obtain issued patent claims or other intellectual property covering our technologies which are sufficient to prevent third parties, such as our competitors, from utilizing our products and negate any competitive advantage we may have. Any failure to obtain or maintain patent and other intellectual property protection with respect to our current and any future products or other aspects of our business could harm our business, financial condition and results of operations.</w:t>
      </w:r>
    </w:p>
    <w:p>
      <w:pPr>
        <w:spacing w:after="0" w:line="141" w:lineRule="exact"/>
        <w:rPr>
          <w:sz w:val="20"/>
          <w:szCs w:val="20"/>
          <w:color w:val="auto"/>
        </w:rPr>
      </w:pPr>
    </w:p>
    <w:p>
      <w:pPr>
        <w:jc w:val="both"/>
        <w:ind w:firstLine="578"/>
        <w:spacing w:after="0" w:line="271" w:lineRule="auto"/>
        <w:rPr>
          <w:sz w:val="20"/>
          <w:szCs w:val="20"/>
          <w:color w:val="auto"/>
        </w:rPr>
      </w:pPr>
      <w:r>
        <w:rPr>
          <w:rFonts w:ascii="Times New Roman" w:cs="Times New Roman" w:eastAsia="Times New Roman" w:hAnsi="Times New Roman"/>
          <w:sz w:val="18"/>
          <w:szCs w:val="18"/>
          <w:color w:val="auto"/>
        </w:rPr>
        <w:t>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patents. Additionally, we cannot predict whether the patent applications we are currently pursuing will issue as patents in any particular jurisdiction or whether the claims of any issued patents will provide sufficient protection from competitors or other third parties.</w:t>
      </w:r>
    </w:p>
    <w:p>
      <w:pPr>
        <w:spacing w:after="0" w:line="145" w:lineRule="exact"/>
        <w:rPr>
          <w:sz w:val="20"/>
          <w:szCs w:val="20"/>
          <w:color w:val="auto"/>
        </w:rPr>
      </w:pPr>
    </w:p>
    <w:p>
      <w:pPr>
        <w:jc w:val="both"/>
        <w:ind w:firstLine="584"/>
        <w:spacing w:after="0" w:line="243"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and obtain patent protection. In addition, our ability to obtain and maintain valid and enforceable patents depends in part on whether the differences between our inventions and the prior art allow our inventions to be patentable over the prior art. Furthermore, the publication of discoveries in scientific literature often lags behind the actual discoveries, and patent applications in the United States and other jurisdictions are typically not published until 18 months after filing, or in some cases not at all. Therefore, we cannot be certain that we were the first to file for patent protection of such inventions.</w:t>
      </w:r>
    </w:p>
    <w:p>
      <w:pPr>
        <w:spacing w:after="0" w:line="145" w:lineRule="exact"/>
        <w:rPr>
          <w:sz w:val="20"/>
          <w:szCs w:val="20"/>
          <w:color w:val="auto"/>
        </w:rPr>
      </w:pPr>
    </w:p>
    <w:p>
      <w:pPr>
        <w:jc w:val="both"/>
        <w:ind w:firstLine="584"/>
        <w:spacing w:after="0" w:line="246" w:lineRule="auto"/>
        <w:rPr>
          <w:sz w:val="20"/>
          <w:szCs w:val="20"/>
          <w:color w:val="auto"/>
        </w:rPr>
      </w:pPr>
      <w:r>
        <w:rPr>
          <w:rFonts w:ascii="Times New Roman" w:cs="Times New Roman" w:eastAsia="Times New Roman" w:hAnsi="Times New Roman"/>
          <w:sz w:val="18"/>
          <w:szCs w:val="18"/>
          <w:color w:val="auto"/>
        </w:rPr>
        <w:t>As of June 30, 2022, we own 11 issued U.S. utility patents and three foreign-issued utility patents, one in each of Japan, China, and the European Union (Germany, France, and UK validation. We have 36 pending patent applications, including one design and 18 utility patent applications in the United States, three international utility patent applications; five utility patent applications in the European Union, five invention patent applications in China and four utility patent applications in Japan. Assuming all maintenance fees are paid, the U.S. issued patents are expected to naturally expire between years 2023 and 2038. Patents covering intellectual property relating to design specific technologies invented by our researchers in Shanghai and Wuxi, China are filed in China and owned by our China subsidiaries, respectively. As of June 30, 2022, our Shanghai subsidiary owns 14 issued utility model patents, ten pending invention patent applications and one pending utility model patent application, and our Wuxi subsidiary owns 27 issued patents and has 17 pending patent applications, including nine pending utility model patent applications and eight pending invention patent applications.</w:t>
      </w:r>
    </w:p>
    <w:p>
      <w:pPr>
        <w:spacing w:after="0" w:line="139" w:lineRule="exact"/>
        <w:rPr>
          <w:sz w:val="20"/>
          <w:szCs w:val="20"/>
          <w:color w:val="auto"/>
        </w:rPr>
      </w:pPr>
    </w:p>
    <w:p>
      <w:pPr>
        <w:jc w:val="both"/>
        <w:ind w:firstLine="578"/>
        <w:spacing w:after="0" w:line="261" w:lineRule="auto"/>
        <w:rPr>
          <w:sz w:val="20"/>
          <w:szCs w:val="20"/>
          <w:color w:val="auto"/>
        </w:rPr>
      </w:pPr>
      <w:r>
        <w:rPr>
          <w:rFonts w:ascii="Times New Roman" w:cs="Times New Roman" w:eastAsia="Times New Roman" w:hAnsi="Times New Roman"/>
          <w:sz w:val="18"/>
          <w:szCs w:val="18"/>
          <w:color w:val="auto"/>
        </w:rPr>
        <w:t>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and invalidated by third parties. It is possible that others will design around our current or future patented technologies. It is possible that in the future the scope, validity and enforceability of our patents, licensed patents, patent applications, trademarks, and trademark applications may be challenged at the United States Patent and Trademark Office (“USPTO”) or in proceedings before the patent offices of other jurisdictions. We may not be successful in defending any such challenges made against our patents, patent applications, trademarks or trademark applications. Any successful third party challenge to our patents or trademarks could result in the unenforceability or invalidity of such patents or trademarks and increased competition to our business. We may have to challenge the patents, patent applications, trademarks, or trademark applications of third parties. The outcome of patent litigation or other proceeding can be uncertain, and any attempt by us to enforce our patent rights against others or to challenge the patent rights of others may not be successful, or, if successful, may take substantial time and result in substantial cost, and may divert our efforts and attention from other aspects of our business.</w:t>
      </w:r>
    </w:p>
    <w:p>
      <w:pPr>
        <w:spacing w:after="0" w:line="156" w:lineRule="exact"/>
        <w:rPr>
          <w:sz w:val="20"/>
          <w:szCs w:val="20"/>
          <w:color w:val="auto"/>
        </w:rPr>
      </w:pPr>
    </w:p>
    <w:p>
      <w:pPr>
        <w:jc w:val="both"/>
        <w:ind w:firstLine="584"/>
        <w:spacing w:after="0" w:line="266" w:lineRule="auto"/>
        <w:rPr>
          <w:sz w:val="20"/>
          <w:szCs w:val="20"/>
          <w:color w:val="auto"/>
        </w:rPr>
      </w:pPr>
      <w:r>
        <w:rPr>
          <w:rFonts w:ascii="Times New Roman" w:cs="Times New Roman" w:eastAsia="Times New Roman" w:hAnsi="Times New Roman"/>
          <w:sz w:val="18"/>
          <w:szCs w:val="18"/>
          <w:color w:val="auto"/>
        </w:rPr>
        <w:t>Moreover, in some circumstances, we may not have the right to control the preparation, filing and prosecution of patent applications, or to maintain the patents, covering technology that we license from or license to third parties or that we may jointly-own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69</w:t>
      </w:r>
    </w:p>
    <w:p>
      <w:pPr>
        <w:spacing w:after="0" w:line="1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with third parties in the future and are therefore reliant on our licensors or licensees, and may be reliant on future joint-owners, licensors or licensees, to protect certain of our intellectual property used in our business. If our joint-owners, licensors or licensees fail to adequately protect this intellectual property or if we do not have exclusivity for the marketing of our products, whether because our joint-owners or licensors do not grant us exclusivity or they do not enforce the intellectual property against our competitors, our ability to commercialize products could suffer. Therefore, these and any of our patents and applications may not be prosecuted and enforced in a manner consistent with the best interests of our business.</w:t>
      </w:r>
    </w:p>
    <w:p>
      <w:pPr>
        <w:spacing w:after="0" w:line="137" w:lineRule="exact"/>
        <w:rPr>
          <w:sz w:val="20"/>
          <w:szCs w:val="20"/>
          <w:color w:val="auto"/>
        </w:rPr>
      </w:pPr>
    </w:p>
    <w:p>
      <w:pPr>
        <w:jc w:val="both"/>
        <w:ind w:firstLine="584"/>
        <w:spacing w:after="0" w:line="245" w:lineRule="auto"/>
        <w:rPr>
          <w:sz w:val="20"/>
          <w:szCs w:val="20"/>
          <w:color w:val="auto"/>
        </w:rPr>
      </w:pPr>
      <w:r>
        <w:rPr>
          <w:rFonts w:ascii="Times New Roman" w:cs="Times New Roman" w:eastAsia="Times New Roman" w:hAnsi="Times New Roman"/>
          <w:sz w:val="18"/>
          <w:szCs w:val="18"/>
          <w:color w:val="auto"/>
        </w:rPr>
        <w:t>Defects of form in the preparation or filing of our patents or patent applications may exist, or may arise in the future, for example, with respect to proper priority claims, inventorship and the like. If we or any of our current or future joint-owners, licensors or licensees fail to establish, maintain, protect or enforce such patents and other intellectual property rights, such rights may be reduced or eliminated. If any current or future joint-owners, licensors or licensees are not fully cooperative or disagree with us as to the prosecution, maintenance or enforcement of any patent rights, such patent rights could be compromised. If there are material defects in the form, preparation or prosecution of our patents or patent applications, such patents or applications may be invalid and/or unenforceable. Any of these outcomes could impair our ability to prevent competition from third parties, which may impact our ability to commercialize our products and materially harm our business.</w:t>
      </w:r>
    </w:p>
    <w:p>
      <w:pPr>
        <w:spacing w:after="0" w:line="154" w:lineRule="exact"/>
        <w:rPr>
          <w:sz w:val="20"/>
          <w:szCs w:val="20"/>
          <w:color w:val="auto"/>
        </w:rPr>
      </w:pPr>
    </w:p>
    <w:p>
      <w:pPr>
        <w:jc w:val="both"/>
        <w:ind w:firstLine="584"/>
        <w:spacing w:after="0" w:line="242" w:lineRule="auto"/>
        <w:rPr>
          <w:sz w:val="20"/>
          <w:szCs w:val="20"/>
          <w:color w:val="auto"/>
        </w:rPr>
      </w:pPr>
      <w:r>
        <w:rPr>
          <w:rFonts w:ascii="Times New Roman" w:cs="Times New Roman" w:eastAsia="Times New Roman" w:hAnsi="Times New Roman"/>
          <w:sz w:val="18"/>
          <w:szCs w:val="18"/>
          <w:color w:val="auto"/>
        </w:rPr>
        <w:t>The strength of patent rights generally, and particularly the patent position of life sciences companies, involves complex legal and scientific questions and can be uncertain, and has been the subject of much litigation in recent years. This uncertainty includes changes to the patent laws through either legislative action to changes to statutory patent law or court action that may reinterpret existing law or rules in ways affecting the scope or validity of issued patents or the chances that patent applications will result in issued claims and the scope of any such claims. Our current or future patent applications may fail to result in issued patents in the United States or foreign countries with claims that cover our current and any future products. Even if patents do successfully issue from our patent applications, third parties may challenge the validity, enforceability or scope of such patents, which may result in such patents being narrowed, invalidated or held unenforceable. Any successful challenge to our patents could deprive us of the exclusive rights necessary for the successful commercialization of our current and any future products, which may materially harm our business. Furthermore, even if they are unchallenged, our patents may not adequately protect our current and any future products, provide exclusivity for such products or prevent others from designing around the claims of our patents. If the scope of any patent protection we obtain is not sufficiently broad, or if we lose any of our patent protection, our ability to prevent our competitors from commercializing similar or identical technology and products would be adversely affected and would materially harm our business. If the breadth or strength of protection provided by the patents we hold or pursue with respect to our current and any future products is challenged, it could dissuade companies from collaborating with us to develop, or threaten our ability to commercialize, our current and any future products.</w:t>
      </w:r>
    </w:p>
    <w:p>
      <w:pPr>
        <w:spacing w:after="0" w:line="156" w:lineRule="exact"/>
        <w:rPr>
          <w:sz w:val="20"/>
          <w:szCs w:val="20"/>
          <w:color w:val="auto"/>
        </w:rPr>
      </w:pPr>
    </w:p>
    <w:p>
      <w:pPr>
        <w:jc w:val="both"/>
        <w:ind w:firstLine="584"/>
        <w:spacing w:after="0" w:line="242" w:lineRule="auto"/>
        <w:rPr>
          <w:sz w:val="20"/>
          <w:szCs w:val="20"/>
          <w:color w:val="auto"/>
        </w:rPr>
      </w:pPr>
      <w:r>
        <w:rPr>
          <w:rFonts w:ascii="Times New Roman" w:cs="Times New Roman" w:eastAsia="Times New Roman" w:hAnsi="Times New Roman"/>
          <w:sz w:val="18"/>
          <w:szCs w:val="18"/>
          <w:color w:val="auto"/>
        </w:rPr>
        <w:t>Patents have a limited lifespan. In the United States, the natural expiration of a utility patent is generally 20 years after its effective filing date and the natural expiration of a design patent is generally 14 years after its issue date, unless the filing date occurred on or after May 13, 2015, in which case the natural expiration of a design patent is generally 15 years after its issue date. However, the actual protection afforded by a patent varies from country to country, and depends upon many factors, including the type of patent, the scope of its coverage, the availability of regulatory-related extensions, the availability of legal remedies in a particular country and the validity and enforceability of the patent. The laws of some foreign countries do not protect our proprietary rights to the same extent as the laws of the United States, and we may encounter significant problems in protecting our proprietary rights in these countries. Various extensions may be available; however, the life of a patent, and the protection it affords, is limited. Without patent protection for our current and any future products and services, we may be open to competition, which may harm our business prospects. Further, if we encounter delays in our development efforts, the period of time during which we could market our current and any future products and services under patent protection would be reduced and, given the amount of time required for the development, testing and regulatory review of planned or future products, patents protecting our current and any future products might expire before or shortly after such products are commercialized. As our patents expire, the scope of our patent protection will be reduced, which may reduce or eliminate any competitive advantage afforded by our patent portfolio. As a result, our patent portfolio may not provide us with sufficient rights to exclude others from commercializing products similar or identical to ours.</w:t>
      </w:r>
    </w:p>
    <w:p>
      <w:pPr>
        <w:spacing w:after="0" w:line="162" w:lineRule="exact"/>
        <w:rPr>
          <w:sz w:val="20"/>
          <w:szCs w:val="20"/>
          <w:color w:val="auto"/>
        </w:rPr>
      </w:pPr>
    </w:p>
    <w:p>
      <w:pPr>
        <w:jc w:val="both"/>
        <w:ind w:firstLine="584"/>
        <w:spacing w:after="0" w:line="245" w:lineRule="auto"/>
        <w:rPr>
          <w:sz w:val="20"/>
          <w:szCs w:val="20"/>
          <w:color w:val="auto"/>
        </w:rPr>
      </w:pPr>
      <w:r>
        <w:rPr>
          <w:rFonts w:ascii="Times New Roman" w:cs="Times New Roman" w:eastAsia="Times New Roman" w:hAnsi="Times New Roman"/>
          <w:sz w:val="18"/>
          <w:szCs w:val="18"/>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own now or in the future may be challenged, narrowed, circumvented or invalidated by third parties. Consequently, we do not know whether our current and any future products or other technologies will be protectable or remain protected by valid and enforceable patents. Our competitors or other third parties may be able to circumvent our patents by developing similar or alternative technologies or products in a non-infringing manner which could harm our business, financial condition and results of operations.</w:t>
      </w:r>
    </w:p>
    <w:p>
      <w:pPr>
        <w:spacing w:after="0" w:line="141" w:lineRule="exact"/>
        <w:rPr>
          <w:sz w:val="20"/>
          <w:szCs w:val="20"/>
          <w:color w:val="auto"/>
        </w:rPr>
      </w:pPr>
    </w:p>
    <w:p>
      <w:pPr>
        <w:jc w:val="both"/>
        <w:ind w:firstLine="584"/>
        <w:spacing w:after="0" w:line="258" w:lineRule="auto"/>
        <w:rPr>
          <w:sz w:val="20"/>
          <w:szCs w:val="20"/>
          <w:color w:val="auto"/>
        </w:rPr>
      </w:pPr>
      <w:r>
        <w:rPr>
          <w:rFonts w:ascii="Times New Roman" w:cs="Times New Roman" w:eastAsia="Times New Roman" w:hAnsi="Times New Roman"/>
          <w:sz w:val="18"/>
          <w:szCs w:val="18"/>
          <w:color w:val="auto"/>
        </w:rPr>
        <w:t>Some of our patents and patent applications may in the future be jointly-owned with third parties, including certain universities and public institutions in the United States and China. If we are unable to obtain an exclusive license to any such third-party joint-owners’ interest in such patents or patent applications, such co-owners may be able to license their rights to other third parties, including</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70</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competitors, and our competitors could market competing products and technology. In addition, we may need the cooperation of any such joint-owners patents to enforce such patents against third parties, and such cooperation may not be provided to us. Any of the foregoing could harm our business, financial condition and results of operations.</w:t>
      </w:r>
    </w:p>
    <w:p>
      <w:pPr>
        <w:spacing w:after="0" w:line="142" w:lineRule="exact"/>
        <w:rPr>
          <w:sz w:val="20"/>
          <w:szCs w:val="20"/>
          <w:color w:val="auto"/>
        </w:rPr>
      </w:pPr>
    </w:p>
    <w:p>
      <w:pPr>
        <w:jc w:val="both"/>
        <w:ind w:firstLine="584"/>
        <w:spacing w:after="0" w:line="242" w:lineRule="auto"/>
        <w:rPr>
          <w:sz w:val="20"/>
          <w:szCs w:val="20"/>
          <w:color w:val="auto"/>
        </w:rPr>
      </w:pPr>
      <w:r>
        <w:rPr>
          <w:rFonts w:ascii="Times New Roman" w:cs="Times New Roman" w:eastAsia="Times New Roman" w:hAnsi="Times New Roman"/>
          <w:sz w:val="18"/>
          <w:szCs w:val="18"/>
          <w:color w:val="auto"/>
        </w:rPr>
        <w:t>Additionally, we may find it necessary or prudent to acquire or obtain licenses from third-party intellectual property holders. However, we may be unable to acquire or secure such licenses to any intellectual property rights from third parties that we identify as necessary for our current and any future products. The acquisition or licensing of third-party intellectual property rights is a competitive area, and our competitors may pursue strategies to acquire or license third-party intellectual property rights that we may consider attractive or necessary. Our competitors may have a competitive advantage over us due to their size, capital resources and greater development and commercialization capabilities. In addition, companies that perceive us to be a competitor may be unwilling to assign or license rights to us. We also may be unable to acquire or license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products, which could harm our business, financial condition and results of operations.</w:t>
      </w:r>
    </w:p>
    <w:p>
      <w:pPr>
        <w:spacing w:after="0" w:line="35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Patents covering our current, and any future products, or our technologies could be found invalid or unenforceable if challenged in court or before administrative bodies in the United States or abroad, which could harm our business, financial condition and results of operations.</w:t>
      </w:r>
    </w:p>
    <w:p>
      <w:pPr>
        <w:spacing w:after="0" w:line="37" w:lineRule="exact"/>
        <w:rPr>
          <w:sz w:val="20"/>
          <w:szCs w:val="20"/>
          <w:color w:val="auto"/>
        </w:rPr>
      </w:pPr>
    </w:p>
    <w:p>
      <w:pPr>
        <w:jc w:val="both"/>
        <w:ind w:firstLine="584"/>
        <w:spacing w:after="0" w:line="243"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patents may be challenged in the courts, the USPTO or patent offices abroad and may not provide us with adequate proprietary protection or competitive advantage against competitors with similar products. We may be subject to a third-party preissuance submission of prior art to the USPTO or become involved in opposition, derivation, revocation, reexamination, post-grant and inter partes review (“IPR”), or interference proceedings or other similar proceedings challenging our patent rights. An adverse determination in any such submission, proceeding or litigation could reduce the scope of, or invalidate or render unenforceable, such patent rights, allow third parties to commercialize our current and any future products and compete directly with us, without payment to us, or result in our inability to manufacture or commercialize products without infringing third-party patent rights. Moreover, we may have to participate in post-grant challenge proceedings, such as oppositions in a foreign patent office, that challenge features of patentability with respect to our patents and patent applications. Such challenges may result in loss of patent rights, in loss of exclusivity or in patent claims being narrowed, invalidated or held unenforceable, which could limit our ability to stop others from using or commercializing similar or identical technology and products, or limit the duration of the patent protection of our current and any future products or technologies. Such proceedings also may result in substantial cost and require significant time from our management, even if the eventual outcome is favorable to us.</w:t>
      </w:r>
    </w:p>
    <w:p>
      <w:pPr>
        <w:spacing w:after="0" w:line="145" w:lineRule="exact"/>
        <w:rPr>
          <w:sz w:val="20"/>
          <w:szCs w:val="20"/>
          <w:color w:val="auto"/>
        </w:rPr>
      </w:pPr>
    </w:p>
    <w:p>
      <w:pPr>
        <w:jc w:val="both"/>
        <w:ind w:firstLine="584"/>
        <w:spacing w:after="0" w:line="242" w:lineRule="auto"/>
        <w:rPr>
          <w:sz w:val="20"/>
          <w:szCs w:val="20"/>
          <w:color w:val="auto"/>
        </w:rPr>
      </w:pPr>
      <w:r>
        <w:rPr>
          <w:rFonts w:ascii="Times New Roman" w:cs="Times New Roman" w:eastAsia="Times New Roman" w:hAnsi="Times New Roman"/>
          <w:sz w:val="18"/>
          <w:szCs w:val="18"/>
          <w:color w:val="auto"/>
        </w:rPr>
        <w:t>In addition, if we initiate legal proceedings against a third party to enforce a patent covering our current and any future products,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Defenses of these types of claims, regardless of their merit, would involve substantial litigation expense and would be a substantial diversion of employee resources from our business. Third parties may also raise claims challenging the validity or enforceability of our patents before administrative bodies in the United States or abroad, even outside the context of litigation, including through re-examination, post-grant review, IPR, derivation proceedings and equivalent proceedings in foreign jurisdictions (such as opposition proceedings). Such proceedings could result in the revocation of, cancellation of or amendment to our patents in such a way that they no longer cover or provide meaningful protection of our current and any future products or technologies. The outcome for any particular patent following legal assertions of invalidity and unenforceability is unpredictable. With respect to the validity question, for example, we cannot be certain that there is no invalidating prior art, of which we and the patent examiner were unaware during prosecution. If a defendant or other third-party were to prevail on a legal assertion of invalidity or unenforceability, we would lose at least part, and perhaps all, of the patent protection on our current and any future products and technology. Such a loss of patent protection would harm our business, financial condition and results of operations.</w:t>
      </w:r>
    </w:p>
    <w:p>
      <w:pPr>
        <w:spacing w:after="0" w:line="1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substantially on our trademarks and trade names. If our trademarks and trade names are not adequately protected, then we may not be able to build name recognition in our markets of interest and our business may be harmed.</w:t>
      </w:r>
    </w:p>
    <w:p>
      <w:pPr>
        <w:spacing w:after="0" w:line="37" w:lineRule="exact"/>
        <w:rPr>
          <w:sz w:val="20"/>
          <w:szCs w:val="20"/>
          <w:color w:val="auto"/>
        </w:rPr>
      </w:pPr>
    </w:p>
    <w:p>
      <w:pPr>
        <w:jc w:val="both"/>
        <w:ind w:firstLine="584"/>
        <w:spacing w:after="0" w:line="244" w:lineRule="auto"/>
        <w:rPr>
          <w:sz w:val="20"/>
          <w:szCs w:val="20"/>
          <w:color w:val="auto"/>
        </w:rPr>
      </w:pPr>
      <w:r>
        <w:rPr>
          <w:rFonts w:ascii="Times New Roman" w:cs="Times New Roman" w:eastAsia="Times New Roman" w:hAnsi="Times New Roman"/>
          <w:sz w:val="18"/>
          <w:szCs w:val="18"/>
          <w:color w:val="auto"/>
        </w:rPr>
        <w:t>We rely substantially upon trademarks to build and maintain the integrity of our brand. Our registered and unregistered trademarks or trade names may be challenged, infringed, circumvented, declared generic or determined to be violating or infringing on other marks. We may not be able to protect our rights to these trademarks and trade names, which we rely upon to build name recognition among potential partners and customers in our markets of interest. At times, competitors or other third parties may adopt trade names or trademarks similar to ours, thereby impeding our ability to build brand identity and possibly leading to market confusion and asserting claims against such third parties may be prohibitively expensive. In addition, there could be potential trade name or trademark</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71</w:t>
      </w:r>
    </w:p>
    <w:p>
      <w:pPr>
        <w:spacing w:after="0" w:line="1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infringement or dilution claims brought by owners of other trademarks against us.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or other intellectual property may be ineffective, could result in substantial costs and diversion of resources and could harm our business, financial condition and results of operations.</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intellectual property, including patent, protection depends on compliance with various procedural, document submission, fee payment and other requirements imposed by government agencies, and our intellectual property, including patent, protection could be reduced or eliminated for non-compliance with these requirements.</w:t>
      </w:r>
    </w:p>
    <w:p>
      <w:pPr>
        <w:spacing w:after="0" w:line="60" w:lineRule="exact"/>
        <w:rPr>
          <w:sz w:val="20"/>
          <w:szCs w:val="20"/>
          <w:color w:val="auto"/>
        </w:rPr>
      </w:pPr>
    </w:p>
    <w:p>
      <w:pPr>
        <w:jc w:val="both"/>
        <w:ind w:firstLine="584"/>
        <w:spacing w:after="0" w:line="242"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intellectual property registrations and applications will be due to be paid to the applicable government agencies, including with respect to patents and patent applications the USPTO and similar agencies outside of the United States, over the lifetime of our intellectual property registrations and applications, including our patents and patent applications. The various applicable government agencies, including with respect to patents and patent applications the USPTO and similar agencies outside of the United States, require compliance with several procedural, documentary, fee payment and other similar provisions during the application process. In some cases, an inadvertent lapse can be cured by payment of a late fee or by other means in accordance with the applicable rules. There are situations, however, in which non-compliance can result in the abandonment or lapse of the intellectual property registration or application, resulting in a partial or complete loss of intellectual property rights in the relevant jurisdiction. Non-compliance events that could result in abandonment or lapse of an intellectual property registration or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products or technology, which could harm our business, financial condition and results of operations.</w:t>
      </w:r>
    </w:p>
    <w:p>
      <w:pPr>
        <w:spacing w:after="0" w:line="1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have limited foreign intellectual property rights outside the United States, selected countries in the European Union, Japan and China and may not be able to protect our intellectual property and proprietary rights throughout the world, which could harm our business, financial condition and results of operations.</w:t>
      </w:r>
    </w:p>
    <w:p>
      <w:pPr>
        <w:spacing w:after="0" w:line="60" w:lineRule="exact"/>
        <w:rPr>
          <w:sz w:val="20"/>
          <w:szCs w:val="20"/>
          <w:color w:val="auto"/>
        </w:rPr>
      </w:pPr>
    </w:p>
    <w:p>
      <w:pPr>
        <w:jc w:val="both"/>
        <w:ind w:firstLine="584"/>
        <w:spacing w:after="0" w:line="243" w:lineRule="auto"/>
        <w:rPr>
          <w:sz w:val="20"/>
          <w:szCs w:val="20"/>
          <w:color w:val="auto"/>
        </w:rPr>
      </w:pPr>
      <w:r>
        <w:rPr>
          <w:rFonts w:ascii="Times New Roman" w:cs="Times New Roman" w:eastAsia="Times New Roman" w:hAnsi="Times New Roman"/>
          <w:sz w:val="18"/>
          <w:szCs w:val="18"/>
          <w:color w:val="auto"/>
        </w:rPr>
        <w:t>We have limited intellectual property rights outside the United States, selected countries in the European Union, Japan and China. Filing, prosecuting and defending patents or trademarks on our current and any future products in all countries throughout the world would be prohibitively expensive, and the laws of foreign countries may not protect our rights to the same extent as the laws of the United States. Consequently, we may not be able to prevent third parties from practicing our inventions or utilizing our trademarks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and any future products, and our patents or other intellectual property rights may not be effective or sufficient to prevent them from competing.</w:t>
      </w:r>
    </w:p>
    <w:p>
      <w:pPr>
        <w:spacing w:after="0" w:line="78" w:lineRule="exact"/>
        <w:rPr>
          <w:sz w:val="20"/>
          <w:szCs w:val="20"/>
          <w:color w:val="auto"/>
        </w:rPr>
      </w:pPr>
    </w:p>
    <w:p>
      <w:pPr>
        <w:jc w:val="both"/>
        <w:ind w:firstLine="584"/>
        <w:spacing w:after="0" w:line="24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In addition, changes in the law and legal decisions by courts in the United States and foreign countries may affect our ability to obtain adequate protection for our technology and the enforcement of our intellectual property.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current and any future products.</w:t>
      </w:r>
    </w:p>
    <w:p>
      <w:pPr>
        <w:spacing w:after="0" w:line="108" w:lineRule="exact"/>
        <w:rPr>
          <w:sz w:val="20"/>
          <w:szCs w:val="20"/>
          <w:color w:val="auto"/>
        </w:rPr>
      </w:pPr>
    </w:p>
    <w:p>
      <w:pPr>
        <w:jc w:val="both"/>
        <w:ind w:firstLine="584"/>
        <w:spacing w:after="0" w:line="245"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third-party was the first to invent the claimed invention. A third-party that files a patent application in the USPTO after March 2013, but before us could therefore be awarded a patent covering an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72</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invention of ours even if we had made the invention before it was made by such third-party. This will require us to be cognizant of the time from invention to filing of a patent application. Since patent applications in the United States and most other countries are confidential for a period of time after filing or until issuance, we cannot be certain that we were the first to file any patent application related to our current and any future products.</w:t>
      </w:r>
    </w:p>
    <w:p>
      <w:pPr>
        <w:spacing w:after="0" w:line="142" w:lineRule="exact"/>
        <w:rPr>
          <w:sz w:val="20"/>
          <w:szCs w:val="20"/>
          <w:color w:val="auto"/>
        </w:rPr>
      </w:pPr>
    </w:p>
    <w:p>
      <w:pPr>
        <w:jc w:val="both"/>
        <w:ind w:firstLine="584"/>
        <w:spacing w:after="0" w:line="250" w:lineRule="auto"/>
        <w:rPr>
          <w:sz w:val="20"/>
          <w:szCs w:val="20"/>
          <w:color w:val="auto"/>
        </w:rPr>
      </w:pPr>
      <w:r>
        <w:rPr>
          <w:rFonts w:ascii="Times New Roman" w:cs="Times New Roman" w:eastAsia="Times New Roman" w:hAnsi="Times New Roman"/>
          <w:sz w:val="18"/>
          <w:szCs w:val="18"/>
          <w:color w:val="auto"/>
        </w:rPr>
        <w:t>The America Invents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IPR and derivation proceedings.</w:t>
      </w:r>
    </w:p>
    <w:p>
      <w:pPr>
        <w:spacing w:after="0" w:line="150" w:lineRule="exact"/>
        <w:rPr>
          <w:sz w:val="20"/>
          <w:szCs w:val="20"/>
          <w:color w:val="auto"/>
        </w:rPr>
      </w:pPr>
    </w:p>
    <w:p>
      <w:pPr>
        <w:jc w:val="both"/>
        <w:ind w:firstLine="584"/>
        <w:spacing w:after="0" w:line="243" w:lineRule="auto"/>
        <w:rPr>
          <w:sz w:val="20"/>
          <w:szCs w:val="20"/>
          <w:color w:val="auto"/>
        </w:rPr>
      </w:pPr>
      <w:r>
        <w:rPr>
          <w:rFonts w:ascii="Times New Roman" w:cs="Times New Roman" w:eastAsia="Times New Roman" w:hAnsi="Times New Roman"/>
          <w:sz w:val="18"/>
          <w:szCs w:val="18"/>
          <w:color w:val="auto"/>
        </w:rPr>
        <w:t>Because of a lower evidentiary standard in USPTO proceedings compared to the evidentiary standard in U.S. federal courts necessary to invalidate a patent claim, a third-party could potentially provide evidence in a USPTO proceeding sufficient for the USPTO to hold a claim invalid even though the same evidence would be insufficient to invalidate the claim if first presented in a district court action. Accordingly, a third-party may attempt to use the USPTO procedures to invalidate our patent claims that would not have been invalidated if first challenged by the third-party as a defendant in a district court action. Therefore, the America Invents Act and its implementation could increase the uncertainties and costs surrounding the prosecution of our patent applications and the enforcement or defense of our issued patents. In addition, future actions by the U.S. Congress, the federal courts and the USPTO could cause the laws and regulations governing patents to change in unpredictable ways. Any of the foregoing could harm our business, financial condition and results of operations.</w:t>
      </w:r>
    </w:p>
    <w:p>
      <w:pPr>
        <w:spacing w:after="0" w:line="159" w:lineRule="exact"/>
        <w:rPr>
          <w:sz w:val="20"/>
          <w:szCs w:val="20"/>
          <w:color w:val="auto"/>
        </w:rPr>
      </w:pPr>
    </w:p>
    <w:p>
      <w:pPr>
        <w:jc w:val="both"/>
        <w:ind w:firstLine="584"/>
        <w:spacing w:after="0" w:line="245" w:lineRule="auto"/>
        <w:rPr>
          <w:sz w:val="20"/>
          <w:szCs w:val="20"/>
          <w:color w:val="auto"/>
        </w:rPr>
      </w:pPr>
      <w:r>
        <w:rPr>
          <w:rFonts w:ascii="Times New Roman" w:cs="Times New Roman" w:eastAsia="Times New Roman" w:hAnsi="Times New Roman"/>
          <w:sz w:val="18"/>
          <w:szCs w:val="18"/>
          <w:color w:val="auto"/>
        </w:rPr>
        <w:t>In addition, recent U.S. Supreme Court rulings have made and will likely continue to make changes in how the patent laws of the United States are interpreted. In addition to increasing uncertainty with regard to our ability to obtain patents in the future,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weaken our ability to obtain new patents or to enforce our existing patents and patents that we might obtain in the future. We cannot predict how this and future decisions by the courts, the U.S. Congress or the USPTO may impact the value of our patents. Any similar adverse changes in the patent laws of other jurisdictions could also harm our business, financial condition, results of operations and prospects.</w:t>
      </w:r>
    </w:p>
    <w:p>
      <w:pPr>
        <w:spacing w:after="0" w:line="1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misappropriation or other violation against us, the joint-owners of our intellectual property, or our collaborators may prevent or delay the sale and marketing of our current and any future products.</w:t>
      </w:r>
    </w:p>
    <w:p>
      <w:pPr>
        <w:spacing w:after="0" w:line="63" w:lineRule="exact"/>
        <w:rPr>
          <w:sz w:val="20"/>
          <w:szCs w:val="20"/>
          <w:color w:val="auto"/>
        </w:rPr>
      </w:pPr>
    </w:p>
    <w:p>
      <w:pPr>
        <w:jc w:val="both"/>
        <w:ind w:firstLine="584"/>
        <w:spacing w:after="0" w:line="243" w:lineRule="auto"/>
        <w:rPr>
          <w:sz w:val="20"/>
          <w:szCs w:val="20"/>
          <w:color w:val="auto"/>
        </w:rPr>
      </w:pPr>
      <w:r>
        <w:rPr>
          <w:rFonts w:ascii="Times New Roman" w:cs="Times New Roman" w:eastAsia="Times New Roman" w:hAnsi="Times New Roman"/>
          <w:sz w:val="18"/>
          <w:szCs w:val="18"/>
          <w:color w:val="auto"/>
        </w:rPr>
        <w:t>The flow cytometry industry is highly competitive and dynamic. Due to the focused research and development that is taking place by several companies, including us and our competitors, in this field, the intellectual property landscape is in flux, and it may remain uncertain in the future. As such, we could become subject to significant intellectual property-related litigation and proceedings relating to our or third-party intellectual property and proprietary rights. Such litigation and proceedings may cause us to incur significant expense, including the payment of damages, settlement payments and/or royalty payments. For example, in February 2018, BD filed suit against us and certain of our employees in the United States District Court for the Northern District of California asserting a number of claims against us, including misappropriation of trade secrets and copyright infringement. In October 2020, we entered into a settlement agreement with BD resulting in a dismissal of all claims and a release of all claims between the parties. Pursuant to the settlement agreement with BD, we are required to make certain payments to BD, including royalty payments on sales of certain of our products.</w:t>
      </w:r>
    </w:p>
    <w:p>
      <w:pPr>
        <w:spacing w:after="0" w:line="159" w:lineRule="exact"/>
        <w:rPr>
          <w:sz w:val="20"/>
          <w:szCs w:val="20"/>
          <w:color w:val="auto"/>
        </w:rPr>
      </w:pPr>
    </w:p>
    <w:p>
      <w:pPr>
        <w:jc w:val="both"/>
        <w:ind w:firstLine="584"/>
        <w:spacing w:after="0" w:line="245" w:lineRule="auto"/>
        <w:rPr>
          <w:sz w:val="20"/>
          <w:szCs w:val="20"/>
          <w:color w:val="auto"/>
        </w:rPr>
      </w:pPr>
      <w:r>
        <w:rPr>
          <w:rFonts w:ascii="Times New Roman" w:cs="Times New Roman" w:eastAsia="Times New Roman" w:hAnsi="Times New Roman"/>
          <w:sz w:val="18"/>
          <w:szCs w:val="18"/>
          <w:color w:val="auto"/>
        </w:rPr>
        <w:t>Our commercial success depends in part on our and any potential future collaborators’ ability to develop, manufacture, market and sell any products that we may develop and use our proprietary technologies without infringing, misappropriating or otherwise violating the patents and other intellectual property or proprietary rights of third parties. It is uncertain whether the issuance of any third-party patent would require us or any potential collaborators to alter our development or commercial strategies, obtain licenses or cease certain activities. The medical device industry is characterized by extensive litigation regarding patents and other intellectual property rights, as well as administrative proceedings for challenging patents, including interference, inter partes or post-grant review, derivation and reexamination proceedings before the USPTO or oppositions and other comparable proceedings in foreign jurisdictions.</w:t>
      </w:r>
    </w:p>
    <w:p>
      <w:pPr>
        <w:spacing w:after="0" w:line="141" w:lineRule="exact"/>
        <w:rPr>
          <w:sz w:val="20"/>
          <w:szCs w:val="20"/>
          <w:color w:val="auto"/>
        </w:rPr>
      </w:pPr>
    </w:p>
    <w:p>
      <w:pPr>
        <w:jc w:val="both"/>
        <w:ind w:firstLine="584"/>
        <w:spacing w:after="0" w:line="246" w:lineRule="auto"/>
        <w:rPr>
          <w:sz w:val="20"/>
          <w:szCs w:val="20"/>
          <w:color w:val="auto"/>
        </w:rPr>
      </w:pPr>
      <w:r>
        <w:rPr>
          <w:rFonts w:ascii="Times New Roman" w:cs="Times New Roman" w:eastAsia="Times New Roman" w:hAnsi="Times New Roman"/>
          <w:sz w:val="18"/>
          <w:szCs w:val="18"/>
          <w:color w:val="auto"/>
        </w:rPr>
        <w:t>Third parties, including our competitors, may currently have patents or obtain patents in the future and claim that the manufacture, use or sale of our current and any future products infringes upon these patents. We have not conducted an extensive search of patents issued or assigned to other parties, including our competitors, and no assurance can be given that patents containing claims covering our current and any future products, components of our current and any future products, technology or methods do not exist, have not been filed or could not be filed or issued. In addition, because patent applications can take many years to issue and because publication schedules for pending applications vary by jurisdiction, there may be applications now pending of which we are unaware and which may result in issued patents which our current or future products infringe. Also, because the claims of published patent applications can change between publication and patent grant, there may be published patent applications that may ultimately issue with claims that we infringe. As the number of competitors in our market grows and the number of patents issued in this area increases, the possibility of</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73</w:t>
      </w:r>
    </w:p>
    <w:p>
      <w:pPr>
        <w:spacing w:after="0" w:line="1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patent infringement claims against us escalates, increasing the risk that we will be required to incur significant expenses defending any such claims or lose patent protection for our current or future products.</w:t>
      </w:r>
    </w:p>
    <w:p>
      <w:pPr>
        <w:spacing w:after="0" w:line="108" w:lineRule="exact"/>
        <w:rPr>
          <w:sz w:val="20"/>
          <w:szCs w:val="20"/>
          <w:color w:val="auto"/>
        </w:rPr>
      </w:pPr>
    </w:p>
    <w:p>
      <w:pPr>
        <w:jc w:val="both"/>
        <w:ind w:firstLine="584"/>
        <w:spacing w:after="0" w:line="243" w:lineRule="auto"/>
        <w:rPr>
          <w:sz w:val="20"/>
          <w:szCs w:val="20"/>
          <w:color w:val="auto"/>
        </w:rPr>
      </w:pPr>
      <w:r>
        <w:rPr>
          <w:rFonts w:ascii="Times New Roman" w:cs="Times New Roman" w:eastAsia="Times New Roman" w:hAnsi="Times New Roman"/>
          <w:sz w:val="18"/>
          <w:szCs w:val="18"/>
          <w:color w:val="auto"/>
        </w:rPr>
        <w:t>We may also be subject to claims that current or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our current and any future products. Litigation may be necessary to defend against these and other claims challenging inventorship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our current and any future products. If we were to lose exclusive ownership of such intellectual property, other owners may be able to license their rights to other third parties, including our competitors. We also may be required to obtain and maintain licenses from third parties, including parties involved in any such disputes. Such licenses may not be available on commercially reasonable terms, or at all, or may be non-exclusive. If we are unable to obtain and maintain such licenses, we may need to cease the development, manufacture and commercialization of one or more of our current and any future products. The loss of exclusivity or the narrowing of our patent claims could limit our ability to stop others from using or commercializing similar or identical technology and products. Even if we are successful in defending against such claims, litigation could result in substantial costs and be a distraction to management and other employees. Any of the foregoing could harm our business, financial condition and results of operations.</w:t>
      </w:r>
    </w:p>
    <w:p>
      <w:pPr>
        <w:spacing w:after="0" w:line="158" w:lineRule="exact"/>
        <w:rPr>
          <w:sz w:val="20"/>
          <w:szCs w:val="20"/>
          <w:color w:val="auto"/>
        </w:rPr>
      </w:pPr>
    </w:p>
    <w:p>
      <w:pPr>
        <w:jc w:val="both"/>
        <w:ind w:firstLine="584"/>
        <w:spacing w:after="0" w:line="241" w:lineRule="auto"/>
        <w:rPr>
          <w:sz w:val="20"/>
          <w:szCs w:val="20"/>
          <w:color w:val="auto"/>
        </w:rPr>
      </w:pPr>
      <w:r>
        <w:rPr>
          <w:rFonts w:ascii="Times New Roman" w:cs="Times New Roman" w:eastAsia="Times New Roman" w:hAnsi="Times New Roman"/>
          <w:sz w:val="18"/>
          <w:szCs w:val="18"/>
          <w:color w:val="auto"/>
        </w:rPr>
        <w:t>In the event that any third-party claims that we infringe their patents or that we are otherwise employing their proprietary technology without authorization and initiates litigation against us, even if we believe such claims are without merit, there is no assurance that a court would find in our favor on questions of infringement, validity, enforceability or priority. A court of competent jurisdiction could hold that these third-party patents are valid, enforceable and infringed by our current and any future products, which could harm our ability to commercialize any product we may develop and any other technologies covered by the asserted third-party patents.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third-party intellectual property rights, including patents, and we are unsuccessful in demonstrating that such patents or other intellectual property rights are invalid or unenforceable, such third parties may be able to block our ability to commercialize the applicable products or technology unless we obtain a license under the applicable patents, or until such patents expire or are finally determined to be held invalid or unenforceable. Such a license may not be available on commercially reasonable terms, or at all. Even if we are able to obtain a license, the license would likely obligate us to pay significant license fees and/or royalties, and the rights granted to us might be non-exclusive, which could result in our competitors gaining access to the same technology. If we are unable to obtain a necessary license to a third-party patent on commercially reasonable terms, or at all, we may be unable to commercialize our current and any future products, or such commercialization efforts may be significantly delayed, which could in turn significantly harm our business.</w:t>
      </w:r>
    </w:p>
    <w:p>
      <w:pPr>
        <w:spacing w:after="0" w:line="163" w:lineRule="exact"/>
        <w:rPr>
          <w:sz w:val="20"/>
          <w:szCs w:val="20"/>
          <w:color w:val="auto"/>
        </w:rPr>
      </w:pPr>
    </w:p>
    <w:p>
      <w:pPr>
        <w:jc w:val="both"/>
        <w:ind w:firstLine="584"/>
        <w:spacing w:after="0" w:line="245" w:lineRule="auto"/>
        <w:rPr>
          <w:sz w:val="20"/>
          <w:szCs w:val="20"/>
          <w:color w:val="auto"/>
        </w:rPr>
      </w:pPr>
      <w:r>
        <w:rPr>
          <w:rFonts w:ascii="Times New Roman" w:cs="Times New Roman" w:eastAsia="Times New Roman" w:hAnsi="Times New Roman"/>
          <w:sz w:val="18"/>
          <w:szCs w:val="18"/>
          <w:color w:val="auto"/>
        </w:rPr>
        <w:t>Defense of infringement claims, regardless of their merit or outcome,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and/or have to pay substantial damages for use of the asserted intellectual property, including treble damages and attorneys’ fees were we found to willfully infringe such intellectual property. Claims that we have misappropriated the confidential information or trade secrets of third parties could harm our business, financial condition and results of operations. We also might have to redesign our infringing products or technologies, which may be impossible or require substantial time and monetary expenditure.</w:t>
      </w:r>
    </w:p>
    <w:p>
      <w:pPr>
        <w:spacing w:after="0" w:line="154" w:lineRule="exact"/>
        <w:rPr>
          <w:sz w:val="20"/>
          <w:szCs w:val="20"/>
          <w:color w:val="auto"/>
        </w:rPr>
      </w:pPr>
    </w:p>
    <w:p>
      <w:pPr>
        <w:jc w:val="both"/>
        <w:ind w:firstLine="584"/>
        <w:spacing w:after="0" w:line="242" w:lineRule="auto"/>
        <w:rPr>
          <w:sz w:val="20"/>
          <w:szCs w:val="20"/>
          <w:color w:val="auto"/>
        </w:rPr>
      </w:pPr>
      <w:r>
        <w:rPr>
          <w:rFonts w:ascii="Times New Roman" w:cs="Times New Roman" w:eastAsia="Times New Roman" w:hAnsi="Times New Roman"/>
          <w:sz w:val="18"/>
          <w:szCs w:val="18"/>
          <w:color w:val="auto"/>
        </w:rPr>
        <w:t>Engaging in litigation to defend against third-party infringement claims is very expensive, particularly for a company of our size, and time-consuming. In addition, there could be public announcements of the results of hearings, motions or other interim proceedings or developments, and if securities analysts or investors perceive these results to be negative, it could have a substantial negative impact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litigation or administrative proceedings more effectively than we can because of greater financial resources and more mature and developed intellectual property portfolios. Uncertainties resulting from the initiation and continuation of patent litigation or other proceedings against us could impair our ability to compete in the marketplace. The occurrence of any of the foregoing could harm our business, financial condition and results of operations.</w:t>
      </w:r>
    </w:p>
    <w:p>
      <w:pPr>
        <w:spacing w:after="0" w:line="1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63" w:lineRule="exact"/>
        <w:rPr>
          <w:sz w:val="20"/>
          <w:szCs w:val="20"/>
          <w:color w:val="auto"/>
        </w:rPr>
      </w:pPr>
    </w:p>
    <w:p>
      <w:pPr>
        <w:jc w:val="both"/>
        <w:ind w:firstLine="584"/>
        <w:spacing w:after="0" w:line="250" w:lineRule="auto"/>
        <w:rPr>
          <w:sz w:val="20"/>
          <w:szCs w:val="20"/>
          <w:color w:val="auto"/>
        </w:rPr>
      </w:pPr>
      <w:r>
        <w:rPr>
          <w:rFonts w:ascii="Times New Roman" w:cs="Times New Roman" w:eastAsia="Times New Roman" w:hAnsi="Times New Roman"/>
          <w:sz w:val="18"/>
          <w:szCs w:val="18"/>
          <w:color w:val="auto"/>
        </w:rPr>
        <w:t>Competitors may infringe our patents, or the patents of any future licensing partners, or we may be required to defend against claims of infringement. In an infringement proceeding, a court may decide that our patent is invalid or unenforceable, or may refuse to stop the other party from using the technology at issue on the grounds that our patents do not cover such technology. An adverse result in any litigation proceeding could put one or more of our patents at risk of being invalidated or interpreted narrowly. Furthermore,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74</w:t>
      </w:r>
    </w:p>
    <w:p>
      <w:pPr>
        <w:spacing w:after="0" w:line="1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of the substantial amount of discovery required in connection with intellectual property litigation, there is a risk that some of our confidential information could be compromised by disclosure during litigation.</w:t>
      </w:r>
    </w:p>
    <w:p>
      <w:pPr>
        <w:spacing w:after="0" w:line="108" w:lineRule="exact"/>
        <w:rPr>
          <w:sz w:val="20"/>
          <w:szCs w:val="20"/>
          <w:color w:val="auto"/>
        </w:rPr>
      </w:pPr>
    </w:p>
    <w:p>
      <w:pPr>
        <w:jc w:val="both"/>
        <w:ind w:firstLine="584"/>
        <w:spacing w:after="0" w:line="244"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negative impact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harm our ability to compete in the marketplace. Any of the foregoing could harm our business, financial condition and results of operations.</w:t>
      </w:r>
    </w:p>
    <w:p>
      <w:pPr>
        <w:spacing w:after="0" w:line="158" w:lineRule="exact"/>
        <w:rPr>
          <w:sz w:val="20"/>
          <w:szCs w:val="20"/>
          <w:color w:val="auto"/>
        </w:rPr>
      </w:pPr>
    </w:p>
    <w:p>
      <w:pPr>
        <w:jc w:val="both"/>
        <w:ind w:firstLine="584"/>
        <w:spacing w:after="0" w:line="250" w:lineRule="auto"/>
        <w:rPr>
          <w:sz w:val="20"/>
          <w:szCs w:val="20"/>
          <w:color w:val="auto"/>
        </w:rPr>
      </w:pPr>
      <w:r>
        <w:rPr>
          <w:rFonts w:ascii="Times New Roman" w:cs="Times New Roman" w:eastAsia="Times New Roman" w:hAnsi="Times New Roman"/>
          <w:sz w:val="18"/>
          <w:szCs w:val="18"/>
          <w:color w:val="auto"/>
        </w:rPr>
        <w:t>Further,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and results of operations may be harmed.</w:t>
      </w:r>
    </w:p>
    <w:p>
      <w:pPr>
        <w:spacing w:after="0" w:line="1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 Such claims could harm our business, financial condition and results of operations.</w:t>
      </w:r>
    </w:p>
    <w:p>
      <w:pPr>
        <w:spacing w:after="0" w:line="81" w:lineRule="exact"/>
        <w:rPr>
          <w:sz w:val="20"/>
          <w:szCs w:val="20"/>
          <w:color w:val="auto"/>
        </w:rPr>
      </w:pPr>
    </w:p>
    <w:p>
      <w:pPr>
        <w:jc w:val="both"/>
        <w:ind w:firstLine="584"/>
        <w:spacing w:after="0" w:line="243" w:lineRule="auto"/>
        <w:rPr>
          <w:sz w:val="20"/>
          <w:szCs w:val="20"/>
          <w:color w:val="auto"/>
        </w:rPr>
      </w:pPr>
      <w:r>
        <w:rPr>
          <w:rFonts w:ascii="Times New Roman" w:cs="Times New Roman" w:eastAsia="Times New Roman" w:hAnsi="Times New Roman"/>
          <w:sz w:val="18"/>
          <w:szCs w:val="18"/>
          <w:color w:val="auto"/>
        </w:rPr>
        <w:t>As is common in the life sciences industry, our employees, consultants and advisors may be currently or previously employed or engaged at universities or other life sciences companies, including our competitors and potential competitors. Although we try to ensure that our employees, consultants and advisors do not use the proprietary information or know-how of others in their work for us, we may in the future become subject to claims that we or these people have, inadvertently or otherwise, used or disclosed intellectual property, including trade secrets or other proprietary information, of their current or former employer. Also, we may in the future be subject to claims that these people are violating non-compete agreements with their former employers. Litigation may be necessary to defend against these claims. If we fail in defending any such claims, in addition to paying monetary damages, we may lose valuable intellectual property rights or personnel, which could harm our business, financial condition and results of operations. Even if we are successful in defending against such claims, litigation could result in substantial costs and be a distraction to management.</w:t>
      </w:r>
    </w:p>
    <w:p>
      <w:pPr>
        <w:spacing w:after="0" w:line="159" w:lineRule="exact"/>
        <w:rPr>
          <w:sz w:val="20"/>
          <w:szCs w:val="20"/>
          <w:color w:val="auto"/>
        </w:rPr>
      </w:pPr>
    </w:p>
    <w:p>
      <w:pPr>
        <w:jc w:val="both"/>
        <w:ind w:firstLine="584"/>
        <w:spacing w:after="0" w:line="24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harm our business, financial condition and results of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08" w:lineRule="exact"/>
        <w:rPr>
          <w:sz w:val="20"/>
          <w:szCs w:val="20"/>
          <w:color w:val="auto"/>
        </w:rPr>
      </w:pPr>
    </w:p>
    <w:p>
      <w:pPr>
        <w:jc w:val="both"/>
        <w:ind w:firstLine="584"/>
        <w:spacing w:after="0" w:line="245" w:lineRule="auto"/>
        <w:rPr>
          <w:sz w:val="20"/>
          <w:szCs w:val="20"/>
          <w:color w:val="auto"/>
        </w:rPr>
      </w:pPr>
      <w:r>
        <w:rPr>
          <w:rFonts w:ascii="Times New Roman" w:cs="Times New Roman" w:eastAsia="Times New Roman" w:hAnsi="Times New Roman"/>
          <w:sz w:val="18"/>
          <w:szCs w:val="18"/>
          <w:color w:val="auto"/>
        </w:rPr>
        <w:t>In addition to seeking patent protection for our current and any future products, we also rely upon unpatented trade secrets, know-how and continuing technological innovation to develop and maintain a competitive position, especially where we do not believe patent protection is appropriate or obtainable. Trade secrets and know-how can be difficult to protect. We seek to protect such proprietary information, in part, through non-disclosure and confidentiality agreements with our employees, collaborators, contractors, advisors, consultants and other third parties and invention assignment agreements with our employees. We also have agreements with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w:t>
      </w:r>
    </w:p>
    <w:p>
      <w:pPr>
        <w:spacing w:after="0" w:line="154" w:lineRule="exact"/>
        <w:rPr>
          <w:sz w:val="20"/>
          <w:szCs w:val="20"/>
          <w:color w:val="auto"/>
        </w:rPr>
      </w:pPr>
    </w:p>
    <w:p>
      <w:pPr>
        <w:jc w:val="both"/>
        <w:ind w:firstLine="584"/>
        <w:spacing w:after="0" w:line="243" w:lineRule="auto"/>
        <w:rPr>
          <w:sz w:val="20"/>
          <w:szCs w:val="20"/>
          <w:color w:val="auto"/>
        </w:rPr>
      </w:pPr>
      <w:r>
        <w:rPr>
          <w:rFonts w:ascii="Times New Roman" w:cs="Times New Roman" w:eastAsia="Times New Roman" w:hAnsi="Times New Roman"/>
          <w:sz w:val="18"/>
          <w:szCs w:val="18"/>
          <w:color w:val="auto"/>
        </w:rPr>
        <w:t>We cannot guarantee that we have entered into such agreements with each party that has or may have had access to our trade secrets or proprietary information. Additionally,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third-party, we would have no right to prevent them from using that technology or information to compete with us. If any of our trade secrets were to be disclosed to, or independently developed by, a competitor or other third-party, our competitive position would be materially and adversely harmed. Furthermore, we expect these trade secrets, know-how and proprietary information to over time be disseminated within the industry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75</w:t>
      </w:r>
    </w:p>
    <w:p>
      <w:pPr>
        <w:spacing w:after="0" w:line="1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 independent development, the publication of journal articles describing the methodology and the movement of personnel from academic to scientific industry positions.</w:t>
      </w:r>
    </w:p>
    <w:p>
      <w:pPr>
        <w:spacing w:after="0" w:line="108" w:lineRule="exact"/>
        <w:rPr>
          <w:sz w:val="20"/>
          <w:szCs w:val="20"/>
          <w:color w:val="auto"/>
        </w:rPr>
      </w:pPr>
    </w:p>
    <w:p>
      <w:pPr>
        <w:jc w:val="both"/>
        <w:ind w:firstLine="584"/>
        <w:spacing w:after="0" w:line="247"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trade secrets by maintaining physical security of our premises and physical and electronic security of our information technology systems. While we have confidence in these people,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owned by others in their work for us, disputes may arise as to the rights in related or resulting know-how and inventions, which could harm our business, financial condition and results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of a key information technology system, process, or site could have an adverse effect on our business.</w:t>
      </w:r>
    </w:p>
    <w:p>
      <w:pPr>
        <w:spacing w:after="0" w:line="108" w:lineRule="exact"/>
        <w:rPr>
          <w:sz w:val="20"/>
          <w:szCs w:val="20"/>
          <w:color w:val="auto"/>
        </w:rPr>
      </w:pPr>
    </w:p>
    <w:p>
      <w:pPr>
        <w:jc w:val="both"/>
        <w:ind w:firstLine="584"/>
        <w:spacing w:after="0" w:line="242" w:lineRule="auto"/>
        <w:rPr>
          <w:sz w:val="20"/>
          <w:szCs w:val="20"/>
          <w:color w:val="auto"/>
        </w:rPr>
      </w:pPr>
      <w:r>
        <w:rPr>
          <w:rFonts w:ascii="Times New Roman" w:cs="Times New Roman" w:eastAsia="Times New Roman" w:hAnsi="Times New Roman"/>
          <w:sz w:val="18"/>
          <w:szCs w:val="18"/>
          <w:color w:val="auto"/>
        </w:rPr>
        <w:t>We rely extensively on information technology systems to conduct our business. These systems affect, among other things, ordering and managing materials from suppliers, shipping products, processing transactions, complying with regulatory, legal or tax requirements, data security and other processes necessary to manage our business. Our systems and the data contained on them may be subject to computer viruses, ransomware or other malware, attacks by computer hackers, social engineering (including phishing), supply chain attacks, credential stuffing, efforts by individuals or groups of hackers and sophisticated organizations, including state-sponsored organizations, errors or malfeasance of our personnel, and security vulnerabilities in the software or systems on which we rely, and failures during the process of upgrading or replacing software, databases or components thereof. If the confidentiality, integrity, or availability of our systems or our data is compromised due to these, or any number of causes, ranging from catastrophic events and power outages to security breaches, and our business continuity plans do not effectively compensate on a timely basis, we may experience interruptions in our operations, including corruption of our data or release of our confidential information, which could have an adverse effect on our business. Furthermore, any breach in our information technology systems could lead to the unauthorized access, disclosure and use of non-public information, which may be protected by applicable laws. In addition, the COVID-19 pandemic has generally increased the risk of cybersecurity intrusions. For example, there has been an increase in phishing and spam emails as well as social engineering attempts from “hackers” hoping to use the COVID-19 pandemic to their advantage. Any such access, disclosure, or other loss of information could require substantial expenditures to remedy and could result in legal claims or proceedings, liability under laws that protect the privacy of personal information and damage to our reputation.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compromise our ability to offer our services and subject us to possible litigation.</w:t>
      </w:r>
    </w:p>
    <w:p>
      <w:pPr>
        <w:spacing w:after="0" w:line="108" w:lineRule="exact"/>
        <w:rPr>
          <w:sz w:val="20"/>
          <w:szCs w:val="20"/>
          <w:color w:val="auto"/>
        </w:rPr>
      </w:pPr>
    </w:p>
    <w:p>
      <w:pPr>
        <w:jc w:val="both"/>
        <w:ind w:firstLine="584"/>
        <w:spacing w:after="0" w:line="244" w:lineRule="auto"/>
        <w:rPr>
          <w:sz w:val="20"/>
          <w:szCs w:val="20"/>
          <w:color w:val="auto"/>
        </w:rPr>
      </w:pPr>
      <w:r>
        <w:rPr>
          <w:rFonts w:ascii="Times New Roman" w:cs="Times New Roman" w:eastAsia="Times New Roman" w:hAnsi="Times New Roman"/>
          <w:sz w:val="18"/>
          <w:szCs w:val="18"/>
          <w:color w:val="auto"/>
        </w:rPr>
        <w:t>We use open source software in connection with the software integrated in our instruments. Companies that incorporate open source software into their products have, from time to time, faced claims challenging their use of open source software and compliance with open source license terms. As a result, we could be subject to lawsuits by parties claiming ownership of what we believe to be open source software or claiming noncompliance with open source licensing terms. Some open source software licenses require users who distribute software containing open source software to publicly disclose all or part of the source code to the licensee’s software that incorporates, links or uses such open source software, and make available to third parties for no cost, any derivative works of the open source code created by the licensee, which could include the licensee’s own valuable proprietary code.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are often ambiguous. There is little legal precedent in this area and any actual or claimed requirement to disclose our proprietary source code or pay damages for breach of contract could harm our business and could help third parties, including our competitors, develop products and services that are similar to or better than ours. Any of the foregoing could harm our business, financial condition, results of operations and prospects.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the value of our common stock may decline.</w:t>
      </w:r>
    </w:p>
    <w:p>
      <w:pPr>
        <w:spacing w:after="0" w:line="108" w:lineRule="exact"/>
        <w:rPr>
          <w:sz w:val="20"/>
          <w:szCs w:val="20"/>
          <w:color w:val="auto"/>
        </w:rPr>
      </w:pPr>
    </w:p>
    <w:p>
      <w:pPr>
        <w:jc w:val="both"/>
        <w:ind w:firstLine="578"/>
        <w:spacing w:after="0" w:line="274" w:lineRule="auto"/>
        <w:rPr>
          <w:sz w:val="20"/>
          <w:szCs w:val="20"/>
          <w:color w:val="auto"/>
        </w:rPr>
      </w:pPr>
      <w:r>
        <w:rPr>
          <w:rFonts w:ascii="Times New Roman" w:cs="Times New Roman" w:eastAsia="Times New Roman" w:hAnsi="Times New Roman"/>
          <w:sz w:val="18"/>
          <w:szCs w:val="18"/>
          <w:color w:val="auto"/>
        </w:rPr>
        <w:t>The market price of our common stock may be highly volatile and may fluctuate or decline substantially as a result of a variety of factors, some of which are beyond our control, including limited trading volume. In addition to the factors discussed in this “Risk Factors” section and elsewhere in this Quarterly Report on Form 10-Q, these factors include:</w:t>
      </w:r>
    </w:p>
    <w:p>
      <w:pPr>
        <w:spacing w:after="0" w:line="142"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rate of market adoption of our products;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 or investors;</w:t>
      </w:r>
    </w:p>
    <w:p>
      <w:pPr>
        <w:spacing w:after="0" w:line="11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results of operations, including as a result of anticipated or unanticipated demand based on seasonal factors;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76</w:t>
      </w:r>
    </w:p>
    <w:p>
      <w:pPr>
        <w:spacing w:after="0" w:line="104"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associated with issues related to our products;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or other securities, by us or our stockholders, as well as the anticipation of lock-up releases;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common stock;</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approvals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products;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any of our third-party distribution partners and suppliers, including our single and sole-source suppliers;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offerings;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engage additional distribution partners and establish collaborations, if needed;</w:t>
      </w:r>
    </w:p>
    <w:p>
      <w:pPr>
        <w:spacing w:after="0" w:line="11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or news releases by other companies in our industry including about adverse developments related to safety, effectiveness, accuracy and usability of their products, reputational concerns, regulatory compliance, and product recalls;</w:t>
      </w:r>
    </w:p>
    <w:p>
      <w:pPr>
        <w:spacing w:after="0" w:line="5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regulatory and market conditions, including economic recessions or slowdowns, the COVID-19 pandemic, the ongoing war in Ukraine and the general inflationary environment; and</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104" w:lineRule="exact"/>
        <w:rPr>
          <w:sz w:val="20"/>
          <w:szCs w:val="20"/>
          <w:color w:val="auto"/>
        </w:rPr>
      </w:pPr>
    </w:p>
    <w:p>
      <w:pPr>
        <w:jc w:val="both"/>
        <w:ind w:firstLine="584"/>
        <w:spacing w:after="0" w:line="247" w:lineRule="auto"/>
        <w:rPr>
          <w:sz w:val="20"/>
          <w:szCs w:val="20"/>
          <w:color w:val="auto"/>
        </w:rPr>
      </w:pPr>
      <w:r>
        <w:rPr>
          <w:rFonts w:ascii="Times New Roman" w:cs="Times New Roman" w:eastAsia="Times New Roman" w:hAnsi="Times New Roman"/>
          <w:sz w:val="18"/>
          <w:szCs w:val="18"/>
          <w:color w:val="auto"/>
        </w:rPr>
        <w:t>Broad market and industry fluctuations, as well as general economic, pandemic, political, regulatory, and market conditions, may negatively impact the market price of our common stock. In addition, given the relatively small public float of shares of our common stock on the Nasdaq Global Select Market (the “Nasdaq”), the trading market for our shares may be subject to increased volatility. In the past, securities class action litigation has often been brought against companies that have experienced volatility or following a decline in the market price of its securities. This risk is especially relevant for us, because life sciences companies have experienced significant stock price volatility in recent years. If we face such litigation, it could result in substantial costs and a diversion of management’s attention and resources, which could harm our business.</w:t>
      </w:r>
    </w:p>
    <w:p>
      <w:pPr>
        <w:spacing w:after="0" w:line="14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and may invest or spend the funds in ways with which you do not agree and in ways that may not yield a return.</w:t>
      </w:r>
    </w:p>
    <w:p>
      <w:pPr>
        <w:spacing w:after="0" w:line="50" w:lineRule="exact"/>
        <w:rPr>
          <w:sz w:val="20"/>
          <w:szCs w:val="20"/>
          <w:color w:val="auto"/>
        </w:rPr>
      </w:pPr>
    </w:p>
    <w:p>
      <w:pPr>
        <w:jc w:val="both"/>
        <w:ind w:firstLine="584"/>
        <w:spacing w:after="0" w:line="245" w:lineRule="auto"/>
        <w:rPr>
          <w:sz w:val="20"/>
          <w:szCs w:val="20"/>
          <w:color w:val="auto"/>
        </w:rPr>
      </w:pPr>
      <w:r>
        <w:rPr>
          <w:rFonts w:ascii="Times New Roman" w:cs="Times New Roman" w:eastAsia="Times New Roman" w:hAnsi="Times New Roman"/>
          <w:sz w:val="18"/>
          <w:szCs w:val="18"/>
          <w:color w:val="auto"/>
        </w:rPr>
        <w:t>We will have broad discretion over the use of our cash. Investors may not agree with our decisions, and our use of cash may not yield any return on your investment. We currently intend to use our cash to fund manufacturing activities, sales and marketing activities, including the hiring and training of additional sales and marketing personnel, and the remainder for working capital and general corporate purposes, including research and development activities. In addition, a portion of our cash may also be used to acquire assets or complementary businesses. Our failure to use our cash effectively could impair our ability to pursue our growth strategy or could require us to raise additional capital. In addition, pending their use, our cash may be placed in investments that do not produce income or that may lose value. If we do not invest or apply our cash in ways that enhance stockholder value, we may fail to achieve expected financial results, which could cause our stock price to decline.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future sales of shares of our common stock could cause the market price of our common stock to decline.</w:t>
      </w:r>
    </w:p>
    <w:p>
      <w:pPr>
        <w:spacing w:after="0" w:line="108" w:lineRule="exact"/>
        <w:rPr>
          <w:sz w:val="20"/>
          <w:szCs w:val="20"/>
          <w:color w:val="auto"/>
        </w:rPr>
      </w:pPr>
    </w:p>
    <w:p>
      <w:pPr>
        <w:jc w:val="both"/>
        <w:ind w:firstLine="578"/>
        <w:spacing w:after="0" w:line="274" w:lineRule="auto"/>
        <w:rPr>
          <w:sz w:val="20"/>
          <w:szCs w:val="20"/>
          <w:color w:val="auto"/>
        </w:rPr>
      </w:pPr>
      <w:r>
        <w:rPr>
          <w:rFonts w:ascii="Times New Roman" w:cs="Times New Roman" w:eastAsia="Times New Roman" w:hAnsi="Times New Roman"/>
          <w:sz w:val="18"/>
          <w:szCs w:val="18"/>
          <w:color w:val="auto"/>
        </w:rPr>
        <w:t>Sales and issuances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and issuances may have on the prevailing market price of our common stock.</w:t>
      </w:r>
    </w:p>
    <w:p>
      <w:pPr>
        <w:spacing w:after="0" w:line="142" w:lineRule="exact"/>
        <w:rPr>
          <w:sz w:val="20"/>
          <w:szCs w:val="20"/>
          <w:color w:val="auto"/>
        </w:rPr>
      </w:pPr>
    </w:p>
    <w:p>
      <w:pPr>
        <w:jc w:val="both"/>
        <w:ind w:firstLine="578"/>
        <w:spacing w:after="0" w:line="292" w:lineRule="auto"/>
        <w:rPr>
          <w:sz w:val="20"/>
          <w:szCs w:val="20"/>
          <w:color w:val="auto"/>
        </w:rPr>
      </w:pPr>
      <w:r>
        <w:rPr>
          <w:rFonts w:ascii="Times New Roman" w:cs="Times New Roman" w:eastAsia="Times New Roman" w:hAnsi="Times New Roman"/>
          <w:sz w:val="17"/>
          <w:szCs w:val="17"/>
          <w:color w:val="auto"/>
        </w:rPr>
        <w:t>In addition, certain of our stockholders have registration rights that would require us to register shares owned by them for public sale in the United States. We have also filed a registration statement to register shares reserved for future issuance under our equity compensation plans. As a result, subject to the satisfaction of applicable exercise periods and applicable volume and restrictions that apply to affiliates, the shares issued upon exercise of outstanding stock options or upon settlement of outstanding restricted stock unit awards are available for immediate resale in the United States in the open market.</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t>77</w:t>
      </w:r>
    </w:p>
    <w:p>
      <w:pPr>
        <w:spacing w:after="0" w:line="104" w:lineRule="exact"/>
        <w:rPr>
          <w:sz w:val="20"/>
          <w:szCs w:val="20"/>
          <w:color w:val="auto"/>
        </w:rPr>
      </w:pPr>
    </w:p>
    <w:p>
      <w:pPr>
        <w:jc w:val="both"/>
        <w:ind w:right="20" w:firstLine="578"/>
        <w:spacing w:after="0" w:line="274" w:lineRule="auto"/>
        <w:rPr>
          <w:sz w:val="20"/>
          <w:szCs w:val="20"/>
          <w:color w:val="auto"/>
        </w:rPr>
      </w:pPr>
      <w:r>
        <w:rPr>
          <w:rFonts w:ascii="Times New Roman" w:cs="Times New Roman" w:eastAsia="Times New Roman" w:hAnsi="Times New Roman"/>
          <w:sz w:val="18"/>
          <w:szCs w:val="18"/>
          <w:color w:val="auto"/>
        </w:rPr>
        <w:t>Sales of shares of our common stock could also impair our ability to raise capital through the sale of additional equity securities in the future and at a price we deem appropriate. These sales could also cause the trading price of our common stock to decline and make it more difficult for you to sell shares of our common stock.</w:t>
      </w:r>
    </w:p>
    <w:p>
      <w:pPr>
        <w:spacing w:after="0" w:line="13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of our common stock among our executive officers, directors and principal stockholders may prevent new investors from influencing significant corporate decisions.</w:t>
      </w:r>
    </w:p>
    <w:p>
      <w:pPr>
        <w:spacing w:after="0" w:line="37" w:lineRule="exact"/>
        <w:rPr>
          <w:sz w:val="20"/>
          <w:szCs w:val="20"/>
          <w:color w:val="auto"/>
        </w:rPr>
      </w:pPr>
    </w:p>
    <w:p>
      <w:pPr>
        <w:jc w:val="both"/>
        <w:ind w:firstLine="578"/>
        <w:spacing w:after="0" w:line="263" w:lineRule="auto"/>
        <w:rPr>
          <w:sz w:val="20"/>
          <w:szCs w:val="20"/>
          <w:color w:val="auto"/>
        </w:rPr>
      </w:pPr>
      <w:r>
        <w:rPr>
          <w:rFonts w:ascii="Times New Roman" w:cs="Times New Roman" w:eastAsia="Times New Roman" w:hAnsi="Times New Roman"/>
          <w:sz w:val="18"/>
          <w:szCs w:val="18"/>
          <w:color w:val="auto"/>
        </w:rPr>
        <w:t>Based on the number of shares of common stock outstanding as of June 30, 2022, our executive officers, directors, holders of 5% or more of our common stock and their respective affiliates, in the aggregate, own approximately 40.9% of our common stock. These stockholders,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 For example, because many of these stockholders purchased their shares at prices substantially below the current market price or our shares and have held their shares for a longer period, they may be more interested in selling our company to an acquirer than other investors, or they may want us to pursue strategies that deviate from the interests of other stockholders.</w:t>
      </w:r>
    </w:p>
    <w:p>
      <w:pPr>
        <w:spacing w:after="0" w:line="1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50" w:lineRule="exact"/>
        <w:rPr>
          <w:sz w:val="20"/>
          <w:szCs w:val="20"/>
          <w:color w:val="auto"/>
        </w:rPr>
      </w:pPr>
    </w:p>
    <w:p>
      <w:pPr>
        <w:jc w:val="both"/>
        <w:ind w:firstLine="584"/>
        <w:spacing w:after="0" w:line="250"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and may be restricted by the terms of any then-current debt instruments. Accordingly, investors must rely on sales of their common stock after price appreciation, which may never occur, as the only way to realize any future gains on their investments.</w:t>
      </w:r>
    </w:p>
    <w:p>
      <w:pPr>
        <w:spacing w:after="0" w:line="14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our compliance with the reduced reporting and disclosure requirements applicable to emerging growth companies and smaller reporting companies could make our common stock less attractive to investors.</w:t>
      </w:r>
    </w:p>
    <w:p>
      <w:pPr>
        <w:spacing w:after="0" w:line="63" w:lineRule="exact"/>
        <w:rPr>
          <w:sz w:val="20"/>
          <w:szCs w:val="20"/>
          <w:color w:val="auto"/>
        </w:rPr>
      </w:pPr>
    </w:p>
    <w:p>
      <w:pPr>
        <w:jc w:val="both"/>
        <w:ind w:firstLine="584"/>
        <w:spacing w:after="0" w:line="243"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will remain an emerging growth company until the end of this fiscal year. For as long as we continue to be an emerging growth company, we expect to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and extended adoption period for accounting pronouncements. We are also a “smaller reporting company,” as defined in the Securities Exchange Act of 1934, as amended (the “Exchange Act”), and will continue to qualify as a smaller reporting company through the end of this fiscal year. For as long as we continue to be a smaller reporting company, we may take advantage of certain of the scaled disclosures available to smaller reporting companies. Investors may find our common stock less attractive as a result of our reliance on these exemptions. If some investors find our common stock less attractive as a result, there may be a less active trading market for our common stock and our stock price may be more volatile.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jc w:val="both"/>
        <w:ind w:firstLine="584"/>
        <w:spacing w:after="0" w:line="246"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54" w:lineRule="exact"/>
        <w:rPr>
          <w:sz w:val="20"/>
          <w:szCs w:val="20"/>
          <w:color w:val="auto"/>
        </w:rPr>
      </w:pPr>
    </w:p>
    <w:p>
      <w:pPr>
        <w:jc w:val="both"/>
        <w:ind w:firstLine="584"/>
        <w:spacing w:after="0" w:line="250"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4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50" w:lineRule="exact"/>
        <w:rPr>
          <w:sz w:val="20"/>
          <w:szCs w:val="20"/>
          <w:color w:val="auto"/>
        </w:rPr>
      </w:pPr>
    </w:p>
    <w:p>
      <w:pPr>
        <w:jc w:val="both"/>
        <w:ind w:firstLine="584"/>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78</w:t>
      </w:r>
    </w:p>
    <w:p>
      <w:pPr>
        <w:spacing w:after="0" w:line="104" w:lineRule="exact"/>
        <w:rPr>
          <w:sz w:val="20"/>
          <w:szCs w:val="20"/>
          <w:color w:val="auto"/>
        </w:rPr>
      </w:pPr>
    </w:p>
    <w:p>
      <w:pPr>
        <w:ind w:left="102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of directors divided into three classes serving staggered three-year terms, such that not all members of the board will be elected at one time;</w:t>
      </w:r>
    </w:p>
    <w:p>
      <w:pPr>
        <w:spacing w:after="0" w:line="40"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through written consent, which requires that all stockholder actions be taken at a meeting of our stockholders;</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chairman of the board of directors, the chief executive officer, the president, or by a majority of the total number of authorized directors;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for election to our board of directors;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6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40"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redeemable convertible preferred stock on terms determined by the board of directors without stockholder approval and which redeemable convertible preferred stock may include rights superior to the rights of the holders of common stock.</w:t>
      </w:r>
    </w:p>
    <w:p>
      <w:pPr>
        <w:spacing w:after="0" w:line="61" w:lineRule="exact"/>
        <w:rPr>
          <w:sz w:val="20"/>
          <w:szCs w:val="20"/>
          <w:color w:val="auto"/>
        </w:rPr>
      </w:pPr>
    </w:p>
    <w:p>
      <w:pPr>
        <w:jc w:val="both"/>
        <w:ind w:firstLine="578"/>
        <w:spacing w:after="0" w:line="263"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Corporate Law, which may prohibit certain business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15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81" w:lineRule="exact"/>
        <w:rPr>
          <w:sz w:val="20"/>
          <w:szCs w:val="20"/>
          <w:color w:val="auto"/>
        </w:rPr>
      </w:pPr>
    </w:p>
    <w:p>
      <w:pPr>
        <w:jc w:val="both"/>
        <w:ind w:firstLine="578"/>
        <w:spacing w:after="0" w:line="260"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the Court of Chancery of the State of Delaware will be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 (iv) any action or proceeding to interpret, apply, enforce, or determine the validity of our amended and restated certificate of incorporation or our amended and restated bylaws, (v) any action or proceeding as to which the Delaware General Corporation Law confers jurisdiction to the Court of Chancery of the State of Delaware and (vi)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w:t>
      </w:r>
    </w:p>
    <w:p>
      <w:pPr>
        <w:spacing w:after="0" w:line="161" w:lineRule="exact"/>
        <w:rPr>
          <w:sz w:val="20"/>
          <w:szCs w:val="20"/>
          <w:color w:val="auto"/>
        </w:rPr>
      </w:pPr>
    </w:p>
    <w:p>
      <w:pPr>
        <w:jc w:val="both"/>
        <w:ind w:firstLine="578"/>
        <w:spacing w:after="0" w:line="260" w:lineRule="auto"/>
        <w:rPr>
          <w:sz w:val="20"/>
          <w:szCs w:val="20"/>
          <w:color w:val="auto"/>
        </w:rPr>
      </w:pPr>
      <w:r>
        <w:rPr>
          <w:rFonts w:ascii="Times New Roman" w:cs="Times New Roman" w:eastAsia="Times New Roman" w:hAnsi="Times New Roman"/>
          <w:sz w:val="18"/>
          <w:szCs w:val="18"/>
          <w:color w:val="auto"/>
        </w:rPr>
        <w:t>These provisions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will further provide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 provisions may not be enforced by a court in those other jurisdictions.</w:t>
      </w:r>
    </w:p>
    <w:p>
      <w:pPr>
        <w:spacing w:after="0" w:line="161" w:lineRule="exact"/>
        <w:rPr>
          <w:sz w:val="20"/>
          <w:szCs w:val="20"/>
          <w:color w:val="auto"/>
        </w:rPr>
      </w:pPr>
    </w:p>
    <w:p>
      <w:pPr>
        <w:jc w:val="both"/>
        <w:ind w:right="20" w:firstLine="578"/>
        <w:spacing w:after="0" w:line="297"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79</w:t>
      </w:r>
    </w:p>
    <w:p>
      <w:pPr>
        <w:spacing w:after="0" w:line="1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of similar choice of forum provisions in other companies’ certificates of incorporation or bylaws has been challenged in legal proceedings, and it is possible that a court could find these types of provisions to be inapplicable or unenforceable. If a court were to find either exclusive forum provision contained in our amended and restated certificate of incorporation or amended and restated bylaws to be inapplicable or unenforceable in an action, we may incur further significant additional costs associated with resolving such action in other jurisdictions, all of which could seriously harm our business.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9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As a result of being a public company, we are obligated to develop and maintain proper and effective internal control and procedures over financial reporting, and any failure to maintain the adequacy of these internal controls in a timely or efficient manner may adversely affect investor confidence in our company and, as a result, the value of our common stock.</w:t>
      </w:r>
    </w:p>
    <w:p>
      <w:pPr>
        <w:spacing w:after="0" w:line="60" w:lineRule="exact"/>
        <w:rPr>
          <w:sz w:val="20"/>
          <w:szCs w:val="20"/>
          <w:color w:val="auto"/>
        </w:rPr>
      </w:pPr>
    </w:p>
    <w:p>
      <w:pPr>
        <w:jc w:val="both"/>
        <w:ind w:firstLine="578"/>
        <w:spacing w:after="0" w:line="261"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to furnish a report by management on, among other things, the effectiveness of our internal control and procedures over financial reporting for the fiscal year ending December 31, 2022, which is the year covered by the second annual report following the completion of our IPO. This assessment will need to include disclosure of any material weaknesses identified by our management in our internal control over financial reporting. In addition, since we will no longer be an “emerging growth company” or a non-accelerated filer, we will also be required to include in our annual report an attestation report by our independent registered public accounting firm on internal control over financial reporting, beginning with respect to the fiscal year ending December 31, 2022. We have begun the costly and challenging process of compiling the system and processing documentation necessary to perform the evaluation needed to comply with Section 404, and we may not be able to complete our evaluation, testing and any required remediation in a timely fashion. Our compliance with Section 404 will require that we incur substantial accounting, legal and other compliance expense and expend significant management efforts. We currently do not have an internal audit group, and we will need to hire additional accounting and finance staff and consultants with appropriate public company experience and technical accounting knowledge and compile the system and process documentation necessary to perform the evaluation needed to comply with Section 404.</w:t>
      </w:r>
    </w:p>
    <w:p>
      <w:pPr>
        <w:spacing w:after="0" w:line="156" w:lineRule="exact"/>
        <w:rPr>
          <w:sz w:val="20"/>
          <w:szCs w:val="20"/>
          <w:color w:val="auto"/>
        </w:rPr>
      </w:pPr>
    </w:p>
    <w:p>
      <w:pPr>
        <w:jc w:val="both"/>
        <w:ind w:firstLine="584"/>
        <w:spacing w:after="0" w:line="247" w:lineRule="auto"/>
        <w:rPr>
          <w:sz w:val="20"/>
          <w:szCs w:val="20"/>
          <w:color w:val="auto"/>
        </w:rPr>
      </w:pPr>
      <w:r>
        <w:rPr>
          <w:rFonts w:ascii="Times New Roman" w:cs="Times New Roman" w:eastAsia="Times New Roman" w:hAnsi="Times New Roman"/>
          <w:sz w:val="18"/>
          <w:szCs w:val="18"/>
          <w:color w:val="auto"/>
        </w:rPr>
        <w:t>If we are unable to conclude that our internal control and procedures over financial reporting is effective, or if our independent registered public accounting firm determines we have material weaknesses in our internal control over financial reporting, we could lose investor confidence in the accuracy and completeness of our financial reports, it would be possible that a material misstatement of our financial statements would not be prevented or detected on a timely basis, and as a result, the market price of our common stock could decline, and we could be subject to sanctions or investigations by the SEC or other regulatory authorities. Failure to remedy any material weakness or significant deficiency in our internal control over financial reporting, or to implement or maintain other effective control systems required of public companies, could also restrict our future access to the capital markets.</w:t>
      </w:r>
    </w:p>
    <w:p>
      <w:pPr>
        <w:spacing w:after="0" w:line="13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60" w:lineRule="exact"/>
        <w:rPr>
          <w:sz w:val="20"/>
          <w:szCs w:val="20"/>
          <w:color w:val="auto"/>
        </w:rPr>
      </w:pPr>
    </w:p>
    <w:p>
      <w:pPr>
        <w:jc w:val="both"/>
        <w:ind w:firstLine="584"/>
        <w:spacing w:after="0" w:line="243"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generally accepted accounting principles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For example, in connection with the revenue accounting standard, Accounting Standards Codification, or ASC, Topic 606, management makes judgments and assumptions based on our interpretation of the new standard. The revenue standard is principle-based and interpretation of those principles may vary from company to company based on their unique circumstances. It is possible that interpretation, industry practice and guidance may evolve as we apply the standard. If our assumptions underlying our estimates and judgments relating to our critical accounting policies change or if actual circumstances differ from our assumptions, estimates or judgments, our operating results may be adversely affected and could fall below our publicly announced guidance or the expectations of securities analysts and investors, resulting in a decline in the market price of our common stock.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108" w:lineRule="exact"/>
        <w:rPr>
          <w:sz w:val="20"/>
          <w:szCs w:val="20"/>
          <w:color w:val="auto"/>
        </w:rPr>
      </w:pPr>
    </w:p>
    <w:p>
      <w:pPr>
        <w:jc w:val="both"/>
        <w:ind w:right="20" w:firstLine="584"/>
        <w:spacing w:after="0" w:line="258"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companies following a decline in the market price of its securities. This risk is especially relevant for us because life sciences companies have experienced significant stock price volatility in recent years. If we face such litigation, it could result in substantial costs and a diversion of management’s attention and resources, which could harm our business.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t>80</w:t>
      </w:r>
    </w:p>
    <w:p>
      <w:pPr>
        <w:spacing w:after="0" w:line="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61" w:lineRule="exact"/>
        <w:rPr>
          <w:sz w:val="20"/>
          <w:szCs w:val="20"/>
          <w:color w:val="auto"/>
        </w:rPr>
      </w:pPr>
    </w:p>
    <w:p>
      <w:pPr>
        <w:jc w:val="both"/>
        <w:ind w:firstLine="584"/>
        <w:spacing w:after="0" w:line="243"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that we did not incur as a private company. We expect such expenses to further increase after we are no longer an emerging growth company. The Sarbanes-Oxley Act, the Dodd-Frank Wall Street Reform and Consumer Protection Act, the listing requirements of Nasdaq and other applicable securities rules and regulations impose various requirements on public companies. Furthermore, the senior members of our management team do not have significant experience with operating a public company. As a result, our management and other personnel will have to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timing of such costs, which could negatively affect our business, financial condition and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Nasdaq’s continued listing requirements could result in a delisting of our common stock.</w:t>
      </w:r>
    </w:p>
    <w:p>
      <w:pPr>
        <w:spacing w:after="0" w:line="108" w:lineRule="exact"/>
        <w:rPr>
          <w:sz w:val="20"/>
          <w:szCs w:val="20"/>
          <w:color w:val="auto"/>
        </w:rPr>
      </w:pPr>
    </w:p>
    <w:p>
      <w:pPr>
        <w:jc w:val="both"/>
        <w:ind w:firstLine="584"/>
        <w:spacing w:after="0" w:line="247" w:lineRule="auto"/>
        <w:rPr>
          <w:sz w:val="20"/>
          <w:szCs w:val="20"/>
          <w:color w:val="auto"/>
        </w:rPr>
      </w:pPr>
      <w:r>
        <w:rPr>
          <w:rFonts w:ascii="Times New Roman" w:cs="Times New Roman" w:eastAsia="Times New Roman" w:hAnsi="Times New Roman"/>
          <w:sz w:val="18"/>
          <w:szCs w:val="18"/>
          <w:color w:val="auto"/>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spacing w:after="0" w:line="149" w:lineRule="exact"/>
        <w:rPr>
          <w:sz w:val="20"/>
          <w:szCs w:val="20"/>
          <w:color w:val="auto"/>
        </w:rPr>
      </w:pPr>
    </w:p>
    <w:p>
      <w:pPr>
        <w:jc w:val="both"/>
        <w:ind w:firstLine="36"/>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or inaccurate research about our business, our common stock price and trading volume could decline.</w:t>
      </w:r>
    </w:p>
    <w:p>
      <w:pPr>
        <w:spacing w:after="0" w:line="50" w:lineRule="exact"/>
        <w:rPr>
          <w:sz w:val="20"/>
          <w:szCs w:val="20"/>
          <w:color w:val="auto"/>
        </w:rPr>
      </w:pPr>
    </w:p>
    <w:p>
      <w:pPr>
        <w:jc w:val="both"/>
        <w:ind w:firstLine="584"/>
        <w:spacing w:after="0" w:line="258" w:lineRule="auto"/>
        <w:rPr>
          <w:sz w:val="20"/>
          <w:szCs w:val="20"/>
          <w:color w:val="auto"/>
        </w:rPr>
      </w:pPr>
      <w:r>
        <w:rPr>
          <w:rFonts w:ascii="Times New Roman" w:cs="Times New Roman" w:eastAsia="Times New Roman" w:hAnsi="Times New Roman"/>
          <w:sz w:val="18"/>
          <w:szCs w:val="18"/>
          <w:color w:val="auto"/>
        </w:rPr>
        <w:t>Our stock price and trading volume will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common stock price and trading volume could decline.</w:t>
      </w:r>
    </w:p>
    <w:p>
      <w:pPr>
        <w:spacing w:after="0" w:line="142" w:lineRule="exact"/>
        <w:rPr>
          <w:sz w:val="20"/>
          <w:szCs w:val="20"/>
          <w:color w:val="auto"/>
        </w:rPr>
      </w:pPr>
    </w:p>
    <w:p>
      <w:pPr>
        <w:jc w:val="both"/>
        <w:ind w:firstLine="584"/>
        <w:spacing w:after="0" w:line="246"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We do not have any control over these analysts. If the number of analysts that cover us declines, demand for our common stock could decrease and our common stock price and trading volume may decline. 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154" w:lineRule="exact"/>
        <w:rPr>
          <w:sz w:val="20"/>
          <w:szCs w:val="20"/>
          <w:color w:val="auto"/>
        </w:rPr>
      </w:pPr>
    </w:p>
    <w:p>
      <w:pPr>
        <w:jc w:val="both"/>
        <w:ind w:firstLine="584"/>
        <w:spacing w:after="0" w:line="258" w:lineRule="auto"/>
        <w:rPr>
          <w:sz w:val="20"/>
          <w:szCs w:val="20"/>
          <w:color w:val="auto"/>
        </w:rPr>
      </w:pPr>
      <w:r>
        <w:rPr>
          <w:rFonts w:ascii="Times New Roman" w:cs="Times New Roman" w:eastAsia="Times New Roman" w:hAnsi="Times New Roman"/>
          <w:sz w:val="18"/>
          <w:szCs w:val="18"/>
          <w:color w:val="auto"/>
        </w:rPr>
        <w:t>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common stock or change their opinion of our common stock, our stock price would likely decline.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(“NOLs”) to offset future taxable income may be subject to certain limitations.</w:t>
      </w:r>
    </w:p>
    <w:p>
      <w:pPr>
        <w:spacing w:after="0" w:line="121" w:lineRule="exact"/>
        <w:rPr>
          <w:sz w:val="20"/>
          <w:szCs w:val="20"/>
          <w:color w:val="auto"/>
        </w:rPr>
      </w:pPr>
    </w:p>
    <w:p>
      <w:pPr>
        <w:jc w:val="both"/>
        <w:ind w:firstLine="584"/>
        <w:spacing w:after="0" w:line="250" w:lineRule="auto"/>
        <w:rPr>
          <w:sz w:val="20"/>
          <w:szCs w:val="20"/>
          <w:color w:val="auto"/>
        </w:rPr>
      </w:pPr>
      <w:r>
        <w:rPr>
          <w:rFonts w:ascii="Times New Roman" w:cs="Times New Roman" w:eastAsia="Times New Roman" w:hAnsi="Times New Roman"/>
          <w:sz w:val="18"/>
          <w:szCs w:val="18"/>
          <w:color w:val="auto"/>
        </w:rPr>
        <w:t>As of December 31, 2021, we had no federal NOL carryforwards and state NOL carryforwards of approximately $2.1 million. Certain state NOLs will begin to expire in the calendar year 2036, unless previously utilized. Certain NOL carryforwards subject to expiration could expire unused and be unavailable to offset future income tax liabilities.</w:t>
      </w:r>
    </w:p>
    <w:p>
      <w:pPr>
        <w:spacing w:after="0" w:line="150" w:lineRule="exact"/>
        <w:rPr>
          <w:sz w:val="20"/>
          <w:szCs w:val="20"/>
          <w:color w:val="auto"/>
        </w:rPr>
      </w:pPr>
    </w:p>
    <w:p>
      <w:pPr>
        <w:jc w:val="both"/>
        <w:ind w:firstLine="584"/>
        <w:spacing w:after="0" w:line="246" w:lineRule="auto"/>
        <w:rPr>
          <w:sz w:val="20"/>
          <w:szCs w:val="20"/>
          <w:color w:val="auto"/>
        </w:rPr>
      </w:pPr>
      <w:r>
        <w:rPr>
          <w:rFonts w:ascii="Times New Roman" w:cs="Times New Roman" w:eastAsia="Times New Roman" w:hAnsi="Times New Roman"/>
          <w:sz w:val="18"/>
          <w:szCs w:val="18"/>
          <w:color w:val="auto"/>
        </w:rPr>
        <w:t>Under the Tax Cuts and Jobs Act, or the Tax Act, as modified by the Coronavirus Aid, Relief and Economic Security Act, or CARES Act, federal NOLs incurred in taxable years beginning after December 31, 2017 may be carried forward indefinitely, but the deductibility of such federal NOLs in taxable years beginning after December 31, 2020 is limited to 80% of taxable income in such years. There is variation in how states have responded and may continue to respond to the Tax Act and CARES Act. In addition, for state income tax purposes, there may be periods during which the use of NOLs is suspended or otherwise limited, such as recent California legislation limiting the usability of NOLs for tax years beginning in 2020 and before 2023.</w:t>
      </w:r>
    </w:p>
    <w:p>
      <w:pPr>
        <w:spacing w:after="0" w:line="154" w:lineRule="exact"/>
        <w:rPr>
          <w:sz w:val="20"/>
          <w:szCs w:val="20"/>
          <w:color w:val="auto"/>
        </w:rPr>
      </w:pPr>
    </w:p>
    <w:p>
      <w:pPr>
        <w:jc w:val="both"/>
        <w:ind w:firstLine="584"/>
        <w:spacing w:after="0" w:line="247" w:lineRule="auto"/>
        <w:rPr>
          <w:sz w:val="20"/>
          <w:szCs w:val="20"/>
          <w:color w:val="auto"/>
        </w:rPr>
      </w:pPr>
      <w:r>
        <w:rPr>
          <w:rFonts w:ascii="Times New Roman" w:cs="Times New Roman" w:eastAsia="Times New Roman" w:hAnsi="Times New Roman"/>
          <w:sz w:val="18"/>
          <w:szCs w:val="18"/>
          <w:color w:val="auto"/>
        </w:rPr>
        <w:t>Separately, under Section 382 of the Internal Revenue Code of 1986, as amended (the “Code”)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Similar rules may apply under state tax laws. We determined that an ownership change occurred on September 7, 2018, October 23, 2020, and in connection with our IPO on July 23, 2021. As of December 31, 2021, we had not experienced an ownership change subsequent to the ownership change on July 23, 2021. In addition, we may in the future experience ownership changes,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81</w:t>
      </w:r>
    </w:p>
    <w:p>
      <w:pPr>
        <w:spacing w:after="0" w:line="10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a result of our IPO or other changes in our stock ownership (some of which are not in our control). If an ownership change occurs, our ability to utilize our NOL carryforwards and other tax attributes to reduce future tax liabilities may be limited.</w:t>
      </w:r>
    </w:p>
    <w:p>
      <w:pPr>
        <w:spacing w:after="0" w:line="1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or tax liability may have an adverse effect on our results of operations.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Our effective tax rate could increase due to several factors, including:</w:t>
      </w:r>
    </w:p>
    <w:p>
      <w:pPr>
        <w:spacing w:after="0" w:line="198"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amounts of income before taxes in the various jurisdictions in which we operate that have differing statutory tax rates;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tax treaties, and regulations or the interpretation of them;</w:t>
      </w:r>
    </w:p>
    <w:p>
      <w:pPr>
        <w:spacing w:after="0" w:line="10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current and future tax audits, examinations, or administrative appeals;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adverse findings regarding our ability to do business in some jurisdictions.</w:t>
      </w:r>
    </w:p>
    <w:p>
      <w:pPr>
        <w:spacing w:after="0" w:line="117" w:lineRule="exact"/>
        <w:rPr>
          <w:sz w:val="20"/>
          <w:szCs w:val="20"/>
          <w:color w:val="auto"/>
        </w:rPr>
      </w:pPr>
    </w:p>
    <w:p>
      <w:pPr>
        <w:jc w:val="both"/>
        <w:ind w:firstLine="584"/>
        <w:spacing w:after="0" w:line="250" w:lineRule="auto"/>
        <w:rPr>
          <w:sz w:val="20"/>
          <w:szCs w:val="20"/>
          <w:color w:val="auto"/>
        </w:rPr>
      </w:pPr>
      <w:r>
        <w:rPr>
          <w:rFonts w:ascii="Times New Roman" w:cs="Times New Roman" w:eastAsia="Times New Roman" w:hAnsi="Times New Roman"/>
          <w:sz w:val="18"/>
          <w:szCs w:val="18"/>
          <w:color w:val="auto"/>
        </w:rPr>
        <w:t>Additionally, a tax authority may disagree with tax positions that we have taken, which could result in increased tax liabilities. For example,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and regulations may have a material adverse effect on our business, financial condition and results of operations.</w:t>
      </w:r>
    </w:p>
    <w:p>
      <w:pPr>
        <w:spacing w:after="0" w:line="121" w:lineRule="exact"/>
        <w:rPr>
          <w:sz w:val="20"/>
          <w:szCs w:val="20"/>
          <w:color w:val="auto"/>
        </w:rPr>
      </w:pPr>
    </w:p>
    <w:p>
      <w:pPr>
        <w:jc w:val="both"/>
        <w:ind w:firstLine="584"/>
        <w:spacing w:after="0" w:line="246"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the Internal Revenue Service, the U.S. Treasury Department and other governmental bodies. Changes to tax laws (which changes may have retroactive application) could adversely affect us or holders of our common stock. In recent years, many such changes have been made and changes are likely to continue to occur in the future. Future changes in tax laws could have a material adverse effect on our business, financial condition, results of operations, and cash flow. We urge investors to consult with their legal and tax advisers regarding the implication of potential changes in tax laws on an investment in our common stock.</w:t>
      </w:r>
    </w:p>
    <w:p>
      <w:pPr>
        <w:spacing w:after="0" w:line="150"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Changes and uncertainties in the tax system in the countries in which we have operations, could materially adversely affect our financial condition and results of operations, and reduce net returns to our shareholders.</w:t>
      </w:r>
    </w:p>
    <w:p>
      <w:pPr>
        <w:spacing w:after="0" w:line="50" w:lineRule="exact"/>
        <w:rPr>
          <w:sz w:val="20"/>
          <w:szCs w:val="20"/>
          <w:color w:val="auto"/>
        </w:rPr>
      </w:pPr>
    </w:p>
    <w:p>
      <w:pPr>
        <w:jc w:val="both"/>
        <w:ind w:firstLine="584"/>
        <w:spacing w:after="0" w:line="246" w:lineRule="auto"/>
        <w:rPr>
          <w:sz w:val="20"/>
          <w:szCs w:val="20"/>
          <w:color w:val="auto"/>
        </w:rPr>
      </w:pPr>
      <w:r>
        <w:rPr>
          <w:rFonts w:ascii="Times New Roman" w:cs="Times New Roman" w:eastAsia="Times New Roman" w:hAnsi="Times New Roman"/>
          <w:sz w:val="18"/>
          <w:szCs w:val="18"/>
          <w:color w:val="auto"/>
        </w:rPr>
        <w:t>We conduct business globally and file income tax returns in multiple jurisdictions. Our consolidated effective income tax rate could be materially adversely affected by several factors, including: changing tax laws, regulations and treaties, or the interpretation thereof; tax policy initiatives and reforms under consideration; the practices of tax authorities in jurisdictions in which we operate; the resolution of issues arising from tax audits or examinations and any related interest or penalties. We are unable to predict what tax reform may be proposed or enacted in the future or what effect such changes would have on our business, but such changes, to the extent they are brought into tax legislation, regulations, policies or practices in jurisdictions in which we operate, could increase the estimated tax liability that we have expensed to date and paid or accrued on our statement of financial position, and otherwise affect our financial position, future results of operations, cash flows in a particular period and overall or effective tax rates in the future in countries where we have operations, reduce post-tax returns to our shareholders and increase the complexity, burden and cost of tax compliance.</w:t>
      </w: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216" w:lineRule="exact"/>
        <w:rPr>
          <w:sz w:val="20"/>
          <w:szCs w:val="20"/>
          <w:color w:val="auto"/>
        </w:rPr>
      </w:pPr>
    </w:p>
    <w:p>
      <w:pPr>
        <w:jc w:val="both"/>
        <w:ind w:right="120" w:firstLine="509"/>
        <w:spacing w:after="0" w:line="258" w:lineRule="auto"/>
        <w:rPr>
          <w:sz w:val="20"/>
          <w:szCs w:val="20"/>
          <w:color w:val="auto"/>
        </w:rPr>
      </w:pPr>
      <w:r>
        <w:rPr>
          <w:rFonts w:ascii="Times New Roman" w:cs="Times New Roman" w:eastAsia="Times New Roman" w:hAnsi="Times New Roman"/>
          <w:sz w:val="18"/>
          <w:szCs w:val="18"/>
          <w:color w:val="auto"/>
        </w:rPr>
        <w:t>In July 2021, we issued and sold an aggregate of 13,949,401 shares of common stock in connection with our IPO, including the full exercise by the underwriters of their option to purchase an additional 2,184,695 shares from us, and the selling stockholders sold 2,799,929 shares of common stock, at a public offering price of $17.00 per share. All of the shares of common stock issued and sold in</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t>82</w:t>
      </w:r>
    </w:p>
    <w:p>
      <w:pPr>
        <w:spacing w:after="0" w:line="1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our IPO were registered under the Securities Act pursuant to a registration statement on Form S-1 (Registration No. 333-257663), which was declared effective by the SEC on July 22, 2021. There has been no material change in the use of proceeds from our IPO from those disclosed in the final prospectus for our IPO dated July 22, 2021 and filed with the SEC pursuant to Rule 424(b)(4) of the Securities Act on July 23, 2021.</w:t>
      </w:r>
    </w:p>
    <w:p>
      <w:pPr>
        <w:spacing w:after="0" w:line="200" w:lineRule="exact"/>
        <w:rPr>
          <w:sz w:val="20"/>
          <w:szCs w:val="20"/>
          <w:color w:val="auto"/>
        </w:rPr>
      </w:pPr>
    </w:p>
    <w:p>
      <w:pPr>
        <w:spacing w:after="0" w:line="301" w:lineRule="exact"/>
        <w:rPr>
          <w:sz w:val="20"/>
          <w:szCs w:val="20"/>
          <w:color w:val="auto"/>
        </w:rPr>
      </w:pPr>
    </w:p>
    <w:p>
      <w:pPr>
        <w:ind w:left="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32" w:lineRule="exact"/>
        <w:rPr>
          <w:sz w:val="20"/>
          <w:szCs w:val="20"/>
          <w:color w:val="auto"/>
        </w:rPr>
      </w:pPr>
    </w:p>
    <w:p>
      <w:pPr>
        <w:ind w:left="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18" w:lineRule="exact"/>
        <w:rPr>
          <w:sz w:val="20"/>
          <w:szCs w:val="20"/>
          <w:color w:val="auto"/>
        </w:rPr>
      </w:pPr>
    </w:p>
    <w:p>
      <w:pPr>
        <w:ind w:left="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5"/>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40" w:type="dxa"/>
            <w:vAlign w:val="bottom"/>
          </w:tcPr>
          <w:p>
            <w:pPr>
              <w:spacing w:after="0"/>
              <w:rPr>
                <w:sz w:val="24"/>
                <w:szCs w:val="24"/>
                <w:color w:val="auto"/>
              </w:rPr>
            </w:pPr>
          </w:p>
        </w:tc>
        <w:tc>
          <w:tcPr>
            <w:tcW w:w="4540" w:type="dxa"/>
            <w:vAlign w:val="bottom"/>
            <w:gridSpan w:val="17"/>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140" w:type="dxa"/>
            <w:vAlign w:val="bottom"/>
            <w:gridSpan w:val="16"/>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Exhibit Title</w:t>
            </w:r>
          </w:p>
        </w:tc>
        <w:tc>
          <w:tcPr>
            <w:tcW w:w="1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40" w:type="dxa"/>
            <w:vAlign w:val="bottom"/>
            <w:tcBorders>
              <w:bottom w:val="single" w:sz="8" w:color="auto"/>
            </w:tcBorders>
          </w:tcPr>
          <w:p>
            <w:pPr>
              <w:spacing w:after="0"/>
              <w:rPr>
                <w:sz w:val="24"/>
                <w:szCs w:val="24"/>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160"/>
        </w:trPr>
        <w:tc>
          <w:tcPr>
            <w:tcW w:w="8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140" w:type="dxa"/>
            <w:vAlign w:val="bottom"/>
            <w:gridSpan w:val="16"/>
            <w:vMerge w:val="continue"/>
          </w:tcPr>
          <w:p>
            <w:pPr>
              <w:spacing w:after="0"/>
              <w:rPr>
                <w:sz w:val="13"/>
                <w:szCs w:val="13"/>
                <w:color w:val="auto"/>
              </w:rPr>
            </w:pPr>
          </w:p>
        </w:tc>
        <w:tc>
          <w:tcPr>
            <w:tcW w:w="1180" w:type="dxa"/>
            <w:vAlign w:val="bottom"/>
          </w:tcPr>
          <w:p>
            <w:pPr>
              <w:jc w:val="center"/>
              <w:ind w:right="410"/>
              <w:spacing w:after="0" w:line="160" w:lineRule="exact"/>
              <w:rPr>
                <w:sz w:val="20"/>
                <w:szCs w:val="20"/>
                <w:color w:val="auto"/>
              </w:rPr>
            </w:pPr>
            <w:r>
              <w:rPr>
                <w:rFonts w:ascii="Times New Roman" w:cs="Times New Roman" w:eastAsia="Times New Roman" w:hAnsi="Times New Roman"/>
                <w:sz w:val="18"/>
                <w:szCs w:val="18"/>
                <w:b w:val="1"/>
                <w:bCs w:val="1"/>
                <w:color w:val="auto"/>
              </w:rPr>
              <w:t>Form</w:t>
            </w:r>
          </w:p>
        </w:tc>
        <w:tc>
          <w:tcPr>
            <w:tcW w:w="118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8"/>
                <w:szCs w:val="18"/>
                <w:b w:val="1"/>
                <w:bCs w:val="1"/>
                <w:color w:val="auto"/>
                <w:w w:val="99"/>
              </w:rPr>
              <w:t>File No.</w:t>
            </w:r>
          </w:p>
        </w:tc>
        <w:tc>
          <w:tcPr>
            <w:tcW w:w="124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w w:val="98"/>
              </w:rPr>
              <w:t>Exhibit</w:t>
            </w:r>
          </w:p>
        </w:tc>
        <w:tc>
          <w:tcPr>
            <w:tcW w:w="1140" w:type="dxa"/>
            <w:vAlign w:val="bottom"/>
          </w:tcPr>
          <w:p>
            <w:pPr>
              <w:ind w:left="300"/>
              <w:spacing w:after="0" w:line="160" w:lineRule="exact"/>
              <w:rPr>
                <w:sz w:val="20"/>
                <w:szCs w:val="20"/>
                <w:color w:val="auto"/>
              </w:rPr>
            </w:pPr>
            <w:r>
              <w:rPr>
                <w:rFonts w:ascii="Times New Roman" w:cs="Times New Roman" w:eastAsia="Times New Roman" w:hAnsi="Times New Roman"/>
                <w:sz w:val="18"/>
                <w:szCs w:val="18"/>
                <w:b w:val="1"/>
                <w:bCs w:val="1"/>
                <w:color w:val="auto"/>
              </w:rPr>
              <w:t>Filing</w:t>
            </w: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8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169"/>
        </w:trPr>
        <w:tc>
          <w:tcPr>
            <w:tcW w:w="8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14"/>
                <w:szCs w:val="14"/>
                <w:color w:val="auto"/>
              </w:rPr>
            </w:pPr>
          </w:p>
        </w:tc>
        <w:tc>
          <w:tcPr>
            <w:tcW w:w="3700" w:type="dxa"/>
            <w:vAlign w:val="bottom"/>
            <w:gridSpan w:val="6"/>
          </w:tcPr>
          <w:p>
            <w:pPr>
              <w:spacing w:after="0" w:line="169" w:lineRule="exact"/>
              <w:rPr>
                <w:rFonts w:ascii="Times New Roman" w:cs="Times New Roman" w:eastAsia="Times New Roman" w:hAnsi="Times New Roman"/>
                <w:sz w:val="18"/>
                <w:szCs w:val="18"/>
                <w:color w:val="0000FF"/>
                <w:w w:val="99"/>
              </w:rPr>
            </w:pPr>
            <w:hyperlink r:id="rId263">
              <w:r>
                <w:rPr>
                  <w:rFonts w:ascii="Times New Roman" w:cs="Times New Roman" w:eastAsia="Times New Roman" w:hAnsi="Times New Roman"/>
                  <w:sz w:val="18"/>
                  <w:szCs w:val="18"/>
                  <w:color w:val="0000FF"/>
                  <w:w w:val="99"/>
                </w:rPr>
                <w:t>Amended and Restated Certificate of Incorporation</w:t>
              </w:r>
            </w:hyperlink>
          </w:p>
        </w:tc>
        <w:tc>
          <w:tcPr>
            <w:tcW w:w="720" w:type="dxa"/>
            <w:vAlign w:val="bottom"/>
            <w:gridSpan w:val="10"/>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410"/>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gridSpan w:val="2"/>
          </w:tcPr>
          <w:p>
            <w:pPr>
              <w:jc w:val="center"/>
              <w:ind w:right="320"/>
              <w:spacing w:after="0" w:line="169" w:lineRule="exact"/>
              <w:rPr>
                <w:rFonts w:ascii="Times New Roman" w:cs="Times New Roman" w:eastAsia="Times New Roman" w:hAnsi="Times New Roman"/>
                <w:sz w:val="18"/>
                <w:szCs w:val="18"/>
                <w:color w:val="0000FF"/>
                <w:w w:val="99"/>
              </w:rPr>
            </w:pPr>
            <w:hyperlink r:id="rId263">
              <w:r>
                <w:rPr>
                  <w:rFonts w:ascii="Times New Roman" w:cs="Times New Roman" w:eastAsia="Times New Roman" w:hAnsi="Times New Roman"/>
                  <w:sz w:val="18"/>
                  <w:szCs w:val="18"/>
                  <w:color w:val="0000FF"/>
                  <w:w w:val="99"/>
                </w:rPr>
                <w:t>001-40632</w:t>
              </w:r>
            </w:hyperlink>
          </w:p>
        </w:tc>
        <w:tc>
          <w:tcPr>
            <w:tcW w:w="1240" w:type="dxa"/>
            <w:vAlign w:val="bottom"/>
            <w:gridSpan w:val="3"/>
          </w:tcPr>
          <w:p>
            <w:pPr>
              <w:jc w:val="center"/>
              <w:spacing w:after="0" w:line="169"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1140" w:type="dxa"/>
            <w:vAlign w:val="bottom"/>
          </w:tcPr>
          <w:p>
            <w:pPr>
              <w:ind w:left="320"/>
              <w:spacing w:after="0" w:line="169" w:lineRule="exact"/>
              <w:rPr>
                <w:sz w:val="20"/>
                <w:szCs w:val="20"/>
                <w:color w:val="auto"/>
              </w:rPr>
            </w:pPr>
            <w:r>
              <w:rPr>
                <w:rFonts w:ascii="Times New Roman" w:cs="Times New Roman" w:eastAsia="Times New Roman" w:hAnsi="Times New Roman"/>
                <w:sz w:val="18"/>
                <w:szCs w:val="18"/>
                <w:color w:val="auto"/>
                <w:w w:val="97"/>
              </w:rPr>
              <w:t>07/27/2021</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17"/>
                <w:szCs w:val="17"/>
                <w:color w:val="auto"/>
              </w:rPr>
            </w:pPr>
          </w:p>
        </w:tc>
        <w:tc>
          <w:tcPr>
            <w:tcW w:w="2280" w:type="dxa"/>
            <w:vAlign w:val="bottom"/>
            <w:gridSpan w:val="2"/>
          </w:tcPr>
          <w:p>
            <w:pPr>
              <w:spacing w:after="0" w:line="196" w:lineRule="exact"/>
              <w:rPr>
                <w:rFonts w:ascii="Times New Roman" w:cs="Times New Roman" w:eastAsia="Times New Roman" w:hAnsi="Times New Roman"/>
                <w:sz w:val="18"/>
                <w:szCs w:val="18"/>
                <w:color w:val="0000FF"/>
                <w:w w:val="99"/>
              </w:rPr>
            </w:pPr>
            <w:hyperlink r:id="rId264">
              <w:r>
                <w:rPr>
                  <w:rFonts w:ascii="Times New Roman" w:cs="Times New Roman" w:eastAsia="Times New Roman" w:hAnsi="Times New Roman"/>
                  <w:sz w:val="18"/>
                  <w:szCs w:val="18"/>
                  <w:color w:val="0000FF"/>
                  <w:w w:val="99"/>
                </w:rPr>
                <w:t>Amended and Restated Bylaws</w:t>
              </w:r>
            </w:hyperlink>
          </w:p>
        </w:tc>
        <w:tc>
          <w:tcPr>
            <w:tcW w:w="1420" w:type="dxa"/>
            <w:vAlign w:val="bottom"/>
            <w:gridSpan w:val="4"/>
          </w:tcPr>
          <w:p>
            <w:pPr>
              <w:spacing w:after="0"/>
              <w:rPr>
                <w:sz w:val="17"/>
                <w:szCs w:val="17"/>
                <w:color w:val="auto"/>
              </w:rPr>
            </w:pPr>
          </w:p>
        </w:tc>
        <w:tc>
          <w:tcPr>
            <w:tcW w:w="840" w:type="dxa"/>
            <w:vAlign w:val="bottom"/>
            <w:gridSpan w:val="11"/>
          </w:tcPr>
          <w:p>
            <w:pPr>
              <w:spacing w:after="0"/>
              <w:rPr>
                <w:sz w:val="17"/>
                <w:szCs w:val="17"/>
                <w:color w:val="auto"/>
              </w:rPr>
            </w:pPr>
          </w:p>
        </w:tc>
        <w:tc>
          <w:tcPr>
            <w:tcW w:w="1180" w:type="dxa"/>
            <w:vAlign w:val="bottom"/>
          </w:tcPr>
          <w:p>
            <w:pPr>
              <w:jc w:val="center"/>
              <w:ind w:right="41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gridSpan w:val="2"/>
          </w:tcPr>
          <w:p>
            <w:pPr>
              <w:jc w:val="center"/>
              <w:ind w:right="320"/>
              <w:spacing w:after="0" w:line="196" w:lineRule="exact"/>
              <w:rPr>
                <w:rFonts w:ascii="Times New Roman" w:cs="Times New Roman" w:eastAsia="Times New Roman" w:hAnsi="Times New Roman"/>
                <w:sz w:val="18"/>
                <w:szCs w:val="18"/>
                <w:color w:val="0000FF"/>
                <w:w w:val="99"/>
              </w:rPr>
            </w:pPr>
            <w:hyperlink r:id="rId264">
              <w:r>
                <w:rPr>
                  <w:rFonts w:ascii="Times New Roman" w:cs="Times New Roman" w:eastAsia="Times New Roman" w:hAnsi="Times New Roman"/>
                  <w:sz w:val="18"/>
                  <w:szCs w:val="18"/>
                  <w:color w:val="0000FF"/>
                  <w:w w:val="99"/>
                </w:rPr>
                <w:t>001-40632</w:t>
              </w:r>
            </w:hyperlink>
          </w:p>
        </w:tc>
        <w:tc>
          <w:tcPr>
            <w:tcW w:w="1240" w:type="dxa"/>
            <w:vAlign w:val="bottom"/>
            <w:gridSpan w:val="3"/>
          </w:tcPr>
          <w:p>
            <w:pPr>
              <w:jc w:val="center"/>
              <w:spacing w:after="0" w:line="196" w:lineRule="exact"/>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114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07/27/2021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7"/>
                <w:szCs w:val="17"/>
                <w:color w:val="auto"/>
              </w:rPr>
            </w:pPr>
          </w:p>
        </w:tc>
        <w:tc>
          <w:tcPr>
            <w:tcW w:w="45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required by</w:t>
            </w: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40" w:type="dxa"/>
            <w:vAlign w:val="bottom"/>
            <w:tcBorders>
              <w:top w:val="single" w:sz="8" w:color="0000FF"/>
              <w:bottom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Rules 13a-14(a) and 15d-14(a) under the Securities</w:t>
            </w:r>
          </w:p>
        </w:tc>
        <w:tc>
          <w:tcPr>
            <w:tcW w:w="300" w:type="dxa"/>
            <w:vAlign w:val="bottom"/>
            <w:tcBorders>
              <w:top w:val="single" w:sz="8" w:color="0000FF"/>
            </w:tcBorders>
            <w:gridSpan w:val="3"/>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540" w:type="dxa"/>
            <w:vAlign w:val="bottom"/>
            <w:gridSpan w:val="17"/>
          </w:tcPr>
          <w:p>
            <w:pPr>
              <w:spacing w:after="0" w:line="169" w:lineRule="exact"/>
              <w:rPr>
                <w:sz w:val="20"/>
                <w:szCs w:val="20"/>
                <w:color w:val="auto"/>
              </w:rPr>
            </w:pPr>
            <w:r>
              <w:rPr>
                <w:rFonts w:ascii="Times New Roman" w:cs="Times New Roman" w:eastAsia="Times New Roman" w:hAnsi="Times New Roman"/>
                <w:sz w:val="18"/>
                <w:szCs w:val="18"/>
                <w:color w:val="0000FF"/>
              </w:rPr>
              <w:t>Exchange Act of 1934, as adopted pursuant to Section 302</w:t>
            </w: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tcBorders>
              <w:top w:val="single" w:sz="8" w:color="0000FF"/>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w w:val="99"/>
              </w:rPr>
              <w:t>of the Sarbanes-Oxley Act of 2002.</w:t>
            </w:r>
          </w:p>
        </w:tc>
        <w:tc>
          <w:tcPr>
            <w:tcW w:w="1700" w:type="dxa"/>
            <w:vAlign w:val="bottom"/>
            <w:tcBorders>
              <w:top w:val="single" w:sz="8" w:color="0000FF"/>
            </w:tcBorders>
            <w:gridSpan w:val="6"/>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7"/>
                <w:szCs w:val="17"/>
                <w:color w:val="auto"/>
              </w:rPr>
            </w:pPr>
          </w:p>
        </w:tc>
        <w:tc>
          <w:tcPr>
            <w:tcW w:w="45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required by Rule</w:t>
            </w: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360" w:type="dxa"/>
            <w:vAlign w:val="bottom"/>
            <w:tcBorders>
              <w:top w:val="single" w:sz="8" w:color="0000FF"/>
              <w:bottom w:val="single" w:sz="8" w:color="0000FF"/>
            </w:tcBorders>
            <w:gridSpan w:val="13"/>
          </w:tcPr>
          <w:p>
            <w:pPr>
              <w:spacing w:after="0" w:line="169" w:lineRule="exact"/>
              <w:rPr>
                <w:sz w:val="20"/>
                <w:szCs w:val="20"/>
                <w:color w:val="auto"/>
              </w:rPr>
            </w:pPr>
            <w:r>
              <w:rPr>
                <w:rFonts w:ascii="Times New Roman" w:cs="Times New Roman" w:eastAsia="Times New Roman" w:hAnsi="Times New Roman"/>
                <w:sz w:val="18"/>
                <w:szCs w:val="18"/>
                <w:color w:val="0000FF"/>
              </w:rPr>
              <w:t>13a-14(a) or Rule 15d-14(a) of the Securities Exchange Act</w:t>
            </w:r>
          </w:p>
        </w:tc>
        <w:tc>
          <w:tcPr>
            <w:tcW w:w="40" w:type="dxa"/>
            <w:vAlign w:val="bottom"/>
            <w:tcBorders>
              <w:top w:val="single" w:sz="8" w:color="0000FF"/>
            </w:tcBorders>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540" w:type="dxa"/>
            <w:vAlign w:val="bottom"/>
            <w:gridSpan w:val="17"/>
          </w:tcPr>
          <w:p>
            <w:pPr>
              <w:spacing w:after="0" w:line="169" w:lineRule="exact"/>
              <w:rPr>
                <w:sz w:val="20"/>
                <w:szCs w:val="20"/>
                <w:color w:val="auto"/>
              </w:rPr>
            </w:pPr>
            <w:r>
              <w:rPr>
                <w:rFonts w:ascii="Times New Roman" w:cs="Times New Roman" w:eastAsia="Times New Roman" w:hAnsi="Times New Roman"/>
                <w:sz w:val="18"/>
                <w:szCs w:val="18"/>
                <w:color w:val="0000FF"/>
              </w:rPr>
              <w:t>of 1934, as adopted pursuant to Section 302 of the Sarbanes-</w:t>
            </w: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380" w:type="dxa"/>
            <w:vAlign w:val="bottom"/>
            <w:tcBorders>
              <w:top w:val="single" w:sz="8" w:color="0000FF"/>
            </w:tcBorders>
            <w:gridSpan w:val="14"/>
          </w:tcPr>
          <w:p>
            <w:pPr>
              <w:spacing w:after="0" w:line="169" w:lineRule="exact"/>
              <w:rPr>
                <w:sz w:val="20"/>
                <w:szCs w:val="20"/>
                <w:color w:val="auto"/>
              </w:rPr>
            </w:pPr>
            <w:r>
              <w:rPr>
                <w:rFonts w:ascii="Times New Roman" w:cs="Times New Roman" w:eastAsia="Times New Roman" w:hAnsi="Times New Roman"/>
                <w:sz w:val="18"/>
                <w:szCs w:val="18"/>
                <w:color w:val="0000FF"/>
              </w:rPr>
              <w:t>Oxley Act of 2002.</w:t>
            </w:r>
          </w:p>
        </w:tc>
        <w:tc>
          <w:tcPr>
            <w:tcW w:w="160" w:type="dxa"/>
            <w:vAlign w:val="bottom"/>
            <w:gridSpan w:val="3"/>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32.1*</w:t>
            </w:r>
          </w:p>
        </w:tc>
        <w:tc>
          <w:tcPr>
            <w:tcW w:w="140" w:type="dxa"/>
            <w:vAlign w:val="bottom"/>
          </w:tcPr>
          <w:p>
            <w:pPr>
              <w:spacing w:after="0"/>
              <w:rPr>
                <w:sz w:val="17"/>
                <w:szCs w:val="17"/>
                <w:color w:val="auto"/>
              </w:rPr>
            </w:pPr>
          </w:p>
        </w:tc>
        <w:tc>
          <w:tcPr>
            <w:tcW w:w="400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Executive Officer pursuant to 18</w:t>
            </w:r>
          </w:p>
        </w:tc>
        <w:tc>
          <w:tcPr>
            <w:tcW w:w="540" w:type="dxa"/>
            <w:vAlign w:val="bottom"/>
            <w:gridSpan w:val="8"/>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540" w:type="dxa"/>
            <w:vAlign w:val="bottom"/>
            <w:gridSpan w:val="17"/>
          </w:tcPr>
          <w:p>
            <w:pPr>
              <w:spacing w:after="0" w:line="169" w:lineRule="exact"/>
              <w:rPr>
                <w:sz w:val="20"/>
                <w:szCs w:val="20"/>
                <w:color w:val="auto"/>
              </w:rPr>
            </w:pPr>
            <w:r>
              <w:rPr>
                <w:rFonts w:ascii="Times New Roman" w:cs="Times New Roman" w:eastAsia="Times New Roman" w:hAnsi="Times New Roman"/>
                <w:sz w:val="18"/>
                <w:szCs w:val="18"/>
                <w:color w:val="0000FF"/>
              </w:rPr>
              <w:t>U.S.C. Section 1350, as adopted pursuant to Section 906 of</w:t>
            </w: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1840" w:type="dxa"/>
            <w:vAlign w:val="bottom"/>
            <w:tcBorders>
              <w:top w:val="single" w:sz="8" w:color="0000FF"/>
            </w:tcBorders>
            <w:gridSpan w:val="8"/>
          </w:tcPr>
          <w:p>
            <w:pPr>
              <w:spacing w:after="0"/>
              <w:rPr>
                <w:sz w:val="14"/>
                <w:szCs w:val="14"/>
                <w:color w:val="auto"/>
              </w:rPr>
            </w:pPr>
          </w:p>
        </w:tc>
        <w:tc>
          <w:tcPr>
            <w:tcW w:w="220" w:type="dxa"/>
            <w:vAlign w:val="bottom"/>
            <w:gridSpan w:val="5"/>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32.2*</w:t>
            </w:r>
          </w:p>
        </w:tc>
        <w:tc>
          <w:tcPr>
            <w:tcW w:w="140" w:type="dxa"/>
            <w:vAlign w:val="bottom"/>
          </w:tcPr>
          <w:p>
            <w:pPr>
              <w:spacing w:after="0"/>
              <w:rPr>
                <w:sz w:val="17"/>
                <w:szCs w:val="17"/>
                <w:color w:val="auto"/>
              </w:rPr>
            </w:pPr>
          </w:p>
        </w:tc>
        <w:tc>
          <w:tcPr>
            <w:tcW w:w="394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pursuant to 18</w:t>
            </w:r>
          </w:p>
        </w:tc>
        <w:tc>
          <w:tcPr>
            <w:tcW w:w="600" w:type="dxa"/>
            <w:vAlign w:val="bottom"/>
            <w:gridSpan w:val="9"/>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540" w:type="dxa"/>
            <w:vAlign w:val="bottom"/>
            <w:gridSpan w:val="17"/>
          </w:tcPr>
          <w:p>
            <w:pPr>
              <w:spacing w:after="0" w:line="169" w:lineRule="exact"/>
              <w:rPr>
                <w:sz w:val="20"/>
                <w:szCs w:val="20"/>
                <w:color w:val="auto"/>
              </w:rPr>
            </w:pPr>
            <w:r>
              <w:rPr>
                <w:rFonts w:ascii="Times New Roman" w:cs="Times New Roman" w:eastAsia="Times New Roman" w:hAnsi="Times New Roman"/>
                <w:sz w:val="18"/>
                <w:szCs w:val="18"/>
                <w:color w:val="0000FF"/>
              </w:rPr>
              <w:t>U.S.C. Section 1350, as adopted pursuant to Section 906 of</w:t>
            </w: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1840" w:type="dxa"/>
            <w:vAlign w:val="bottom"/>
            <w:tcBorders>
              <w:top w:val="single" w:sz="8" w:color="0000FF"/>
            </w:tcBorders>
            <w:gridSpan w:val="8"/>
          </w:tcPr>
          <w:p>
            <w:pPr>
              <w:spacing w:after="0"/>
              <w:rPr>
                <w:sz w:val="14"/>
                <w:szCs w:val="14"/>
                <w:color w:val="auto"/>
              </w:rPr>
            </w:pPr>
          </w:p>
        </w:tc>
        <w:tc>
          <w:tcPr>
            <w:tcW w:w="220" w:type="dxa"/>
            <w:vAlign w:val="bottom"/>
            <w:gridSpan w:val="5"/>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8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101.INS</w:t>
            </w:r>
          </w:p>
        </w:tc>
        <w:tc>
          <w:tcPr>
            <w:tcW w:w="140" w:type="dxa"/>
            <w:vAlign w:val="bottom"/>
          </w:tcPr>
          <w:p>
            <w:pPr>
              <w:spacing w:after="0"/>
              <w:rPr>
                <w:sz w:val="16"/>
                <w:szCs w:val="16"/>
                <w:color w:val="auto"/>
              </w:rPr>
            </w:pPr>
          </w:p>
        </w:tc>
        <w:tc>
          <w:tcPr>
            <w:tcW w:w="4540" w:type="dxa"/>
            <w:vAlign w:val="bottom"/>
            <w:gridSpan w:val="17"/>
          </w:tcPr>
          <w:p>
            <w:pPr>
              <w:spacing w:after="0" w:line="191" w:lineRule="exact"/>
              <w:rPr>
                <w:sz w:val="20"/>
                <w:szCs w:val="20"/>
                <w:color w:val="auto"/>
              </w:rPr>
            </w:pPr>
            <w:r>
              <w:rPr>
                <w:rFonts w:ascii="Times New Roman" w:cs="Times New Roman" w:eastAsia="Times New Roman" w:hAnsi="Times New Roman"/>
                <w:sz w:val="18"/>
                <w:szCs w:val="18"/>
                <w:color w:val="auto"/>
              </w:rPr>
              <w:t>Inline XBRL Instance Document – the instance document</w:t>
            </w:r>
          </w:p>
        </w:tc>
        <w:tc>
          <w:tcPr>
            <w:tcW w:w="1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4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auto"/>
              </w:rPr>
              <w:t>does not appear in the Interactive Data File because XBRL</w:t>
            </w:r>
          </w:p>
        </w:tc>
        <w:tc>
          <w:tcPr>
            <w:tcW w:w="1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5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40" w:type="dxa"/>
            <w:vAlign w:val="bottom"/>
          </w:tcPr>
          <w:p>
            <w:pPr>
              <w:spacing w:after="0"/>
              <w:rPr>
                <w:sz w:val="24"/>
                <w:szCs w:val="24"/>
                <w:color w:val="auto"/>
              </w:rPr>
            </w:pPr>
          </w:p>
        </w:tc>
        <w:tc>
          <w:tcPr>
            <w:tcW w:w="45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87"/>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140" w:type="dxa"/>
            <w:vAlign w:val="bottom"/>
          </w:tcPr>
          <w:p>
            <w:pPr>
              <w:spacing w:after="0"/>
              <w:rPr>
                <w:sz w:val="24"/>
                <w:szCs w:val="24"/>
                <w:color w:val="auto"/>
              </w:rPr>
            </w:pPr>
          </w:p>
        </w:tc>
        <w:tc>
          <w:tcPr>
            <w:tcW w:w="45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5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140" w:type="dxa"/>
            <w:vAlign w:val="bottom"/>
          </w:tcPr>
          <w:p>
            <w:pPr>
              <w:spacing w:after="0"/>
              <w:rPr>
                <w:sz w:val="24"/>
                <w:szCs w:val="24"/>
                <w:color w:val="auto"/>
              </w:rPr>
            </w:pPr>
          </w:p>
        </w:tc>
        <w:tc>
          <w:tcPr>
            <w:tcW w:w="45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5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140" w:type="dxa"/>
            <w:vAlign w:val="bottom"/>
          </w:tcPr>
          <w:p>
            <w:pPr>
              <w:spacing w:after="0"/>
              <w:rPr>
                <w:sz w:val="24"/>
                <w:szCs w:val="24"/>
                <w:color w:val="auto"/>
              </w:rPr>
            </w:pPr>
          </w:p>
        </w:tc>
        <w:tc>
          <w:tcPr>
            <w:tcW w:w="45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5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140" w:type="dxa"/>
            <w:vAlign w:val="bottom"/>
          </w:tcPr>
          <w:p>
            <w:pPr>
              <w:spacing w:after="0"/>
              <w:rPr>
                <w:sz w:val="24"/>
                <w:szCs w:val="24"/>
                <w:color w:val="auto"/>
              </w:rPr>
            </w:pPr>
          </w:p>
        </w:tc>
        <w:tc>
          <w:tcPr>
            <w:tcW w:w="45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5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140" w:type="dxa"/>
            <w:vAlign w:val="bottom"/>
          </w:tcPr>
          <w:p>
            <w:pPr>
              <w:spacing w:after="0"/>
              <w:rPr>
                <w:sz w:val="24"/>
                <w:szCs w:val="24"/>
                <w:color w:val="auto"/>
              </w:rPr>
            </w:pPr>
          </w:p>
        </w:tc>
        <w:tc>
          <w:tcPr>
            <w:tcW w:w="45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5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and contained in Exhibits 101).</w:t>
            </w: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9" w:lineRule="exact"/>
        <w:rPr>
          <w:sz w:val="20"/>
          <w:szCs w:val="20"/>
          <w:color w:val="auto"/>
        </w:rPr>
      </w:pPr>
    </w:p>
    <w:p>
      <w:pPr>
        <w:jc w:val="both"/>
        <w:ind w:firstLine="8"/>
        <w:spacing w:after="0" w:line="243" w:lineRule="auto"/>
        <w:tabs>
          <w:tab w:leader="none" w:pos="14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contemplated by SEC Release No. 33-8212, these exhibits are furnished with this Quarterly Report on Form 10-Q and are not deemed filed with the Securities and Exchange Commission and are not incorporated by reference in any filing of Cytek Biosciences, Inc. under the Securities Act of 1933, as amended, or the Securities Exchange Act of 1934, as amended, whether made before or after the date hereof and irrespective of any general incorporation language contained in such filings.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t>84</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Cytek Biosciences, Inc.</w:t>
      </w:r>
    </w:p>
    <w:p>
      <w:pPr>
        <w:spacing w:after="0" w:line="229" w:lineRule="exact"/>
        <w:rPr>
          <w:sz w:val="20"/>
          <w:szCs w:val="20"/>
          <w:color w:val="auto"/>
        </w:rPr>
      </w:pPr>
    </w:p>
    <w:p>
      <w:pPr>
        <w:ind w:left="20"/>
        <w:spacing w:after="0"/>
        <w:tabs>
          <w:tab w:leader="none" w:pos="5340" w:val="left"/>
          <w:tab w:leader="none" w:pos="7840" w:val="left"/>
        </w:tabs>
        <w:rPr>
          <w:sz w:val="20"/>
          <w:szCs w:val="20"/>
          <w:color w:val="auto"/>
        </w:rPr>
      </w:pPr>
      <w:r>
        <w:rPr>
          <w:rFonts w:ascii="Times New Roman" w:cs="Times New Roman" w:eastAsia="Times New Roman" w:hAnsi="Times New Roman"/>
          <w:sz w:val="18"/>
          <w:szCs w:val="18"/>
          <w:color w:val="auto"/>
        </w:rPr>
        <w:t>Date: August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Wenbin Jiang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353187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21"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Wenbin Jiang, Ph.D.</w:t>
      </w:r>
    </w:p>
    <w:p>
      <w:pPr>
        <w:ind w:left="7080"/>
        <w:spacing w:after="0" w:line="231" w:lineRule="auto"/>
        <w:rPr>
          <w:sz w:val="20"/>
          <w:szCs w:val="20"/>
          <w:color w:val="auto"/>
        </w:rPr>
      </w:pPr>
      <w:r>
        <w:rPr>
          <w:rFonts w:ascii="Times New Roman" w:cs="Times New Roman" w:eastAsia="Times New Roman" w:hAnsi="Times New Roman"/>
          <w:sz w:val="18"/>
          <w:szCs w:val="18"/>
          <w:color w:val="auto"/>
        </w:rPr>
        <w:t>President and Chief Executive Officer</w:t>
      </w:r>
    </w:p>
    <w:p>
      <w:pPr>
        <w:ind w:left="74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tabs>
          <w:tab w:leader="none" w:pos="5340" w:val="left"/>
          <w:tab w:leader="none" w:pos="7680" w:val="left"/>
        </w:tabs>
        <w:rPr>
          <w:sz w:val="20"/>
          <w:szCs w:val="20"/>
          <w:color w:val="auto"/>
        </w:rPr>
      </w:pPr>
      <w:r>
        <w:rPr>
          <w:rFonts w:ascii="Times New Roman" w:cs="Times New Roman" w:eastAsia="Times New Roman" w:hAnsi="Times New Roman"/>
          <w:sz w:val="18"/>
          <w:szCs w:val="18"/>
          <w:color w:val="auto"/>
        </w:rPr>
        <w:t>Date: August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Patrik Jeanmonod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35318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21"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Patrik Jeanmonod</w:t>
      </w:r>
    </w:p>
    <w:p>
      <w:pPr>
        <w:ind w:left="7620"/>
        <w:spacing w:after="0" w:line="231" w:lineRule="auto"/>
        <w:rPr>
          <w:sz w:val="20"/>
          <w:szCs w:val="20"/>
          <w:color w:val="auto"/>
        </w:rPr>
      </w:pPr>
      <w:r>
        <w:rPr>
          <w:rFonts w:ascii="Times New Roman" w:cs="Times New Roman" w:eastAsia="Times New Roman" w:hAnsi="Times New Roman"/>
          <w:sz w:val="18"/>
          <w:szCs w:val="18"/>
          <w:color w:val="auto"/>
        </w:rPr>
        <w:t>Chief Financial Officer</w:t>
      </w:r>
    </w:p>
    <w:p>
      <w:pPr>
        <w:ind w:left="68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Wenbin Jiang, Ph.D., certify that:</w:t>
      </w:r>
    </w:p>
    <w:p>
      <w:pPr>
        <w:ind w:left="180" w:hanging="172"/>
        <w:spacing w:after="0" w:line="234" w:lineRule="auto"/>
        <w:tabs>
          <w:tab w:leader="none" w:pos="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Cytek Biosciences, Inc.;</w:t>
      </w:r>
    </w:p>
    <w:p>
      <w:pPr>
        <w:ind w:left="180" w:hanging="172"/>
        <w:spacing w:after="0"/>
        <w:tabs>
          <w:tab w:leader="none" w:pos="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made, in light of the circumstances under which such statements were made, not misleading with respect to the period covered by this report;</w:t>
      </w:r>
    </w:p>
    <w:p>
      <w:pPr>
        <w:ind w:right="540" w:firstLine="8"/>
        <w:spacing w:after="0" w:line="234" w:lineRule="auto"/>
        <w:tabs>
          <w:tab w:leader="none" w:pos="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right="20" w:firstLine="8"/>
        <w:spacing w:after="0" w:line="258" w:lineRule="auto"/>
        <w:tabs>
          <w:tab w:leader="none" w:pos="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1" w:lineRule="exact"/>
        <w:rPr>
          <w:rFonts w:ascii="Times New Roman" w:cs="Times New Roman" w:eastAsia="Times New Roman" w:hAnsi="Times New Roman"/>
          <w:sz w:val="18"/>
          <w:szCs w:val="18"/>
          <w:color w:val="auto"/>
        </w:rPr>
      </w:pPr>
    </w:p>
    <w:p>
      <w:pPr>
        <w:ind w:left="760" w:right="280" w:hanging="378"/>
        <w:spacing w:after="0" w:line="258" w:lineRule="auto"/>
        <w:tabs>
          <w:tab w:leader="none" w:pos="7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jc w:val="both"/>
        <w:ind w:left="760" w:right="760" w:hanging="378"/>
        <w:spacing w:after="0" w:line="296" w:lineRule="auto"/>
        <w:tabs>
          <w:tab w:leader="none" w:pos="76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4" w:lineRule="exact"/>
        <w:rPr>
          <w:rFonts w:ascii="Times New Roman" w:cs="Times New Roman" w:eastAsia="Times New Roman" w:hAnsi="Times New Roman"/>
          <w:sz w:val="17"/>
          <w:szCs w:val="17"/>
          <w:color w:val="auto"/>
        </w:rPr>
      </w:pPr>
    </w:p>
    <w:p>
      <w:pPr>
        <w:ind w:left="760" w:right="280" w:hanging="378"/>
        <w:spacing w:after="0" w:line="247" w:lineRule="auto"/>
        <w:tabs>
          <w:tab w:leader="none" w:pos="7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right="480" w:firstLine="8"/>
        <w:spacing w:after="0" w:line="245" w:lineRule="auto"/>
        <w:tabs>
          <w:tab w:leader="none" w:pos="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2"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760" w:right="140" w:hanging="378"/>
        <w:spacing w:after="0" w:line="266" w:lineRule="auto"/>
        <w:tabs>
          <w:tab w:leader="none" w:pos="7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10, 2022</w:t>
            </w:r>
          </w:p>
        </w:tc>
        <w:tc>
          <w:tcPr>
            <w:tcW w:w="826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By: /s/ Wenbin Jiang, Ph.D.</w:t>
            </w:r>
          </w:p>
        </w:tc>
      </w:tr>
      <w:tr>
        <w:trPr>
          <w:trHeight w:val="20"/>
        </w:trPr>
        <w:tc>
          <w:tcPr>
            <w:tcW w:w="2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191"/>
        </w:trPr>
        <w:tc>
          <w:tcPr>
            <w:tcW w:w="29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600" w:type="dxa"/>
            <w:vAlign w:val="bottom"/>
            <w:gridSpan w:val="2"/>
          </w:tcPr>
          <w:p>
            <w:pPr>
              <w:ind w:left="380"/>
              <w:spacing w:after="0" w:line="191" w:lineRule="exact"/>
              <w:rPr>
                <w:sz w:val="20"/>
                <w:szCs w:val="20"/>
                <w:color w:val="auto"/>
              </w:rPr>
            </w:pPr>
            <w:r>
              <w:rPr>
                <w:rFonts w:ascii="Times New Roman" w:cs="Times New Roman" w:eastAsia="Times New Roman" w:hAnsi="Times New Roman"/>
                <w:sz w:val="18"/>
                <w:szCs w:val="18"/>
                <w:color w:val="auto"/>
              </w:rPr>
              <w:t>Wenbin Jiang, Ph.D.</w:t>
            </w:r>
          </w:p>
        </w:tc>
      </w:tr>
      <w:tr>
        <w:trPr>
          <w:trHeight w:val="216"/>
        </w:trPr>
        <w:tc>
          <w:tcPr>
            <w:tcW w:w="29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6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29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6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04"/>
        </w:trPr>
        <w:tc>
          <w:tcPr>
            <w:tcW w:w="29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Patrik Jeanmonod, certify that:</w:t>
      </w:r>
    </w:p>
    <w:p>
      <w:pPr>
        <w:ind w:left="180" w:hanging="172"/>
        <w:spacing w:after="0" w:line="234" w:lineRule="auto"/>
        <w:tabs>
          <w:tab w:leader="none" w:pos="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Cytek Biosciences, Inc.;</w:t>
      </w:r>
    </w:p>
    <w:p>
      <w:pPr>
        <w:ind w:left="180" w:hanging="172"/>
        <w:spacing w:after="0"/>
        <w:tabs>
          <w:tab w:leader="none" w:pos="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made, in light of the circumstances under which such statements were made, not misleading with respect to the period covered by this report;</w:t>
      </w:r>
    </w:p>
    <w:p>
      <w:pPr>
        <w:ind w:right="540" w:firstLine="8"/>
        <w:spacing w:after="0" w:line="234" w:lineRule="auto"/>
        <w:tabs>
          <w:tab w:leader="none" w:pos="1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right="20" w:firstLine="8"/>
        <w:spacing w:after="0" w:line="258" w:lineRule="auto"/>
        <w:tabs>
          <w:tab w:leader="none" w:pos="1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1"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020" w:hanging="503"/>
        <w:spacing w:after="0" w:line="247" w:lineRule="auto"/>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right="480" w:firstLine="8"/>
        <w:spacing w:after="0" w:line="245" w:lineRule="auto"/>
        <w:tabs>
          <w:tab w:leader="none" w:pos="1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2"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10, 2022</w:t>
            </w:r>
          </w:p>
        </w:tc>
        <w:tc>
          <w:tcPr>
            <w:tcW w:w="19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220" w:type="dxa"/>
            <w:vAlign w:val="bottom"/>
          </w:tcPr>
          <w:p>
            <w:pPr>
              <w:spacing w:after="0"/>
              <w:rPr>
                <w:sz w:val="17"/>
                <w:szCs w:val="17"/>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Patrik Jeanmonod</w:t>
            </w:r>
          </w:p>
        </w:tc>
      </w:tr>
      <w:tr>
        <w:trPr>
          <w:trHeight w:val="191"/>
        </w:trPr>
        <w:tc>
          <w:tcPr>
            <w:tcW w:w="31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Patrik Jeanmonod</w:t>
            </w:r>
          </w:p>
        </w:tc>
        <w:tc>
          <w:tcPr>
            <w:tcW w:w="4420" w:type="dxa"/>
            <w:vAlign w:val="bottom"/>
          </w:tcPr>
          <w:p>
            <w:pPr>
              <w:spacing w:after="0"/>
              <w:rPr>
                <w:sz w:val="16"/>
                <w:szCs w:val="16"/>
                <w:color w:val="auto"/>
              </w:rPr>
            </w:pPr>
          </w:p>
        </w:tc>
      </w:tr>
      <w:tr>
        <w:trPr>
          <w:trHeight w:val="216"/>
        </w:trPr>
        <w:tc>
          <w:tcPr>
            <w:tcW w:w="3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1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520"/>
        </w:trPr>
        <w:tc>
          <w:tcPr>
            <w:tcW w:w="314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2" w:lineRule="exact"/>
        <w:rPr>
          <w:sz w:val="20"/>
          <w:szCs w:val="20"/>
          <w:color w:val="auto"/>
        </w:rPr>
      </w:pPr>
    </w:p>
    <w:p>
      <w:pPr>
        <w:jc w:val="both"/>
        <w:ind w:firstLine="898"/>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on Form 10-Q of Cytek Biosciences, Inc. (the “Company”) for the period ended June 30, 2022 as filed with the Securities and Exchange Commission on the date hereof (the “Report”), the undersigned, Wenbin Jiang, Ph.D., President and Chief Executive Officer of the Company, hereby certifies, pursuant to requirements set forth in Rule 13a-14(b) of the Securities Exchange Act of 1934, as amended (the “Exchange Act”), and 18 U.S.C. Section 1350, that to his knowledge:</w:t>
      </w:r>
    </w:p>
    <w:p>
      <w:pPr>
        <w:spacing w:after="0" w:line="69" w:lineRule="exact"/>
        <w:rPr>
          <w:sz w:val="20"/>
          <w:szCs w:val="20"/>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10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5" w:lineRule="exact"/>
        <w:rPr>
          <w:sz w:val="20"/>
          <w:szCs w:val="20"/>
          <w:color w:val="auto"/>
        </w:rPr>
      </w:pPr>
    </w:p>
    <w:p>
      <w:pPr>
        <w:ind w:left="20"/>
        <w:spacing w:after="0"/>
        <w:tabs>
          <w:tab w:leader="none" w:pos="4040" w:val="left"/>
          <w:tab w:leader="none" w:pos="4680" w:val="left"/>
        </w:tabs>
        <w:rPr>
          <w:sz w:val="20"/>
          <w:szCs w:val="20"/>
          <w:color w:val="auto"/>
        </w:rPr>
      </w:pPr>
      <w:r>
        <w:rPr>
          <w:rFonts w:ascii="Times New Roman" w:cs="Times New Roman" w:eastAsia="Times New Roman" w:hAnsi="Times New Roman"/>
          <w:sz w:val="18"/>
          <w:szCs w:val="18"/>
          <w:color w:val="auto"/>
        </w:rPr>
        <w:t>Date: August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Wenbin Jiang, Ph.D.</w:t>
      </w:r>
    </w:p>
    <w:p>
      <w:pPr>
        <w:spacing w:after="0" w:line="2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Wenbin Jiang, Ph.D.</w:t>
      </w:r>
    </w:p>
    <w:p>
      <w:pPr>
        <w:ind w:left="5020"/>
        <w:spacing w:after="0" w:line="234" w:lineRule="auto"/>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2" w:lineRule="exact"/>
        <w:rPr>
          <w:sz w:val="20"/>
          <w:szCs w:val="20"/>
          <w:color w:val="auto"/>
        </w:rPr>
      </w:pPr>
    </w:p>
    <w:p>
      <w:pPr>
        <w:ind w:right="40" w:firstLine="898"/>
        <w:spacing w:after="0" w:line="245" w:lineRule="auto"/>
        <w:rPr>
          <w:sz w:val="20"/>
          <w:szCs w:val="20"/>
          <w:color w:val="auto"/>
        </w:rPr>
      </w:pPr>
      <w:r>
        <w:rPr>
          <w:rFonts w:ascii="Times New Roman" w:cs="Times New Roman" w:eastAsia="Times New Roman" w:hAnsi="Times New Roman"/>
          <w:sz w:val="18"/>
          <w:szCs w:val="18"/>
          <w:color w:val="auto"/>
        </w:rPr>
        <w:t>In connection with the Quarterly Report on Form 10-Q of Cytek Biosciences, Inc. (the “Company”) for the period ended June 30, 2022 as filed with the Securities and Exchange Commission on the date hereof (the “Report”), the undersigned, Patrik Jeanmonod, Chief Financial Officer of the Company, hereby certifies, pursuant to requirements set forth in Rule 13a-14(b) of the Securities Exchange Act of 1934, as amended (the “Exchange Act”), and 18 U.S.C. Section 1350, that to his knowledge:</w:t>
      </w:r>
    </w:p>
    <w:p>
      <w:pPr>
        <w:spacing w:after="0" w:line="86" w:lineRule="exact"/>
        <w:rPr>
          <w:sz w:val="20"/>
          <w:szCs w:val="20"/>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103" w:lineRule="exact"/>
        <w:rPr>
          <w:rFonts w:ascii="Times New Roman" w:cs="Times New Roman" w:eastAsia="Times New Roman" w:hAnsi="Times New Roman"/>
          <w:sz w:val="18"/>
          <w:szCs w:val="18"/>
          <w:color w:val="auto"/>
        </w:rPr>
      </w:pPr>
    </w:p>
    <w:p>
      <w:pPr>
        <w:ind w:left="1020" w:right="620" w:hanging="503"/>
        <w:spacing w:after="0" w:line="266"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Date:   August 10, 2022</w:t>
            </w:r>
          </w:p>
        </w:tc>
        <w:tc>
          <w:tcPr>
            <w:tcW w:w="1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By:</w:t>
            </w:r>
          </w:p>
        </w:tc>
        <w:tc>
          <w:tcPr>
            <w:tcW w:w="220" w:type="dxa"/>
            <w:vAlign w:val="bottom"/>
          </w:tcPr>
          <w:p>
            <w:pPr>
              <w:spacing w:after="0"/>
              <w:rPr>
                <w:sz w:val="17"/>
                <w:szCs w:val="17"/>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Patrik Jeanmonod</w:t>
            </w:r>
          </w:p>
        </w:tc>
      </w:tr>
      <w:tr>
        <w:trPr>
          <w:trHeight w:val="205"/>
        </w:trPr>
        <w:tc>
          <w:tcPr>
            <w:tcW w:w="3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Patrik Jeanmonod</w:t>
            </w:r>
          </w:p>
        </w:tc>
        <w:tc>
          <w:tcPr>
            <w:tcW w:w="524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960" w:type="dxa"/>
            <w:vAlign w:val="bottom"/>
            <w:gridSpan w:val="3"/>
          </w:tcPr>
          <w:p>
            <w:pPr>
              <w:ind w:left="140"/>
              <w:spacing w:after="0" w:line="202"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520"/>
        </w:trPr>
        <w:tc>
          <w:tcPr>
            <w:tcW w:w="31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9" w:name="page90"/>
    <w:bookmarkEnd w:id="8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1."/>
      <w:numFmt w:val="decimal"/>
      <w:start w:val="1"/>
    </w:lvl>
  </w:abstractNum>
  <w:abstractNum w:abstractNumId="3">
    <w:nsid w:val="3A95F874"/>
    <w:multiLevelType w:val="hybridMultilevel"/>
    <w:lvl w:ilvl="0">
      <w:lvlJc w:val="left"/>
      <w:lvlText w:val="%1."/>
      <w:numFmt w:val="decimal"/>
      <w:start w:val="2"/>
    </w:lvl>
  </w:abstractNum>
  <w:abstractNum w:abstractNumId="4">
    <w:nsid w:val="8138641"/>
    <w:multiLevelType w:val="hybridMultilevel"/>
    <w:lvl w:ilvl="0">
      <w:lvlJc w:val="left"/>
      <w:lvlText w:val="%1."/>
      <w:numFmt w:val="decimal"/>
      <w:start w:val="3"/>
    </w:lvl>
  </w:abstractNum>
  <w:abstractNum w:abstractNumId="5">
    <w:nsid w:val="1E7FF521"/>
    <w:multiLevelType w:val="hybridMultilevel"/>
    <w:lvl w:ilvl="0">
      <w:lvlJc w:val="left"/>
      <w:lvlText w:val="%1."/>
      <w:numFmt w:val="decimal"/>
      <w:start w:val="4"/>
    </w:lvl>
  </w:abstractNum>
  <w:abstractNum w:abstractNumId="6">
    <w:nsid w:val="7C3DBD3D"/>
    <w:multiLevelType w:val="hybridMultilevel"/>
    <w:lvl w:ilvl="0">
      <w:lvlJc w:val="left"/>
      <w:lvlText w:val="%1."/>
      <w:numFmt w:val="decimal"/>
      <w:start w:val="6"/>
    </w:lvl>
  </w:abstractNum>
  <w:abstractNum w:abstractNumId="7">
    <w:nsid w:val="737B8DDC"/>
    <w:multiLevelType w:val="hybridMultilevel"/>
    <w:lvl w:ilvl="0">
      <w:lvlJc w:val="left"/>
      <w:lvlText w:val="%1."/>
      <w:numFmt w:val="decimal"/>
      <w:start w:val="7"/>
    </w:lvl>
  </w:abstractNum>
  <w:abstractNum w:abstractNumId="8">
    <w:nsid w:val="6CEAF087"/>
    <w:multiLevelType w:val="hybridMultilevel"/>
    <w:lvl w:ilvl="0">
      <w:lvlJc w:val="left"/>
      <w:lvlText w:val="%1."/>
      <w:numFmt w:val="decimal"/>
      <w:start w:val="8"/>
    </w:lvl>
  </w:abstractNum>
  <w:abstractNum w:abstractNumId="9">
    <w:nsid w:val="22221A70"/>
    <w:multiLevelType w:val="hybridMultilevel"/>
    <w:lvl w:ilvl="0">
      <w:lvlJc w:val="left"/>
      <w:lvlText w:val="%1."/>
      <w:numFmt w:val="decimal"/>
      <w:start w:val="9"/>
    </w:lvl>
  </w:abstractNum>
  <w:abstractNum w:abstractNumId="10">
    <w:nsid w:val="4516DDE9"/>
    <w:multiLevelType w:val="hybridMultilevel"/>
    <w:lvl w:ilvl="0">
      <w:lvlJc w:val="left"/>
      <w:lvlText w:val="%1."/>
      <w:numFmt w:val="decimal"/>
      <w:start w:val="10"/>
    </w:lvl>
  </w:abstractNum>
  <w:abstractNum w:abstractNumId="11">
    <w:nsid w:val="3006C83E"/>
    <w:multiLevelType w:val="hybridMultilevel"/>
    <w:lvl w:ilvl="0">
      <w:lvlJc w:val="left"/>
      <w:lvlText w:val="%1."/>
      <w:numFmt w:val="decimal"/>
      <w:start w:val="11"/>
    </w:lvl>
  </w:abstractNum>
  <w:abstractNum w:abstractNumId="12">
    <w:nsid w:val="614FD4A1"/>
    <w:multiLevelType w:val="hybridMultilevel"/>
    <w:lvl w:ilvl="0">
      <w:lvlJc w:val="left"/>
      <w:lvlText w:val="%1."/>
      <w:numFmt w:val="decimal"/>
      <w:start w:val="12"/>
    </w:lvl>
  </w:abstractNum>
  <w:abstractNum w:abstractNumId="13">
    <w:nsid w:val="419AC241"/>
    <w:multiLevelType w:val="hybridMultilevel"/>
    <w:lvl w:ilvl="0">
      <w:lvlJc w:val="left"/>
      <w:lvlText w:val="%1."/>
      <w:numFmt w:val="decimal"/>
      <w:start w:val="13"/>
    </w:lvl>
  </w:abstractNum>
  <w:abstractNum w:abstractNumId="14">
    <w:nsid w:val="5577F8E1"/>
    <w:multiLevelType w:val="hybridMultilevel"/>
    <w:lvl w:ilvl="0">
      <w:lvlJc w:val="left"/>
      <w:lvlText w:val="%1."/>
      <w:numFmt w:val="decimal"/>
      <w:start w:val="14"/>
    </w:lvl>
  </w:abstractNum>
  <w:abstractNum w:abstractNumId="15">
    <w:nsid w:val="440BADFC"/>
    <w:multiLevelType w:val="hybridMultilevel"/>
    <w:lvl w:ilvl="0">
      <w:lvlJc w:val="left"/>
      <w:lvlText w:val="%1."/>
      <w:numFmt w:val="decimal"/>
      <w:start w:val="15"/>
    </w:lvl>
  </w:abstractNum>
  <w:abstractNum w:abstractNumId="16">
    <w:nsid w:val="5072367"/>
    <w:multiLevelType w:val="hybridMultilevel"/>
    <w:lvl w:ilvl="0">
      <w:lvlJc w:val="left"/>
      <w:lvlText w:val="%1."/>
      <w:numFmt w:val="decimal"/>
      <w:start w:val="16"/>
    </w:lvl>
  </w:abstractNum>
  <w:abstractNum w:abstractNumId="17">
    <w:nsid w:val="3804823E"/>
    <w:multiLevelType w:val="hybridMultilevel"/>
    <w:lvl w:ilvl="0">
      <w:lvlJc w:val="left"/>
      <w:lvlText w:val="%1."/>
      <w:numFmt w:val="decimal"/>
      <w:start w:val="17"/>
    </w:lvl>
  </w:abstractNum>
  <w:abstractNum w:abstractNumId="18">
    <w:nsid w:val="77465F01"/>
    <w:multiLevelType w:val="hybridMultilevel"/>
    <w:lvl w:ilvl="0">
      <w:lvlJc w:val="left"/>
      <w:lvlText w:val="%1."/>
      <w:numFmt w:val="decimal"/>
      <w:start w:val="18"/>
    </w:lvl>
  </w:abstractNum>
  <w:abstractNum w:abstractNumId="19">
    <w:nsid w:val="7724C67E"/>
    <w:multiLevelType w:val="hybridMultilevel"/>
    <w:lvl w:ilvl="0">
      <w:lvlJc w:val="left"/>
      <w:lvlText w:val="%1."/>
      <w:numFmt w:val="decimal"/>
      <w:start w:val="19"/>
    </w:lvl>
  </w:abstractNum>
  <w:abstractNum w:abstractNumId="20">
    <w:nsid w:val="5C482A97"/>
    <w:multiLevelType w:val="hybridMultilevel"/>
    <w:lvl w:ilvl="0">
      <w:lvlJc w:val="left"/>
      <w:lvlText w:val="%1."/>
      <w:numFmt w:val="decimal"/>
      <w:start w:val="20"/>
    </w:lvl>
  </w:abstractNum>
  <w:abstractNum w:abstractNumId="21">
    <w:nsid w:val="2463B9EA"/>
    <w:multiLevelType w:val="hybridMultilevel"/>
    <w:lvl w:ilvl="0">
      <w:lvlJc w:val="left"/>
      <w:lvlText w:val="%1."/>
      <w:numFmt w:val="decimal"/>
      <w:start w:val="21"/>
    </w:lvl>
  </w:abstractNum>
  <w:abstractNum w:abstractNumId="22">
    <w:nsid w:val="5E884ADC"/>
    <w:multiLevelType w:val="hybridMultilevel"/>
    <w:lvl w:ilvl="0">
      <w:lvlJc w:val="left"/>
      <w:lvlText w:val="%1."/>
      <w:numFmt w:val="decimal"/>
      <w:start w:val="22"/>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1."/>
      <w:numFmt w:val="decimal"/>
      <w:start w:val="1"/>
    </w:lvl>
  </w:abstractNum>
  <w:abstractNum w:abstractNumId="50">
    <w:nsid w:val="70C6A529"/>
    <w:multiLevelType w:val="hybridMultilevel"/>
    <w:lvl w:ilvl="0">
      <w:lvlJc w:val="left"/>
      <w:lvlText w:val="%1."/>
      <w:numFmt w:val="decimal"/>
      <w:start w:val="3"/>
    </w:lvl>
    <w:lvl w:ilvl="1">
      <w:lvlJc w:val="left"/>
      <w:lvlText w:val="%2)"/>
      <w:numFmt w:val="lowerLetter"/>
      <w:start w:val="1"/>
    </w:lvl>
  </w:abstractNum>
  <w:abstractNum w:abstractNumId="51">
    <w:nsid w:val="520EEDD1"/>
    <w:multiLevelType w:val="hybridMultilevel"/>
    <w:lvl w:ilvl="0">
      <w:lvlJc w:val="left"/>
      <w:lvlText w:val="%1."/>
      <w:numFmt w:val="decimal"/>
      <w:start w:val="1"/>
    </w:lvl>
  </w:abstractNum>
  <w:abstractNum w:abstractNumId="52">
    <w:nsid w:val="374A3FE6"/>
    <w:multiLevelType w:val="hybridMultilevel"/>
    <w:lvl w:ilvl="0">
      <w:lvlJc w:val="left"/>
      <w:lvlText w:val="%1."/>
      <w:numFmt w:val="decimal"/>
      <w:start w:val="3"/>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png"/><Relationship Id="rId271" Type="http://schemas.openxmlformats.org/officeDocument/2006/relationships/image" Target="media/image262.png"/><Relationship Id="rId272" Type="http://schemas.openxmlformats.org/officeDocument/2006/relationships/image" Target="media/image263.png"/><Relationship Id="rId273" Type="http://schemas.openxmlformats.org/officeDocument/2006/relationships/image" Target="media/image264.png"/><Relationship Id="rId274" Type="http://schemas.openxmlformats.org/officeDocument/2006/relationships/image" Target="media/image265.png"/><Relationship Id="rId275" Type="http://schemas.openxmlformats.org/officeDocument/2006/relationships/image" Target="media/image266.png"/><Relationship Id="rId263" Type="http://schemas.openxmlformats.org/officeDocument/2006/relationships/hyperlink" Target="https://www.sec.gov/Archives/edgar/data/1831915/000119312521225716/d183956dex31.htm" TargetMode="External"/><Relationship Id="rId264" Type="http://schemas.openxmlformats.org/officeDocument/2006/relationships/hyperlink" Target="https://www.sec.gov/Archives/edgar/data/1831915/000119312521225716/d183956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2022-08-10T16:59:07Z</dcterms:created>
  <dcterms:modified xsi:type="dcterms:W3CDTF">2022-08-10T16:59:07Z</dcterms:modified>
</cp:coreProperties>
</file>