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80851.xml.htm"/>
      <w:bookmarkStart w:id="1" w:name="ksform408202026_080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Yan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CYTEK BIOSCIENCES,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47215 LAKEVIEW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Cytek Biosciences, Inc.</w:t>
              </w:r>
            </w:hyperlink>
            <w:r>
              <w:rPr/>
              <w:t xml:space="preserve"> [ </w:t>
            </w:r>
            <w:r>
              <w:rPr>
                <w:rFonts w:ascii="Times;serif" w:hAnsi="Times;serif"/>
                <w:color w:val="0000FF"/>
                <w:sz w:val="24"/>
                <w:shd w:fill="FFFFFF" w:val="clear"/>
              </w:rPr>
              <w:t>CTKB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275"/>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7,363</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4,804,051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1,778</w:t>
            </w:r>
            <w:r>
              <w:rPr>
                <w:rFonts w:ascii="Times;serif" w:hAnsi="Times;serif"/>
                <w:color w:val="008000"/>
                <w:position w:val="7"/>
                <w:sz w:val="16"/>
                <w:sz w:val="20"/>
                <w:shd w:fill="FFFFFF" w:val="clear"/>
              </w:rPr>
              <w:t>(2)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4,802,273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4,807,798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1,346</w:t>
            </w:r>
            <w:r>
              <w:rPr>
                <w:rFonts w:ascii="Times;serif" w:hAnsi="Times;serif"/>
                <w:color w:val="008000"/>
                <w:position w:val="7"/>
                <w:sz w:val="16"/>
                <w:sz w:val="20"/>
                <w:shd w:fill="FFFFFF" w:val="clear"/>
              </w:rPr>
              <w:t>(2)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4,806,452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4,812,614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1,501</w:t>
            </w:r>
            <w:r>
              <w:rPr>
                <w:rFonts w:ascii="Times;serif" w:hAnsi="Times;serif"/>
                <w:color w:val="008000"/>
                <w:position w:val="7"/>
                <w:sz w:val="16"/>
                <w:sz w:val="20"/>
                <w:shd w:fill="FFFFFF" w:val="clear"/>
              </w:rPr>
              <w:t>(2)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4,811,113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4,825,333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3,463</w:t>
            </w:r>
            <w:r>
              <w:rPr>
                <w:rFonts w:ascii="Times;serif" w:hAnsi="Times;serif"/>
                <w:color w:val="008000"/>
                <w:position w:val="7"/>
                <w:sz w:val="16"/>
                <w:sz w:val="20"/>
                <w:shd w:fill="FFFFFF" w:val="clear"/>
              </w:rPr>
              <w:t>(2)</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4,821,870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34,995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63,688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Award")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withheld by and surrendered to the Issuer on August 18, 2026 to satisfy tax withholding obligations that arose in connection with the vesting of the RSU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the RSU Award shall vest over 4 years, with 2/48 of the total shares underlying the RSU Award vesting on May 18, 2023 and each May 18 thereafter; 3/48 of the total shares underlying the RSU Award vesting on August 18, 2023 and each August 18 thereafter; 3/48 of the total shares underlying the RSU Award vesting on November 18, 2023 and each November 18 thereafter; and 4/48 of the total shares underlying the RSU Award vesting on March 10, 2024 and each March 10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the RSU Award shall vest over 4 years, with 2/48 of the total shares underlying the RSU Award vesting on May 18, 2024 and each May 18 thereafter; 3/48 of the total shares underlying the RSU Award vesting on August 18, 2024 and each August 18 thereafter; 3/48 of the total shares underlying the RSU Award vesting on November 18, 2024 and each November 18 thereafter; and 4/48 of the total shares underlying the RSU Award vesting on March 10, 2025 and each March 10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the RSU Award shall vest over 4 years, with 2/48 of the total shares underlying the RSU Award vesting on May 18, 2025 and each May 18 thereafter; 3/48 of the total shares underlying the RSU Award vesting on August 18, 2025 and each August 18 thereafter; 3/48 of the total shares underlying the RSU Award vesting on November 18, 2025 and each November 18 thereafter; and 4/48 of the total shares underlying the RSU Award vesting on March 10, 2026 and each March 10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underlying the RSU Award shall vest over 4 years, with 2/48 of the total shares underlying the RSU Award vesting on May 18, 2026 and each May 18 thereafter; 3/48 of the total shares underlying the RSU Award vesting on August 18, 2026 and each August 18 thereafter; 3/48 of the total shares underlying the RSU Award vesting on November 18, 2026 and each November 18 thereafter; and 4/48 of the total shares underlying the RSU Award vesting on March 10, 2027 and each March 10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Gordon 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041" TargetMode="External"/><Relationship Id="rId5" Type="http://schemas.openxmlformats.org/officeDocument/2006/relationships/hyperlink" Target="http://www.sec.gov/cgi-bin/browse-edgar?action=getcompany&amp;CIK=00018319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1102</Words>
  <Characters>5595</Characters>
  <CharactersWithSpaces>6520</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