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186690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August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167005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Cytek Biosciences,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1040" w:type="dxa"/>
        <w:tblCellMar>
          <w:top w:w="0" w:type="dxa"/>
          <w:left w:w="0" w:type="dxa"/>
          <w:bottom w:w="0" w:type="dxa"/>
          <w:right w:w="0" w:type="dxa"/>
        </w:tblCellMar>
      </w:tblPr>
      <w:tr>
        <w:trPr>
          <w:trHeight w:val="212"/>
        </w:trPr>
        <w:tc>
          <w:tcPr>
            <w:tcW w:w="354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40" w:type="dxa"/>
            <w:vAlign w:val="bottom"/>
          </w:tcPr>
          <w:p>
            <w:pPr>
              <w:ind w:left="640"/>
              <w:spacing w:after="0"/>
              <w:rPr>
                <w:sz w:val="20"/>
                <w:szCs w:val="20"/>
                <w:color w:val="auto"/>
              </w:rPr>
            </w:pPr>
            <w:r>
              <w:rPr>
                <w:rFonts w:ascii="Arial" w:cs="Arial" w:eastAsia="Arial" w:hAnsi="Arial"/>
                <w:sz w:val="18"/>
                <w:szCs w:val="18"/>
                <w:b w:val="1"/>
                <w:bCs w:val="1"/>
                <w:color w:val="auto"/>
              </w:rPr>
              <w:t>001-40632</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47-2547526</w:t>
            </w:r>
          </w:p>
        </w:tc>
      </w:tr>
      <w:tr>
        <w:trPr>
          <w:trHeight w:val="148"/>
        </w:trPr>
        <w:tc>
          <w:tcPr>
            <w:tcW w:w="354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40" w:type="dxa"/>
            <w:vAlign w:val="bottom"/>
          </w:tcPr>
          <w:p>
            <w:pPr>
              <w:ind w:left="64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4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40" w:type="dxa"/>
            <w:vAlign w:val="bottom"/>
          </w:tcPr>
          <w:p>
            <w:pPr>
              <w:ind w:left="62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345"/>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1"/>
              </w:rPr>
              <w:t>47215 Lakeview Boulevard</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4"/>
              </w:rPr>
              <w:t>Fremont, California</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94538</w:t>
            </w:r>
          </w:p>
        </w:tc>
      </w:tr>
      <w:tr>
        <w:trPr>
          <w:trHeight w:val="186"/>
        </w:trPr>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(877) 922-9835</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188595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CTKB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4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184785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82"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On August 10, 2022, Cytek Biosciences, Inc. issued a press release announcing its financial results for the quarter ended June 30, 2022. The press release is being furnished as Exhibit 99.1.</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8"/>
              </w:rPr>
              <w:t>Exhibit</w:t>
            </w: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171"/>
        </w:trPr>
        <w:tc>
          <w:tcPr>
            <w:tcW w:w="1040" w:type="dxa"/>
            <w:vAlign w:val="bottom"/>
            <w:gridSpan w:val="2"/>
          </w:tcPr>
          <w:p>
            <w:pPr>
              <w:jc w:val="center"/>
              <w:ind w:right="540"/>
              <w:spacing w:after="0" w:line="151" w:lineRule="exact"/>
              <w:rPr>
                <w:sz w:val="20"/>
                <w:szCs w:val="20"/>
                <w:color w:val="auto"/>
              </w:rPr>
            </w:pPr>
            <w:r>
              <w:rPr>
                <w:rFonts w:ascii="Arial" w:cs="Arial" w:eastAsia="Arial" w:hAnsi="Arial"/>
                <w:sz w:val="14"/>
                <w:szCs w:val="14"/>
                <w:b w:val="1"/>
                <w:bCs w:val="1"/>
                <w:color w:val="auto"/>
                <w:w w:val="94"/>
              </w:rPr>
              <w:t>Number</w:t>
            </w:r>
          </w:p>
        </w:tc>
        <w:tc>
          <w:tcPr>
            <w:tcW w:w="5820" w:type="dxa"/>
            <w:vAlign w:val="bottom"/>
            <w:gridSpan w:val="3"/>
          </w:tcPr>
          <w:p>
            <w:pPr>
              <w:spacing w:after="0" w:line="151" w:lineRule="exact"/>
              <w:rPr>
                <w:sz w:val="20"/>
                <w:szCs w:val="20"/>
                <w:color w:val="auto"/>
              </w:rPr>
            </w:pPr>
            <w:r>
              <w:rPr>
                <w:rFonts w:ascii="Arial" w:cs="Arial" w:eastAsia="Arial" w:hAnsi="Arial"/>
                <w:sz w:val="14"/>
                <w:szCs w:val="14"/>
                <w:b w:val="1"/>
                <w:bCs w:val="1"/>
                <w:color w:val="auto"/>
              </w:rPr>
              <w:t>Description of Exhibit</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64"/>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2"/>
                <w:szCs w:val="22"/>
                <w:color w:val="auto"/>
              </w:rPr>
            </w:pPr>
          </w:p>
        </w:tc>
        <w:tc>
          <w:tcPr>
            <w:tcW w:w="26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7"/>
              </w:rPr>
              <w:t>Press release dated August 10, 2022</w:t>
            </w:r>
          </w:p>
        </w:tc>
        <w:tc>
          <w:tcPr>
            <w:tcW w:w="3220" w:type="dxa"/>
            <w:vAlign w:val="bottom"/>
          </w:tcPr>
          <w:p>
            <w:pPr>
              <w:spacing w:after="0"/>
              <w:rPr>
                <w:sz w:val="22"/>
                <w:szCs w:val="22"/>
                <w:color w:val="auto"/>
              </w:rPr>
            </w:pPr>
          </w:p>
        </w:tc>
      </w:tr>
      <w:tr>
        <w:trPr>
          <w:trHeight w:val="345"/>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5820" w:type="dxa"/>
            <w:vAlign w:val="bottom"/>
            <w:gridSpan w:val="3"/>
          </w:tcPr>
          <w:p>
            <w:pPr>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r>
    </w:tbl>
    <w:p>
      <w:pPr>
        <w:spacing w:after="0" w:line="202"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The information furnished in this Current Report under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sectPr>
          <w:pgSz w:w="11900" w:h="16838" w:orient="portrait"/>
          <w:cols w:equalWidth="0" w:num="1">
            <w:col w:w="11000"/>
          </w:cols>
          <w:pgMar w:left="440" w:top="297" w:right="4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Cytek Biosciences, Inc.</w:t>
      </w:r>
    </w:p>
    <w:p>
      <w:pPr>
        <w:spacing w:after="0" w:line="229" w:lineRule="exact"/>
        <w:rPr>
          <w:sz w:val="20"/>
          <w:szCs w:val="20"/>
          <w:color w:val="auto"/>
        </w:rPr>
      </w:pPr>
    </w:p>
    <w:p>
      <w:pPr>
        <w:ind w:left="180"/>
        <w:spacing w:after="0"/>
        <w:tabs>
          <w:tab w:leader="none" w:pos="5600" w:val="left"/>
          <w:tab w:leader="none" w:pos="6040" w:val="left"/>
        </w:tabs>
        <w:rPr>
          <w:sz w:val="20"/>
          <w:szCs w:val="20"/>
          <w:color w:val="auto"/>
        </w:rPr>
      </w:pPr>
      <w:r>
        <w:rPr>
          <w:rFonts w:ascii="Arial" w:cs="Arial" w:eastAsia="Arial" w:hAnsi="Arial"/>
          <w:sz w:val="18"/>
          <w:szCs w:val="18"/>
          <w:color w:val="auto"/>
        </w:rPr>
        <w:t>Date: August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Wenbin Jiang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Wenbin Jiang, Ph.D.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000"/>
          </w:cols>
          <w:pgMar w:left="440" w:top="297"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Cytek Biosciences Reports Second Quarter 2022 Financial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Second quarter revenue grew 32% compared to prior year</w:t>
      </w:r>
    </w:p>
    <w:p>
      <w:pPr>
        <w:spacing w:after="0" w:line="221" w:lineRule="exact"/>
        <w:rPr>
          <w:sz w:val="20"/>
          <w:szCs w:val="20"/>
          <w:color w:val="auto"/>
        </w:rPr>
      </w:pPr>
    </w:p>
    <w:p>
      <w:pPr>
        <w:ind w:right="220"/>
        <w:spacing w:after="0" w:line="213" w:lineRule="auto"/>
        <w:rPr>
          <w:sz w:val="20"/>
          <w:szCs w:val="20"/>
          <w:color w:val="auto"/>
        </w:rPr>
      </w:pPr>
      <w:r>
        <w:rPr>
          <w:rFonts w:ascii="Arial" w:cs="Arial" w:eastAsia="Arial" w:hAnsi="Arial"/>
          <w:sz w:val="18"/>
          <w:szCs w:val="18"/>
          <w:b w:val="1"/>
          <w:bCs w:val="1"/>
          <w:color w:val="auto"/>
        </w:rPr>
        <w:t xml:space="preserve">FREMONT, Calif., August 10, 2022 </w:t>
      </w:r>
      <w:r>
        <w:rPr>
          <w:rFonts w:ascii="Arial" w:cs="Arial" w:eastAsia="Arial" w:hAnsi="Arial"/>
          <w:sz w:val="18"/>
          <w:szCs w:val="18"/>
          <w:color w:val="auto"/>
        </w:rPr>
        <w:t>(GLOBE NEWSWIRE) — Cytek</w:t>
      </w:r>
      <w:r>
        <w:rPr>
          <w:rFonts w:ascii="Arial" w:cs="Arial" w:eastAsia="Arial" w:hAnsi="Arial"/>
          <w:sz w:val="26"/>
          <w:szCs w:val="26"/>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Biosciences, Inc. (“Cytek Biosciences” or “Cytek”) (Nasdaq: CTKB) today</w:t>
      </w:r>
      <w:r>
        <w:rPr>
          <w:rFonts w:ascii="Arial" w:cs="Arial" w:eastAsia="Arial" w:hAnsi="Arial"/>
          <w:sz w:val="18"/>
          <w:szCs w:val="18"/>
          <w:b w:val="1"/>
          <w:bCs w:val="1"/>
          <w:color w:val="auto"/>
        </w:rPr>
        <w:t xml:space="preserve"> </w:t>
      </w:r>
      <w:r>
        <w:rPr>
          <w:rFonts w:ascii="Arial" w:cs="Arial" w:eastAsia="Arial" w:hAnsi="Arial"/>
          <w:sz w:val="18"/>
          <w:szCs w:val="18"/>
          <w:color w:val="auto"/>
        </w:rPr>
        <w:t>reported financial results for the second quarter ended June 30, 2022.</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Highlights</w:t>
      </w:r>
    </w:p>
    <w:p>
      <w:pPr>
        <w:spacing w:after="0" w:line="135" w:lineRule="exact"/>
        <w:rPr>
          <w:sz w:val="20"/>
          <w:szCs w:val="20"/>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revenue was $40.2 million for the second quarter, representing a 32% increase over the corresponding quarter of 2021</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Expanded the installed base to 1,356 instruments, with 130 instrument placements during the second quarter</w:t>
      </w:r>
    </w:p>
    <w:p>
      <w:pPr>
        <w:spacing w:after="0" w:line="130" w:lineRule="exact"/>
        <w:rPr>
          <w:rFonts w:ascii="Arial" w:cs="Arial" w:eastAsia="Arial" w:hAnsi="Arial"/>
          <w:sz w:val="18"/>
          <w:szCs w:val="18"/>
          <w:color w:val="auto"/>
        </w:rPr>
      </w:pPr>
    </w:p>
    <w:p>
      <w:pPr>
        <w:ind w:left="960" w:right="360" w:hanging="424"/>
        <w:spacing w:after="0" w:line="211"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Received CE marking for a series of single-color cFluor</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reagents and a 6-color TBNK kit, as Cytek moves to make total cell analysis solutions available for clinical applications in the European market</w:t>
      </w:r>
    </w:p>
    <w:p>
      <w:pPr>
        <w:spacing w:after="0" w:line="203"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 am encouraged by our progress in the second quarter, capping off a strong first half of 2022,” said Dr. Wenbin Jiang, CEO of Cytek Biosciences. “With our total revenue growing 32% from the prior year and continued momentum in instrument placements this quarter, we are well positioned to achieve our stated goals. This past quarter also saw exciting developments – including our progress toward clinical applications in the European market – that align with our long-term strategic objectives.”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2022 Financial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Total revenue for the second quarter of 2022 was $40.2 million, a 32% increase over the second quarter of 2021.</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Gross profit was $24.6 million for the second quarter of 2022, an increase of 24% compared to a gross profit of $19.7 million in the second quarter of 2021. Gross profit margin was 61% in the second quarter of 2022 compared to 65% in the second quarter of 2021. Adjusted gross profit margin in the second quarter of 2022 was 64% compared to 65% in the second quarter of 2021, after adjusting for stock-based compensation expense and amortization of acquisition-related intangibles.</w:t>
      </w:r>
    </w:p>
    <w:p>
      <w:pPr>
        <w:spacing w:after="0" w:line="18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Operating expenses were $25.5 million for the second quarter of 2022, a 60% increase from $15.9 million in the second quarter of 2021. The increase was primarily due to expenses to support continued growth of the business, including further investments in sales and marketing, R&amp;D, and costs related to operating as a public company.</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Loss from operations in the second quarter of 2022 was $0.9 million compared to income of $3.8 million in the second quarter of 2021. Net loss in the second quarter of 2022 was $0.7 million compared to net income of $2.7 million in the second quarter of 2021.</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Adjusted EBITDA in the second quarter of 2022 was $4.8 million compared to $4.7 million in the second quarter of 2021, after adjusting for stock-based compensation expense and foreign currency exchange impacts.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Outlook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Cytek Biosciences continues to expect full year 2022 revenue to be closer to the high end of the range of $160 million to $168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Information</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Cytek will host a conference call to discuss the second quarter 2022 financial results on Wednesday, August 10, 2022, at 2:00 p.m. Pacific Time / 5:00 p.m. Eastern Time. A webcast of the conference call can be accessed at investors.cytekbio.com.</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Cytek Biosciences, Inc.</w:t>
      </w:r>
    </w:p>
    <w:p>
      <w:pPr>
        <w:spacing w:after="0" w:line="121"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Cytek Biosciences (Nasdaq: CTKB) is a leading cell analysis solutions company advancing the next generation of cell analysis tools by delivering high-resolution, high-content and high-sensitivity cell analysis utilizing its patented Full Spectrum Profiling</w:t>
      </w:r>
      <w:r>
        <w:rPr>
          <w:rFonts w:ascii="Arial" w:cs="Arial" w:eastAsia="Arial" w:hAnsi="Arial"/>
          <w:sz w:val="23"/>
          <w:szCs w:val="23"/>
          <w:color w:val="auto"/>
          <w:vertAlign w:val="superscript"/>
        </w:rPr>
        <w:t>™</w:t>
      </w:r>
      <w:r>
        <w:rPr>
          <w:rFonts w:ascii="Arial" w:cs="Arial" w:eastAsia="Arial" w:hAnsi="Arial"/>
          <w:sz w:val="16"/>
          <w:szCs w:val="16"/>
          <w:color w:val="auto"/>
        </w:rPr>
        <w:t xml:space="preserve"> (FSP</w:t>
      </w:r>
      <w:r>
        <w:rPr>
          <w:rFonts w:ascii="Arial" w:cs="Arial" w:eastAsia="Arial" w:hAnsi="Arial"/>
          <w:sz w:val="23"/>
          <w:szCs w:val="23"/>
          <w:color w:val="auto"/>
          <w:vertAlign w:val="superscript"/>
        </w:rPr>
        <w:t>™</w:t>
      </w:r>
      <w:r>
        <w:rPr>
          <w:rFonts w:ascii="Arial" w:cs="Arial" w:eastAsia="Arial" w:hAnsi="Arial"/>
          <w:sz w:val="16"/>
          <w:szCs w:val="16"/>
          <w:color w:val="auto"/>
        </w:rPr>
        <w:t>) technology. Cytek’s novel approach harnesses the power of information within the entire spectrum of a fluorescent signal to achieve a higher level of multiplexing with precision and sensitivity. Cytek’s FSP platform includes its core instruments, the Aurora and Northern Lights</w:t>
      </w:r>
      <w:r>
        <w:rPr>
          <w:rFonts w:ascii="Arial" w:cs="Arial" w:eastAsia="Arial" w:hAnsi="Arial"/>
          <w:sz w:val="23"/>
          <w:szCs w:val="23"/>
          <w:color w:val="auto"/>
          <w:vertAlign w:val="superscript"/>
        </w:rPr>
        <w:t>™</w:t>
      </w:r>
      <w:r>
        <w:rPr>
          <w:rFonts w:ascii="Arial" w:cs="Arial" w:eastAsia="Arial" w:hAnsi="Arial"/>
          <w:sz w:val="16"/>
          <w:szCs w:val="16"/>
          <w:color w:val="auto"/>
        </w:rPr>
        <w:t xml:space="preserve"> systems; its cell sorter, the Aurora CS; and reagents, software and services to provide a comprehensive and integrated suite of solutions for its customers. Cytek is headquartered in Fremont, California with offices and distribution channels across the globe. More information about the company and its products is available at </w:t>
      </w:r>
      <w:r>
        <w:rPr>
          <w:rFonts w:ascii="Arial" w:cs="Arial" w:eastAsia="Arial" w:hAnsi="Arial"/>
          <w:sz w:val="16"/>
          <w:szCs w:val="16"/>
          <w:u w:val="single" w:color="auto"/>
          <w:color w:val="auto"/>
        </w:rPr>
        <w:t>www.cytekbio.com</w:t>
      </w:r>
      <w:r>
        <w:rPr>
          <w:rFonts w:ascii="Arial" w:cs="Arial" w:eastAsia="Arial" w:hAnsi="Arial"/>
          <w:sz w:val="16"/>
          <w:szCs w:val="16"/>
          <w:color w:val="auto"/>
        </w:rPr>
        <w:t>.</w:t>
      </w:r>
    </w:p>
    <w:p>
      <w:pPr>
        <w:spacing w:after="0" w:line="194"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Other than Cytek’s Northern Lights CLC system and certain reagents for use therewith, which are available for clinical use in countries where the regulatory approval has been obtained from the local regulatory authorities, including China and the European Union, Cytek’s products are for research use only and not for use in diagnostic procedures. Please contact your local sales representatives for the status of local regulatory approval.</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Cytek, cFluor, Full Spectrum Profiling, FSP and Northern Lights are trademarks or registered trademarks of Cytek Biosciences, Inc.</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addition to filings with the Securities and Exchange Commission (SEC), press releases, public conference calls and webcasts, Cytek uses its website (</w:t>
      </w:r>
      <w:r>
        <w:rPr>
          <w:rFonts w:ascii="Arial" w:cs="Arial" w:eastAsia="Arial" w:hAnsi="Arial"/>
          <w:sz w:val="18"/>
          <w:szCs w:val="18"/>
          <w:u w:val="single" w:color="auto"/>
          <w:color w:val="auto"/>
        </w:rPr>
        <w:t>www.cytekbio.com</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 page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corporate Twitter account</w:t>
      </w:r>
      <w:r>
        <w:rPr>
          <w:rFonts w:ascii="Arial" w:cs="Arial" w:eastAsia="Arial" w:hAnsi="Arial"/>
          <w:sz w:val="18"/>
          <w:szCs w:val="18"/>
          <w:color w:val="auto"/>
        </w:rPr>
        <w:t xml:space="preserve"> as channels of distribution of information about its company, products, planned financial and other announcements, attendance at upcoming investor and industry conferences and other matters. Such information may be deemed material information and Cytek may use these channels to comply with its disclosure obligations under Regulation FD. Therefore, investors should monitor Cytek’s website, LinkedIn page, and Twitter account in addition to following its SEC filings, news releases, public conference calls and webcasts.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Regarding Use of Non-GAAP Financial Information</w:t>
      </w:r>
    </w:p>
    <w:p>
      <w:pPr>
        <w:spacing w:after="0" w:line="12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Cytek has presented certain financial information in accordance with U.S. GAAP and also on a non-GAAP basis for the three- and six-month periods ended June 30, 2022. Management believes that non-GAAP financial measures, including “Adjusted gross profit margin” and “Adjusted EBITDA” referenced above, taken in conjunction with GAAP financial measures, provide useful information for both management and investors by excluding certain non-cash and other expenses that are not indicative of the company’s core operating results. Management uses non-GAAP measures to compare the company’s performance relative to forecasts and strategic plans and to benchmark the company’s performance externally against competitors. Non-GAAP information is not prepared under a comprehensive set of accounting rules and should only be used to supplement an understanding of the company’s operating results as reported under U.S. GAAP. Cytek encourages investors to carefully consider its results under GAAP, as well as its supplemental non-GAAP information and the reconciliation between these presentations, to more fully understand its business. Reconciliations between GAAP and non-GAAP operating results are presented in the accompanying tables of this release.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as contained in Section 27A of the Securities Act of 1933, as amended, and Section 21E of the Securities Exchange Act of 1934, as amended, which are subject to the “safe harbor” created by those sections. All statements, other than statements of historical facts, may be forward-looking statements. Forward-looking statements generally can be identified by the use of forward-looking terminology such as “may,” “might,” “will,” “should,” “expect,” “plan,” “anticipate,” “could,” “intend,” “target,” “project,” “contemplate,” “believe,” “estimate,” “predict,” “potential” or “continue” or the negatives of these terms or variations of them or similar terminology, but the absence of these words does not mean that a statement is not forward-looking. These forward-looking statements include statements regarding Cytek Biosciences’ move to make total cell analysis solutions available for clinical applications in the European market; Cytek Biosciences being well positioned to achieve its stated goals; and Cytek Biosciences’ continued expectations that full year 2022 revenue will be closer to the high end of the range of $160 million to $168 million. These statements are based on</w:t>
      </w:r>
    </w:p>
    <w:p>
      <w:pPr>
        <w:sectPr>
          <w:pgSz w:w="11900" w:h="16838" w:orient="portrait"/>
          <w:cols w:equalWidth="0" w:num="1">
            <w:col w:w="11000"/>
          </w:cols>
          <w:pgMar w:left="440" w:top="270" w:right="459" w:bottom="1440" w:gutter="0" w:footer="0" w:header="0"/>
        </w:sectPr>
      </w:pPr>
    </w:p>
    <w:bookmarkStart w:id="5" w:name="page6"/>
    <w:bookmarkEnd w:id="5"/>
    <w:p>
      <w:pPr>
        <w:ind w:left="4"/>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management’s current expectations, forecasts, beliefs, assumptions and information currently available to management. These statements also deal with future events and involve known and unknown risks, uncertainties and other factors that may cause actual results, performance or achievements to be materially different from the information expressed or implied by these forward-looking statements. Factors that could cause actual results to differ materially include risks and uncertainties such as those relating to global market conditions; risks associated with international operations; the ongoing COVID-19 pandemic; Cytek Biosciences’ dependence on certain sole and single source suppliers; competition; market acceptance of Cytek Biosciences’ current and potential products; Cytek Biosciences’ ability to manage the growth and complexity of its organization; Cytek Biosciences’ ability to maintain, protect and enhance its intellectual property; and Cytek Biosciences’ ability to continue to stay in compliance with its material contractual obligations, applicable laws and regulations. You should refer to the section entitled “Risk Factors” set forth in Cytek Biosciences’ Annual Report on Form 10-K filed with the SEC on March 17, 2022, Cytek Biosciences’ Quarterly Report on Form 10-Q to be filed with the SEC and other filings Cytek Biosciences makes with the SEC from time to time for a discussion of important factors that may cause actual results to differ materially from those expressed or implied by Cytek Biosciences’ forward-looking statements. Although Cytek Biosciences believes that the expectations reflected in the forward-looking statements are reasonable, it cannot provide any assurance that these expectations will prove to be correct nor can it guarantee that the future results, levels of activity, performance and events and circumstances reflected in the forward-looking statements will be achieved or occur. The forward-looking statements in this press release are based on information available to Cytek Biosciences as of the date hereof, and Cytek Biosciences disclaims any obligation to update any forward-looking statements provided to reflect any change in its expectations or any change in events, conditions, or circumstances on which any such statement is based, except as required by law. These forward-looking statements should not be relied upon as representing Cytek Biosciences’ views as of any date subsequent to the date of this press release.</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Stephanie Olsen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Lages &amp; Associates</w:t>
      </w:r>
    </w:p>
    <w:p>
      <w:pPr>
        <w:spacing w:after="0" w:line="9" w:lineRule="exact"/>
        <w:rPr>
          <w:sz w:val="20"/>
          <w:szCs w:val="20"/>
          <w:color w:val="auto"/>
        </w:rPr>
      </w:pPr>
    </w:p>
    <w:p>
      <w:pPr>
        <w:ind w:left="444" w:hanging="444"/>
        <w:spacing w:after="0"/>
        <w:tabs>
          <w:tab w:leader="none" w:pos="444" w:val="left"/>
        </w:tabs>
        <w:numPr>
          <w:ilvl w:val="0"/>
          <w:numId w:val="3"/>
        </w:numPr>
        <w:rPr>
          <w:rFonts w:ascii="Arial" w:cs="Arial" w:eastAsia="Arial" w:hAnsi="Arial"/>
          <w:sz w:val="18"/>
          <w:szCs w:val="18"/>
          <w:color w:val="auto"/>
        </w:rPr>
      </w:pPr>
      <w:r>
        <w:rPr>
          <w:rFonts w:ascii="Arial" w:cs="Arial" w:eastAsia="Arial" w:hAnsi="Arial"/>
          <w:sz w:val="18"/>
          <w:szCs w:val="18"/>
          <w:color w:val="auto"/>
        </w:rPr>
        <w:t>453-8080</w:t>
      </w:r>
    </w:p>
    <w:p>
      <w:pPr>
        <w:spacing w:after="0" w:line="9"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u w:val="single" w:color="auto"/>
          <w:color w:val="auto"/>
        </w:rPr>
        <w:t>stephanie@lages.com</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Paul D. Goodson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pgoodson@cytekbio.com</w:t>
      </w:r>
    </w:p>
    <w:p>
      <w:pPr>
        <w:sectPr>
          <w:pgSz w:w="11900" w:h="16838" w:orient="portrait"/>
          <w:cols w:equalWidth="0" w:num="1">
            <w:col w:w="10984"/>
          </w:cols>
          <w:pgMar w:left="436" w:top="274" w:right="47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Cytek Biosciences,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 and Comprehensive (Loss)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8"/>
        </w:trPr>
        <w:tc>
          <w:tcPr>
            <w:tcW w:w="5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100" w:type="dxa"/>
            <w:vAlign w:val="bottom"/>
          </w:tcPr>
          <w:p>
            <w:pPr>
              <w:spacing w:after="0"/>
              <w:rPr>
                <w:sz w:val="12"/>
                <w:szCs w:val="12"/>
                <w:color w:val="auto"/>
              </w:rPr>
            </w:pPr>
          </w:p>
        </w:tc>
        <w:tc>
          <w:tcPr>
            <w:tcW w:w="134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2"/>
                <w:szCs w:val="12"/>
                <w:color w:val="auto"/>
              </w:rPr>
            </w:pPr>
          </w:p>
        </w:tc>
        <w:tc>
          <w:tcPr>
            <w:tcW w:w="10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1"/>
        </w:trPr>
        <w:tc>
          <w:tcPr>
            <w:tcW w:w="5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272"/>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23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25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 net:</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ind w:left="360"/>
              <w:spacing w:after="0"/>
              <w:rPr>
                <w:sz w:val="20"/>
                <w:szCs w:val="20"/>
                <w:color w:val="auto"/>
              </w:rPr>
            </w:pPr>
            <w:r>
              <w:rPr>
                <w:rFonts w:ascii="Arial" w:cs="Arial" w:eastAsia="Arial" w:hAnsi="Arial"/>
                <w:sz w:val="18"/>
                <w:szCs w:val="18"/>
                <w:color w:val="auto"/>
              </w:rPr>
              <w:t>Product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37,093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28,676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68,574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51,376</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Service</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3,066</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3,304</w:t>
            </w:r>
          </w:p>
        </w:tc>
        <w:tc>
          <w:tcPr>
            <w:tcW w:w="0" w:type="dxa"/>
            <w:vAlign w:val="bottom"/>
          </w:tcPr>
          <w:p>
            <w:pPr>
              <w:spacing w:after="0"/>
              <w:rPr>
                <w:sz w:val="1"/>
                <w:szCs w:val="1"/>
                <w:color w:val="auto"/>
              </w:rPr>
            </w:pPr>
          </w:p>
        </w:tc>
      </w:tr>
      <w:tr>
        <w:trPr>
          <w:trHeight w:val="230"/>
        </w:trPr>
        <w:tc>
          <w:tcPr>
            <w:tcW w:w="5800" w:type="dxa"/>
            <w:vAlign w:val="bottom"/>
            <w:gridSpan w:val="2"/>
          </w:tcPr>
          <w:p>
            <w:pPr>
              <w:ind w:left="360"/>
              <w:spacing w:after="0"/>
              <w:rPr>
                <w:sz w:val="20"/>
                <w:szCs w:val="20"/>
                <w:color w:val="auto"/>
              </w:rPr>
            </w:pPr>
            <w:r>
              <w:rPr>
                <w:rFonts w:ascii="Arial" w:cs="Arial" w:eastAsia="Arial" w:hAnsi="Arial"/>
                <w:sz w:val="18"/>
                <w:szCs w:val="18"/>
                <w:color w:val="auto"/>
              </w:rPr>
              <w:t>Total revenue, net</w:t>
            </w: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40,159</w:t>
            </w:r>
          </w:p>
        </w:tc>
        <w:tc>
          <w:tcPr>
            <w:tcW w:w="4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30,408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75,223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ind w:left="360"/>
              <w:spacing w:after="0"/>
              <w:rPr>
                <w:sz w:val="20"/>
                <w:szCs w:val="20"/>
                <w:color w:val="auto"/>
              </w:rPr>
            </w:pPr>
            <w:r>
              <w:rPr>
                <w:rFonts w:ascii="Arial" w:cs="Arial" w:eastAsia="Arial" w:hAnsi="Arial"/>
                <w:sz w:val="18"/>
                <w:szCs w:val="18"/>
                <w:color w:val="auto"/>
              </w:rPr>
              <w:t>Product</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11,780</w:t>
            </w:r>
          </w:p>
        </w:tc>
        <w:tc>
          <w:tcPr>
            <w:tcW w:w="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7,932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23,547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15,240</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Service</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3,818</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5,209</w:t>
            </w:r>
          </w:p>
        </w:tc>
        <w:tc>
          <w:tcPr>
            <w:tcW w:w="0" w:type="dxa"/>
            <w:vAlign w:val="bottom"/>
          </w:tcPr>
          <w:p>
            <w:pPr>
              <w:spacing w:after="0"/>
              <w:rPr>
                <w:sz w:val="1"/>
                <w:szCs w:val="1"/>
                <w:color w:val="auto"/>
              </w:rPr>
            </w:pPr>
          </w:p>
        </w:tc>
      </w:tr>
      <w:tr>
        <w:trPr>
          <w:trHeight w:val="230"/>
        </w:trPr>
        <w:tc>
          <w:tcPr>
            <w:tcW w:w="5800" w:type="dxa"/>
            <w:vAlign w:val="bottom"/>
            <w:gridSpan w:val="2"/>
          </w:tcPr>
          <w:p>
            <w:pPr>
              <w:ind w:left="360"/>
              <w:spacing w:after="0"/>
              <w:rPr>
                <w:sz w:val="20"/>
                <w:szCs w:val="20"/>
                <w:color w:val="auto"/>
              </w:rPr>
            </w:pPr>
            <w:r>
              <w:rPr>
                <w:rFonts w:ascii="Arial" w:cs="Arial" w:eastAsia="Arial" w:hAnsi="Arial"/>
                <w:sz w:val="18"/>
                <w:szCs w:val="18"/>
                <w:color w:val="auto"/>
              </w:rPr>
              <w:t>Total cost of sales</w:t>
            </w: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15,598</w:t>
            </w:r>
          </w:p>
        </w:tc>
        <w:tc>
          <w:tcPr>
            <w:tcW w:w="4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10,663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30,485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24,561</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19,745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44,738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34,231</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8,436</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16,461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11,288</w:t>
            </w:r>
          </w:p>
        </w:tc>
        <w:tc>
          <w:tcPr>
            <w:tcW w:w="0" w:type="dxa"/>
            <w:vAlign w:val="bottom"/>
          </w:tcPr>
          <w:p>
            <w:pPr>
              <w:spacing w:after="0"/>
              <w:rPr>
                <w:sz w:val="1"/>
                <w:szCs w:val="1"/>
                <w:color w:val="auto"/>
              </w:rPr>
            </w:pPr>
          </w:p>
        </w:tc>
      </w:tr>
      <w:tr>
        <w:trPr>
          <w:trHeight w:val="216"/>
        </w:trPr>
        <w:tc>
          <w:tcPr>
            <w:tcW w:w="5800" w:type="dxa"/>
            <w:vAlign w:val="bottom"/>
            <w:gridSpan w:val="2"/>
          </w:tcPr>
          <w:p>
            <w:pPr>
              <w:ind w:left="36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8,431</w:t>
            </w:r>
          </w:p>
        </w:tc>
        <w:tc>
          <w:tcPr>
            <w:tcW w:w="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5,576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15,391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9,853</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8,585</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16,134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8,147</w:t>
            </w:r>
          </w:p>
        </w:tc>
        <w:tc>
          <w:tcPr>
            <w:tcW w:w="0" w:type="dxa"/>
            <w:vAlign w:val="bottom"/>
          </w:tcPr>
          <w:p>
            <w:pPr>
              <w:spacing w:after="0"/>
              <w:rPr>
                <w:sz w:val="1"/>
                <w:szCs w:val="1"/>
                <w:color w:val="auto"/>
              </w:rPr>
            </w:pPr>
          </w:p>
        </w:tc>
      </w:tr>
      <w:tr>
        <w:trPr>
          <w:trHeight w:val="230"/>
        </w:trPr>
        <w:tc>
          <w:tcPr>
            <w:tcW w:w="5800" w:type="dxa"/>
            <w:vAlign w:val="bottom"/>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25,452</w:t>
            </w:r>
          </w:p>
        </w:tc>
        <w:tc>
          <w:tcPr>
            <w:tcW w:w="4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15,934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47,986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29,288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(Loss) income from operations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(891)</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4,943</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(647)</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6"/>
        </w:trPr>
        <w:tc>
          <w:tcPr>
            <w:tcW w:w="5800" w:type="dxa"/>
            <w:vAlign w:val="bottom"/>
            <w:gridSpan w:val="2"/>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391</w:t>
            </w:r>
          </w:p>
        </w:tc>
        <w:tc>
          <w:tcPr>
            <w:tcW w:w="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expense, net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(254)</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Total other expense, net</w:t>
            </w: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4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(1,401)</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3,419</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(Benefit from) provision for income taxes</w:t>
            </w:r>
          </w:p>
        </w:tc>
        <w:tc>
          <w:tcPr>
            <w:tcW w:w="10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(699)</w:t>
            </w:r>
          </w:p>
        </w:tc>
        <w:tc>
          <w:tcPr>
            <w:tcW w:w="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597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(1,844)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2,772</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rPr>
              <w:t>Less: net loss allocated to noncontrolling interests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net income allocated to participating securities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00" w:type="dxa"/>
            <w:vAlign w:val="bottom"/>
            <w:gridSpan w:val="2"/>
          </w:tcPr>
          <w:p>
            <w:pPr>
              <w:spacing w:after="0"/>
              <w:rPr>
                <w:sz w:val="20"/>
                <w:szCs w:val="20"/>
                <w:color w:val="auto"/>
              </w:rPr>
            </w:pPr>
            <w:r>
              <w:rPr>
                <w:rFonts w:ascii="Arial" w:cs="Arial" w:eastAsia="Arial" w:hAnsi="Arial"/>
                <w:sz w:val="18"/>
                <w:szCs w:val="18"/>
                <w:color w:val="auto"/>
                <w:w w:val="99"/>
              </w:rPr>
              <w:t>Net (loss) income attributable to common stockholders, basic and diluted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 attributable to common stockholders per share, 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w w:val="99"/>
              </w:rPr>
              <w:t>Net (loss) income attributable to common stockholders per share,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4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w w:val="98"/>
              </w:rPr>
              <w:t>Weighted-average shares used in calculating net (loss) income per share,</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134,403,059</w:t>
            </w: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31,878,762</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134,154,171</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31,719,005</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w w:val="98"/>
              </w:rPr>
              <w:t>Weighted-average shares used in calculating net (loss)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134,403,059</w:t>
            </w:r>
          </w:p>
        </w:tc>
        <w:tc>
          <w:tcPr>
            <w:tcW w:w="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36,173,036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134,403,059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35,908,554</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(loss) income: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(702)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2,670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(2,860)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2,772</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 net of tax</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(683)</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23"/>
        </w:trPr>
        <w:tc>
          <w:tcPr>
            <w:tcW w:w="5800" w:type="dxa"/>
            <w:vAlign w:val="bottom"/>
            <w:gridSpan w:val="2"/>
          </w:tcPr>
          <w:p>
            <w:pPr>
              <w:ind w:left="360"/>
              <w:spacing w:after="0"/>
              <w:rPr>
                <w:sz w:val="20"/>
                <w:szCs w:val="20"/>
                <w:color w:val="auto"/>
              </w:rPr>
            </w:pPr>
            <w:r>
              <w:rPr>
                <w:rFonts w:ascii="Arial" w:cs="Arial" w:eastAsia="Arial" w:hAnsi="Arial"/>
                <w:sz w:val="18"/>
                <w:szCs w:val="18"/>
                <w:color w:val="auto"/>
              </w:rPr>
              <w:t>Net comprehensive (loss)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(1,385)</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Cytek Biosciences,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10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5"/>
              </w:rPr>
              <w:t>June 30,</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11"/>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9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i w:val="1"/>
                <w:iCs w:val="1"/>
                <w:color w:val="auto"/>
                <w:w w:val="89"/>
              </w:rPr>
              <w:t>(unaudited)</w:t>
            </w: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i w:val="1"/>
                <w:iCs w:val="1"/>
                <w:color w:val="auto"/>
                <w:w w:val="94"/>
              </w:rPr>
              <w:t>(audited)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349,894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364,618</w:t>
            </w:r>
          </w:p>
        </w:tc>
        <w:tc>
          <w:tcPr>
            <w:tcW w:w="0" w:type="dxa"/>
            <w:vAlign w:val="bottom"/>
          </w:tcPr>
          <w:p>
            <w:pPr>
              <w:spacing w:after="0"/>
              <w:rPr>
                <w:sz w:val="1"/>
                <w:szCs w:val="1"/>
                <w:color w:val="auto"/>
              </w:rPr>
            </w:pPr>
          </w:p>
        </w:tc>
      </w:tr>
      <w:tr>
        <w:trPr>
          <w:trHeight w:val="216"/>
        </w:trPr>
        <w:tc>
          <w:tcPr>
            <w:tcW w:w="9040" w:type="dxa"/>
            <w:vAlign w:val="bottom"/>
            <w:gridSpan w:val="2"/>
          </w:tcPr>
          <w:p>
            <w:pPr>
              <w:ind w:left="360"/>
              <w:spacing w:after="0"/>
              <w:rPr>
                <w:sz w:val="20"/>
                <w:szCs w:val="20"/>
                <w:color w:val="auto"/>
              </w:rPr>
            </w:pPr>
            <w:r>
              <w:rPr>
                <w:rFonts w:ascii="Arial" w:cs="Arial" w:eastAsia="Arial" w:hAnsi="Arial"/>
                <w:sz w:val="18"/>
                <w:szCs w:val="18"/>
                <w:color w:val="auto"/>
              </w:rPr>
              <w:t>Trade accounts receivable, net</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36,811</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29,760</w:t>
            </w:r>
          </w:p>
        </w:tc>
        <w:tc>
          <w:tcPr>
            <w:tcW w:w="0" w:type="dxa"/>
            <w:vAlign w:val="bottom"/>
          </w:tcPr>
          <w:p>
            <w:pPr>
              <w:spacing w:after="0"/>
              <w:rPr>
                <w:sz w:val="1"/>
                <w:szCs w:val="1"/>
                <w:color w:val="auto"/>
              </w:rPr>
            </w:pPr>
          </w:p>
        </w:tc>
      </w:tr>
      <w:tr>
        <w:trPr>
          <w:trHeight w:val="216"/>
        </w:trPr>
        <w:tc>
          <w:tcPr>
            <w:tcW w:w="9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45,345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32,171</w:t>
            </w:r>
          </w:p>
        </w:tc>
        <w:tc>
          <w:tcPr>
            <w:tcW w:w="0" w:type="dxa"/>
            <w:vAlign w:val="bottom"/>
          </w:tcPr>
          <w:p>
            <w:pPr>
              <w:spacing w:after="0"/>
              <w:rPr>
                <w:sz w:val="1"/>
                <w:szCs w:val="1"/>
                <w:color w:val="auto"/>
              </w:rPr>
            </w:pPr>
          </w:p>
        </w:tc>
      </w:tr>
      <w:tr>
        <w:trPr>
          <w:trHeight w:val="216"/>
        </w:trPr>
        <w:tc>
          <w:tcPr>
            <w:tcW w:w="9040" w:type="dxa"/>
            <w:vAlign w:val="bottom"/>
            <w:gridSpan w:val="2"/>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11,220</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5,184</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443,270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431,733</w:t>
            </w:r>
          </w:p>
        </w:tc>
        <w:tc>
          <w:tcPr>
            <w:tcW w:w="0" w:type="dxa"/>
            <w:vAlign w:val="bottom"/>
          </w:tcPr>
          <w:p>
            <w:pPr>
              <w:spacing w:after="0"/>
              <w:rPr>
                <w:sz w:val="1"/>
                <w:szCs w:val="1"/>
                <w:color w:val="auto"/>
              </w:rPr>
            </w:pPr>
          </w:p>
        </w:tc>
      </w:tr>
      <w:tr>
        <w:trPr>
          <w:trHeight w:val="216"/>
        </w:trPr>
        <w:tc>
          <w:tcPr>
            <w:tcW w:w="9040" w:type="dxa"/>
            <w:vAlign w:val="bottom"/>
            <w:gridSpan w:val="2"/>
          </w:tcPr>
          <w:p>
            <w:pPr>
              <w:spacing w:after="0"/>
              <w:rPr>
                <w:sz w:val="20"/>
                <w:szCs w:val="20"/>
                <w:color w:val="auto"/>
              </w:rPr>
            </w:pPr>
            <w:r>
              <w:rPr>
                <w:rFonts w:ascii="Arial" w:cs="Arial" w:eastAsia="Arial" w:hAnsi="Arial"/>
                <w:sz w:val="18"/>
                <w:szCs w:val="18"/>
                <w:color w:val="auto"/>
              </w:rPr>
              <w:t>Deferred income tax assets, noncurrent</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11,689</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9,173</w:t>
            </w:r>
          </w:p>
        </w:tc>
        <w:tc>
          <w:tcPr>
            <w:tcW w:w="0" w:type="dxa"/>
            <w:vAlign w:val="bottom"/>
          </w:tcPr>
          <w:p>
            <w:pPr>
              <w:spacing w:after="0"/>
              <w:rPr>
                <w:sz w:val="1"/>
                <w:szCs w:val="1"/>
                <w:color w:val="auto"/>
              </w:rPr>
            </w:pPr>
          </w:p>
        </w:tc>
      </w:tr>
      <w:tr>
        <w:trPr>
          <w:trHeight w:val="216"/>
        </w:trPr>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7,340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5,851</w:t>
            </w:r>
          </w:p>
        </w:tc>
        <w:tc>
          <w:tcPr>
            <w:tcW w:w="0" w:type="dxa"/>
            <w:vAlign w:val="bottom"/>
          </w:tcPr>
          <w:p>
            <w:pPr>
              <w:spacing w:after="0"/>
              <w:rPr>
                <w:sz w:val="1"/>
                <w:szCs w:val="1"/>
                <w:color w:val="auto"/>
              </w:rPr>
            </w:pPr>
          </w:p>
        </w:tc>
      </w:tr>
      <w:tr>
        <w:trPr>
          <w:trHeight w:val="216"/>
        </w:trPr>
        <w:tc>
          <w:tcPr>
            <w:tcW w:w="9040" w:type="dxa"/>
            <w:vAlign w:val="bottom"/>
            <w:gridSpan w:val="2"/>
          </w:tcPr>
          <w:p>
            <w:pPr>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13,635</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10,144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10,144</w:t>
            </w:r>
          </w:p>
        </w:tc>
        <w:tc>
          <w:tcPr>
            <w:tcW w:w="0" w:type="dxa"/>
            <w:vAlign w:val="bottom"/>
          </w:tcPr>
          <w:p>
            <w:pPr>
              <w:spacing w:after="0"/>
              <w:rPr>
                <w:sz w:val="1"/>
                <w:szCs w:val="1"/>
                <w:color w:val="auto"/>
              </w:rPr>
            </w:pPr>
          </w:p>
        </w:tc>
      </w:tr>
      <w:tr>
        <w:trPr>
          <w:trHeight w:val="216"/>
        </w:trPr>
        <w:tc>
          <w:tcPr>
            <w:tcW w:w="904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3,859</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4,739</w:t>
            </w:r>
          </w:p>
        </w:tc>
        <w:tc>
          <w:tcPr>
            <w:tcW w:w="0" w:type="dxa"/>
            <w:vAlign w:val="bottom"/>
          </w:tcPr>
          <w:p>
            <w:pPr>
              <w:spacing w:after="0"/>
              <w:rPr>
                <w:sz w:val="1"/>
                <w:szCs w:val="1"/>
                <w:color w:val="auto"/>
              </w:rPr>
            </w:pPr>
          </w:p>
        </w:tc>
      </w:tr>
      <w:tr>
        <w:trPr>
          <w:trHeight w:val="216"/>
        </w:trPr>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2,880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23"/>
        </w:trPr>
        <w:tc>
          <w:tcPr>
            <w:tcW w:w="9040" w:type="dxa"/>
            <w:vAlign w:val="bottom"/>
            <w:gridSpan w:val="2"/>
          </w:tcPr>
          <w:p>
            <w:pPr>
              <w:ind w:left="72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492,817</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463,305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tcPr>
          <w:p>
            <w:pPr>
              <w:ind w:left="360"/>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Trade accounts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6,749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3,034</w:t>
            </w:r>
          </w:p>
        </w:tc>
        <w:tc>
          <w:tcPr>
            <w:tcW w:w="0" w:type="dxa"/>
            <w:vAlign w:val="bottom"/>
          </w:tcPr>
          <w:p>
            <w:pPr>
              <w:spacing w:after="0"/>
              <w:rPr>
                <w:sz w:val="1"/>
                <w:szCs w:val="1"/>
                <w:color w:val="auto"/>
              </w:rPr>
            </w:pPr>
          </w:p>
        </w:tc>
      </w:tr>
      <w:tr>
        <w:trPr>
          <w:trHeight w:val="216"/>
        </w:trPr>
        <w:tc>
          <w:tcPr>
            <w:tcW w:w="9040" w:type="dxa"/>
            <w:vAlign w:val="bottom"/>
            <w:gridSpan w:val="2"/>
          </w:tcPr>
          <w:p>
            <w:pPr>
              <w:ind w:left="360"/>
              <w:spacing w:after="0"/>
              <w:rPr>
                <w:sz w:val="20"/>
                <w:szCs w:val="20"/>
                <w:color w:val="auto"/>
              </w:rPr>
            </w:pPr>
            <w:r>
              <w:rPr>
                <w:rFonts w:ascii="Arial" w:cs="Arial" w:eastAsia="Arial" w:hAnsi="Arial"/>
                <w:sz w:val="18"/>
                <w:szCs w:val="18"/>
                <w:color w:val="auto"/>
              </w:rPr>
              <w:t>Legal settlement liability, current</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2,139</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16"/>
        </w:trPr>
        <w:tc>
          <w:tcPr>
            <w:tcW w:w="9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17,841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15,251</w:t>
            </w:r>
          </w:p>
        </w:tc>
        <w:tc>
          <w:tcPr>
            <w:tcW w:w="0" w:type="dxa"/>
            <w:vAlign w:val="bottom"/>
          </w:tcPr>
          <w:p>
            <w:pPr>
              <w:spacing w:after="0"/>
              <w:rPr>
                <w:sz w:val="1"/>
                <w:szCs w:val="1"/>
                <w:color w:val="auto"/>
              </w:rPr>
            </w:pPr>
          </w:p>
        </w:tc>
      </w:tr>
      <w:tr>
        <w:trPr>
          <w:trHeight w:val="216"/>
        </w:trPr>
        <w:tc>
          <w:tcPr>
            <w:tcW w:w="9040" w:type="dxa"/>
            <w:vAlign w:val="bottom"/>
            <w:gridSpan w:val="2"/>
          </w:tcPr>
          <w:p>
            <w:pPr>
              <w:ind w:left="36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5,630</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6,352</w:t>
            </w:r>
          </w:p>
        </w:tc>
        <w:tc>
          <w:tcPr>
            <w:tcW w:w="0" w:type="dxa"/>
            <w:vAlign w:val="bottom"/>
          </w:tcPr>
          <w:p>
            <w:pPr>
              <w:spacing w:after="0"/>
              <w:rPr>
                <w:sz w:val="1"/>
                <w:szCs w:val="1"/>
                <w:color w:val="auto"/>
              </w:rPr>
            </w:pPr>
          </w:p>
        </w:tc>
      </w:tr>
      <w:tr>
        <w:trPr>
          <w:trHeight w:val="216"/>
        </w:trPr>
        <w:tc>
          <w:tcPr>
            <w:tcW w:w="9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revenue, current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9,991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7,081</w:t>
            </w:r>
          </w:p>
        </w:tc>
        <w:tc>
          <w:tcPr>
            <w:tcW w:w="0" w:type="dxa"/>
            <w:vAlign w:val="bottom"/>
          </w:tcPr>
          <w:p>
            <w:pPr>
              <w:spacing w:after="0"/>
              <w:rPr>
                <w:sz w:val="1"/>
                <w:szCs w:val="1"/>
                <w:color w:val="auto"/>
              </w:rPr>
            </w:pPr>
          </w:p>
        </w:tc>
      </w:tr>
      <w:tr>
        <w:trPr>
          <w:trHeight w:val="223"/>
        </w:trPr>
        <w:tc>
          <w:tcPr>
            <w:tcW w:w="904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42,350</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settlement liability, noncurrent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14,649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13,745</w:t>
            </w:r>
          </w:p>
        </w:tc>
        <w:tc>
          <w:tcPr>
            <w:tcW w:w="0" w:type="dxa"/>
            <w:vAlign w:val="bottom"/>
          </w:tcPr>
          <w:p>
            <w:pPr>
              <w:spacing w:after="0"/>
              <w:rPr>
                <w:sz w:val="1"/>
                <w:szCs w:val="1"/>
                <w:color w:val="auto"/>
              </w:rPr>
            </w:pPr>
          </w:p>
        </w:tc>
      </w:tr>
      <w:tr>
        <w:trPr>
          <w:trHeight w:val="216"/>
        </w:trPr>
        <w:tc>
          <w:tcPr>
            <w:tcW w:w="9040" w:type="dxa"/>
            <w:vAlign w:val="bottom"/>
            <w:gridSpan w:val="2"/>
          </w:tcPr>
          <w:p>
            <w:pPr>
              <w:spacing w:after="0"/>
              <w:rPr>
                <w:sz w:val="20"/>
                <w:szCs w:val="20"/>
                <w:color w:val="auto"/>
              </w:rPr>
            </w:pPr>
            <w:r>
              <w:rPr>
                <w:rFonts w:ascii="Arial" w:cs="Arial" w:eastAsia="Arial" w:hAnsi="Arial"/>
                <w:sz w:val="18"/>
                <w:szCs w:val="18"/>
                <w:color w:val="auto"/>
              </w:rPr>
              <w:t>Deferred revenue, noncurrent</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11,020</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9,790</w:t>
            </w:r>
          </w:p>
        </w:tc>
        <w:tc>
          <w:tcPr>
            <w:tcW w:w="0" w:type="dxa"/>
            <w:vAlign w:val="bottom"/>
          </w:tcPr>
          <w:p>
            <w:pPr>
              <w:spacing w:after="0"/>
              <w:rPr>
                <w:sz w:val="1"/>
                <w:szCs w:val="1"/>
                <w:color w:val="auto"/>
              </w:rPr>
            </w:pPr>
          </w:p>
        </w:tc>
      </w:tr>
      <w:tr>
        <w:trPr>
          <w:trHeight w:val="216"/>
        </w:trPr>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liability, noncurrent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12,316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4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1,353</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81,688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57,920</w:t>
            </w:r>
          </w:p>
        </w:tc>
        <w:tc>
          <w:tcPr>
            <w:tcW w:w="0" w:type="dxa"/>
            <w:vAlign w:val="bottom"/>
          </w:tcPr>
          <w:p>
            <w:pPr>
              <w:spacing w:after="0"/>
              <w:rPr>
                <w:sz w:val="1"/>
                <w:szCs w:val="1"/>
                <w:color w:val="auto"/>
              </w:rPr>
            </w:pPr>
          </w:p>
        </w:tc>
      </w:tr>
      <w:tr>
        <w:trPr>
          <w:trHeight w:val="223"/>
        </w:trPr>
        <w:tc>
          <w:tcPr>
            <w:tcW w:w="9040" w:type="dxa"/>
            <w:vAlign w:val="bottom"/>
            <w:gridSpan w:val="2"/>
          </w:tcPr>
          <w:p>
            <w:pPr>
              <w:spacing w:after="0"/>
              <w:rPr>
                <w:sz w:val="20"/>
                <w:szCs w:val="20"/>
                <w:color w:val="auto"/>
              </w:rPr>
            </w:pPr>
            <w:r>
              <w:rPr>
                <w:rFonts w:ascii="Arial" w:cs="Arial" w:eastAsia="Arial" w:hAnsi="Arial"/>
                <w:sz w:val="18"/>
                <w:szCs w:val="18"/>
                <w:color w:val="auto"/>
              </w:rPr>
              <w:t>Commitments and contingencies (Note 17)</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9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Redeemable convertible preferred stock, $0.001 par value; 10,000,000 shares authorized, zero issued and outstanding as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of June 30, 2022 and December 31, 2021; aggregate liquidation preference of zero as of June 30, 2022 and</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December 31, 2021.</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Common stock, $0.001 par value; 1,000,000,000 authorized shares as of June 30, 2022 and December 31, 2021,</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2"/>
              </w:rPr>
              <w:t>respectively; 134,601,671 and 133,749,663 issued and outstanding shares as of June 30, 2022 and December 31, 2021,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904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432,889</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423,625</w:t>
            </w:r>
          </w:p>
        </w:tc>
        <w:tc>
          <w:tcPr>
            <w:tcW w:w="0" w:type="dxa"/>
            <w:vAlign w:val="bottom"/>
          </w:tcPr>
          <w:p>
            <w:pPr>
              <w:spacing w:after="0"/>
              <w:rPr>
                <w:sz w:val="1"/>
                <w:szCs w:val="1"/>
                <w:color w:val="auto"/>
              </w:rPr>
            </w:pPr>
          </w:p>
        </w:tc>
      </w:tr>
      <w:tr>
        <w:trPr>
          <w:trHeight w:val="216"/>
        </w:trPr>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(22,225)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(19,606)</w:t>
            </w:r>
          </w:p>
        </w:tc>
        <w:tc>
          <w:tcPr>
            <w:tcW w:w="0" w:type="dxa"/>
            <w:vAlign w:val="bottom"/>
          </w:tcPr>
          <w:p>
            <w:pPr>
              <w:spacing w:after="0"/>
              <w:rPr>
                <w:sz w:val="1"/>
                <w:szCs w:val="1"/>
                <w:color w:val="auto"/>
              </w:rPr>
            </w:pPr>
          </w:p>
        </w:tc>
      </w:tr>
      <w:tr>
        <w:trPr>
          <w:trHeight w:val="216"/>
        </w:trPr>
        <w:tc>
          <w:tcPr>
            <w:tcW w:w="9040" w:type="dxa"/>
            <w:vAlign w:val="bottom"/>
            <w:gridSpan w:val="2"/>
          </w:tcPr>
          <w:p>
            <w:pPr>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16"/>
        </w:trPr>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 in consolidated subsidiary</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30"/>
        </w:trPr>
        <w:tc>
          <w:tcPr>
            <w:tcW w:w="9040" w:type="dxa"/>
            <w:vAlign w:val="bottom"/>
            <w:gridSpan w:val="2"/>
          </w:tcPr>
          <w:p>
            <w:pPr>
              <w:ind w:left="3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411,129</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405,385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liabilities, redeemable convertible preferred stock and stockholders’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492,817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463,305</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are an integral part of these unaudited interim consolidated financial statements</w:t>
      </w:r>
    </w:p>
    <w:p>
      <w:pPr>
        <w:sectPr>
          <w:pgSz w:w="11900" w:h="16838" w:orient="portrait"/>
          <w:cols w:equalWidth="0" w:num="1">
            <w:col w:w="11020"/>
          </w:cols>
          <w:pgMar w:left="440" w:top="270" w:right="4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Cytek Biosciences,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Three Month Ended June 30,</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2022</w:t>
            </w: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gross profit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24,561</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acquisition-related intangible assets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Non-GAAP gross profit</w:t>
            </w: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25,654</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19,865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gross profit %</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64%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65%</w:t>
            </w:r>
          </w:p>
        </w:tc>
        <w:tc>
          <w:tcPr>
            <w:tcW w:w="0" w:type="dxa"/>
            <w:vAlign w:val="bottom"/>
          </w:tcPr>
          <w:p>
            <w:pPr>
              <w:spacing w:after="0"/>
              <w:rPr>
                <w:sz w:val="1"/>
                <w:szCs w:val="1"/>
                <w:color w:val="auto"/>
              </w:rPr>
            </w:pPr>
          </w:p>
        </w:tc>
      </w:tr>
      <w:tr>
        <w:trPr>
          <w:trHeight w:val="432"/>
        </w:trPr>
        <w:tc>
          <w:tcPr>
            <w:tcW w:w="7720" w:type="dxa"/>
            <w:vAlign w:val="bottom"/>
          </w:tcPr>
          <w:p>
            <w:pPr>
              <w:spacing w:after="0"/>
              <w:rPr>
                <w:sz w:val="20"/>
                <w:szCs w:val="20"/>
                <w:color w:val="auto"/>
              </w:rPr>
            </w:pPr>
            <w:r>
              <w:rPr>
                <w:rFonts w:ascii="Arial" w:cs="Arial" w:eastAsia="Arial" w:hAnsi="Arial"/>
                <w:sz w:val="18"/>
                <w:szCs w:val="18"/>
                <w:b w:val="1"/>
                <w:bCs w:val="1"/>
                <w:color w:val="auto"/>
              </w:rPr>
              <w:t>GAAP operating expenses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700"/>
              <w:spacing w:after="0"/>
              <w:rPr>
                <w:sz w:val="20"/>
                <w:szCs w:val="20"/>
                <w:color w:val="auto"/>
              </w:rPr>
            </w:pPr>
            <w:r>
              <w:rPr>
                <w:rFonts w:ascii="Arial" w:cs="Arial" w:eastAsia="Arial" w:hAnsi="Arial"/>
                <w:sz w:val="18"/>
                <w:szCs w:val="18"/>
                <w:color w:val="auto"/>
              </w:rPr>
              <w:t>25,452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15,934</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(3,185)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Amortization of acquisition-related intangible assets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operating expenses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22,145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15,387</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GAAP income from operations</w:t>
            </w: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20" w:type="dxa"/>
            <w:vAlign w:val="bottom"/>
            <w:vMerge w:val="continue"/>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(891)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3,811</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3,934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Amortization of acquisition-related intangible assets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income from operations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3,510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4,478</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GAAP net income</w:t>
            </w: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20" w:type="dxa"/>
            <w:vAlign w:val="bottom"/>
            <w:vMerge w:val="continue"/>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(702)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2,670</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3,934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Amortization of acquisition-related intangible assets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Tax effect of items excluded from non-GAAP results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Non-GAAP net income</w:t>
            </w: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3,466</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3,337</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net income attributable to common stockholders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8"/>
                <w:szCs w:val="18"/>
                <w:color w:val="auto"/>
              </w:rPr>
              <w:t>3,934</w:t>
            </w: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acquisition-related intangible assets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Tax effect of items excluded from non-GAAP results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net income attributable to common stockholders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3,570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GAAP net income per share to common stockholders, diluted</w:t>
            </w: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20" w:type="dxa"/>
            <w:vAlign w:val="bottom"/>
            <w:vMerge w:val="continue"/>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per share</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0.029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Amortization of acquisition-related intangible assets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8"/>
                <w:szCs w:val="18"/>
                <w:color w:val="auto"/>
              </w:rPr>
              <w:t>0.003</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Tax effect of items excluded from non-GAAP results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(0.002)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Non-GAAP net income per share to common stockholders, diluted</w:t>
            </w: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for calculation of non-GAAP net income per share (diluted)</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7"/>
              </w:rPr>
              <w:t>134,403,059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36,173,036</w:t>
            </w:r>
          </w:p>
        </w:tc>
        <w:tc>
          <w:tcPr>
            <w:tcW w:w="0" w:type="dxa"/>
            <w:vAlign w:val="bottom"/>
          </w:tcPr>
          <w:p>
            <w:pPr>
              <w:spacing w:after="0"/>
              <w:rPr>
                <w:sz w:val="1"/>
                <w:szCs w:val="1"/>
                <w:color w:val="auto"/>
              </w:rPr>
            </w:pPr>
          </w:p>
        </w:tc>
      </w:tr>
      <w:tr>
        <w:trPr>
          <w:trHeight w:val="432"/>
        </w:trPr>
        <w:tc>
          <w:tcPr>
            <w:tcW w:w="7720" w:type="dxa"/>
            <w:vAlign w:val="bottom"/>
          </w:tcPr>
          <w:p>
            <w:pPr>
              <w:spacing w:after="0"/>
              <w:rPr>
                <w:sz w:val="20"/>
                <w:szCs w:val="20"/>
                <w:color w:val="auto"/>
              </w:rPr>
            </w:pPr>
            <w:r>
              <w:rPr>
                <w:rFonts w:ascii="Arial" w:cs="Arial" w:eastAsia="Arial" w:hAnsi="Arial"/>
                <w:sz w:val="18"/>
                <w:szCs w:val="18"/>
                <w:b w:val="1"/>
                <w:bCs w:val="1"/>
                <w:color w:val="auto"/>
              </w:rPr>
              <w:t>GAAP Net Income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(702)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2,670</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1,636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Provision for (Benefits from) Income Taxes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Interest Expense</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exchange loss, net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8"/>
                <w:szCs w:val="18"/>
                <w:color w:val="auto"/>
              </w:rPr>
              <w:t>3,934</w:t>
            </w: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4,756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4,687</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94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2022-08-10T15:51:28Z</dcterms:created>
  <dcterms:modified xsi:type="dcterms:W3CDTF">2022-08-10T15:51:28Z</dcterms:modified>
</cp:coreProperties>
</file>