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20" w:right="1980" w:hanging="3899"/>
        <w:spacing w:after="0" w:line="261"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16"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jc w:val="right"/>
              <w:ind w:right="2306"/>
              <w:spacing w:after="0"/>
              <w:rPr>
                <w:sz w:val="20"/>
                <w:szCs w:val="20"/>
                <w:color w:val="auto"/>
              </w:rPr>
            </w:pPr>
            <w:r>
              <w:rPr>
                <w:rFonts w:ascii="Arial" w:cs="Arial" w:eastAsia="Arial" w:hAnsi="Arial"/>
                <w:sz w:val="18"/>
                <w:szCs w:val="18"/>
                <w:b w:val="1"/>
                <w:bCs w:val="1"/>
                <w:color w:val="auto"/>
              </w:rPr>
              <w:t>47-2547526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46"/>
              <w:spacing w:after="0" w:line="135" w:lineRule="exact"/>
              <w:rPr>
                <w:sz w:val="20"/>
                <w:szCs w:val="20"/>
                <w:color w:val="auto"/>
              </w:rPr>
            </w:pPr>
            <w:r>
              <w:rPr>
                <w:rFonts w:ascii="Arial" w:cs="Arial" w:eastAsia="Arial" w:hAnsi="Arial"/>
                <w:sz w:val="13"/>
                <w:szCs w:val="13"/>
                <w:color w:val="auto"/>
                <w:w w:val="89"/>
              </w:rPr>
              <w:t>(State or other jurisdiction of</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00" w:type="dxa"/>
            <w:vAlign w:val="bottom"/>
          </w:tcPr>
          <w:p>
            <w:pPr>
              <w:jc w:val="center"/>
              <w:ind w:right="1046"/>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Arial" w:cs="Arial" w:eastAsia="Arial" w:hAnsi="Arial"/>
                <w:sz w:val="13"/>
                <w:szCs w:val="13"/>
                <w:color w:val="auto"/>
                <w:w w:val="89"/>
              </w:rPr>
              <w:t>incorporation or organization)</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46"/>
              <w:spacing w:after="0" w:line="144" w:lineRule="exact"/>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34"/>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2"/>
              </w:rPr>
              <w:t>47215 Lakeview Blvd. Fremont, California</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jc w:val="right"/>
              <w:ind w:right="2506"/>
              <w:spacing w:after="0"/>
              <w:rPr>
                <w:sz w:val="20"/>
                <w:szCs w:val="20"/>
                <w:color w:val="auto"/>
              </w:rPr>
            </w:pPr>
            <w:r>
              <w:rPr>
                <w:rFonts w:ascii="Arial" w:cs="Arial" w:eastAsia="Arial" w:hAnsi="Arial"/>
                <w:sz w:val="18"/>
                <w:szCs w:val="18"/>
                <w:b w:val="1"/>
                <w:bCs w:val="1"/>
                <w:color w:val="auto"/>
              </w:rPr>
              <w:t>94538</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Arial" w:cs="Arial" w:eastAsia="Arial" w:hAnsi="Arial"/>
                <w:sz w:val="13"/>
                <w:szCs w:val="13"/>
                <w:color w:val="auto"/>
                <w:w w:val="89"/>
              </w:rPr>
              <w:t>(Address of principal executive offices)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26"/>
              <w:spacing w:after="0" w:line="14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4"/>
        </w:trPr>
        <w:tc>
          <w:tcPr>
            <w:tcW w:w="11240" w:type="dxa"/>
            <w:vAlign w:val="bottom"/>
            <w:gridSpan w:val="7"/>
          </w:tcPr>
          <w:p>
            <w:pPr>
              <w:ind w:lef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tc>
        <w:tc>
          <w:tcPr>
            <w:tcW w:w="0" w:type="dxa"/>
            <w:vAlign w:val="bottom"/>
          </w:tcPr>
          <w:p>
            <w:pPr>
              <w:spacing w:after="0"/>
              <w:rPr>
                <w:sz w:val="1"/>
                <w:szCs w:val="1"/>
                <w:color w:val="auto"/>
              </w:rPr>
            </w:pPr>
          </w:p>
        </w:tc>
      </w:tr>
      <w:tr>
        <w:trPr>
          <w:trHeight w:val="68"/>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500" w:type="dxa"/>
            <w:vAlign w:val="bottom"/>
            <w:gridSpan w:val="3"/>
          </w:tcPr>
          <w:p>
            <w:pPr>
              <w:ind w:left="1620"/>
              <w:spacing w:after="0"/>
              <w:rPr>
                <w:sz w:val="20"/>
                <w:szCs w:val="20"/>
                <w:color w:val="auto"/>
              </w:rPr>
            </w:pPr>
            <w:r>
              <w:rPr>
                <w:rFonts w:ascii="Arial" w:cs="Arial" w:eastAsia="Arial" w:hAnsi="Arial"/>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4500" w:type="dxa"/>
            <w:vAlign w:val="bottom"/>
          </w:tcPr>
          <w:p>
            <w:pPr>
              <w:jc w:val="center"/>
              <w:ind w:right="46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CTKB</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526"/>
              <w:spacing w:after="0"/>
              <w:rPr>
                <w:sz w:val="20"/>
                <w:szCs w:val="20"/>
                <w:color w:val="auto"/>
              </w:rPr>
            </w:pPr>
            <w:r>
              <w:rPr>
                <w:rFonts w:ascii="Arial" w:cs="Arial" w:eastAsia="Arial" w:hAnsi="Arial"/>
                <w:sz w:val="15"/>
                <w:szCs w:val="15"/>
                <w:b w:val="1"/>
                <w:bCs w:val="1"/>
                <w:color w:val="auto"/>
                <w:w w:val="93"/>
              </w:rPr>
              <w:t>The Nasdaq Global Select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2" w:lineRule="exact"/>
        <w:rPr>
          <w:sz w:val="24"/>
          <w:szCs w:val="24"/>
          <w:color w:val="auto"/>
        </w:rPr>
      </w:pPr>
    </w:p>
    <w:p>
      <w:pPr>
        <w:ind w:right="3540"/>
        <w:spacing w:after="0" w:line="17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ind w:right="12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8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41" w:lineRule="exact"/>
        <w:rPr>
          <w:sz w:val="24"/>
          <w:szCs w:val="24"/>
          <w:color w:val="auto"/>
        </w:rPr>
      </w:pPr>
    </w:p>
    <w:p>
      <w:pPr>
        <w:ind w:right="52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62"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Unicode MS" w:cs="Arial Unicode MS" w:eastAsia="Arial Unicode MS" w:hAnsi="Arial Unicode MS"/>
          <w:sz w:val="14"/>
          <w:szCs w:val="14"/>
          <w:color w:val="auto"/>
        </w:rPr>
        <w:t>☒</w:t>
      </w:r>
    </w:p>
    <w:p>
      <w:pPr>
        <w:ind w:right="120"/>
        <w:spacing w:after="0" w:line="16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ind w:right="280"/>
        <w:spacing w:after="0" w:line="16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6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240"/>
        <w:spacing w:after="0" w:line="221" w:lineRule="auto"/>
        <w:rPr>
          <w:sz w:val="20"/>
          <w:szCs w:val="20"/>
          <w:color w:val="auto"/>
        </w:rPr>
      </w:pPr>
      <w:r>
        <w:rPr>
          <w:rFonts w:ascii="Arial" w:cs="Arial" w:eastAsia="Arial" w:hAnsi="Arial"/>
          <w:sz w:val="14"/>
          <w:szCs w:val="14"/>
          <w:color w:val="auto"/>
        </w:rPr>
        <w:t>The aggregate market value of registrant’s voting and non-voting common stock held by non-affiliates of registrant on June 30, 2022, the last business day of the registrant’s most recently completed second fiscal quarter, was approximately $1.3 billion, based upon the closing sale price of the common stock as reported on The Nasdaq Global Select Market. Shares of common stock held by each officer and director have been excluded in that such persons may be deemed to be affiliates. This determination of affiliate status is not a conclusive determination for other purposes.</w:t>
      </w:r>
    </w:p>
    <w:p>
      <w:pPr>
        <w:spacing w:after="0" w:line="222" w:lineRule="auto"/>
        <w:rPr>
          <w:sz w:val="20"/>
          <w:szCs w:val="20"/>
          <w:color w:val="auto"/>
        </w:rPr>
      </w:pPr>
      <w:r>
        <w:rPr>
          <w:rFonts w:ascii="Arial" w:cs="Arial" w:eastAsia="Arial" w:hAnsi="Arial"/>
          <w:sz w:val="14"/>
          <w:szCs w:val="14"/>
          <w:color w:val="auto"/>
        </w:rPr>
        <w:t>The number of shares of Registrant’s Common Stock outstanding as of February 17, 2023 was 135,430,624.</w:t>
      </w:r>
    </w:p>
    <w:p>
      <w:pPr>
        <w:ind w:left="4060"/>
        <w:spacing w:after="0" w:line="222" w:lineRule="auto"/>
        <w:rPr>
          <w:sz w:val="20"/>
          <w:szCs w:val="20"/>
          <w:color w:val="auto"/>
        </w:rPr>
      </w:pPr>
      <w:r>
        <w:rPr>
          <w:rFonts w:ascii="Arial" w:cs="Arial" w:eastAsia="Arial" w:hAnsi="Arial"/>
          <w:sz w:val="14"/>
          <w:szCs w:val="14"/>
          <w:color w:val="auto"/>
        </w:rPr>
        <w:t>DOCUMENTS INCORPORATED BY REFERENCE</w:t>
      </w:r>
    </w:p>
    <w:p>
      <w:pPr>
        <w:spacing w:after="0" w:line="232" w:lineRule="auto"/>
        <w:rPr>
          <w:sz w:val="20"/>
          <w:szCs w:val="20"/>
          <w:color w:val="auto"/>
        </w:rPr>
      </w:pPr>
      <w:r>
        <w:rPr>
          <w:rFonts w:ascii="Arial" w:cs="Arial" w:eastAsia="Arial" w:hAnsi="Arial"/>
          <w:sz w:val="14"/>
          <w:szCs w:val="14"/>
          <w:color w:val="auto"/>
        </w:rPr>
        <w:t>Portions of the Registrant’s Definitive Proxy Statement relating to the Registrant’s 2023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90" w:lineRule="exact"/>
              <w:rPr>
                <w:sz w:val="20"/>
                <w:szCs w:val="20"/>
                <w:color w:val="auto"/>
              </w:rPr>
            </w:pPr>
            <w:r>
              <w:rPr>
                <w:rFonts w:ascii="Arial" w:cs="Arial" w:eastAsia="Arial" w:hAnsi="Arial"/>
                <w:sz w:val="18"/>
                <w:szCs w:val="18"/>
                <w:color w:val="0000FF"/>
              </w:rPr>
              <w:t>Business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80" w:type="dxa"/>
            <w:vAlign w:val="bottom"/>
            <w:gridSpan w:val="19"/>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Unresolved Staff Comments</w:t>
            </w:r>
          </w:p>
        </w:tc>
        <w:tc>
          <w:tcPr>
            <w:tcW w:w="726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560" w:type="dxa"/>
            <w:vAlign w:val="bottom"/>
            <w:gridSpan w:val="21"/>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3.</w:t>
            </w:r>
          </w:p>
        </w:tc>
        <w:tc>
          <w:tcPr>
            <w:tcW w:w="932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4.</w:t>
            </w:r>
          </w:p>
        </w:tc>
        <w:tc>
          <w:tcPr>
            <w:tcW w:w="932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7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5.</w:t>
            </w:r>
          </w:p>
        </w:tc>
        <w:tc>
          <w:tcPr>
            <w:tcW w:w="9320" w:type="dxa"/>
            <w:vAlign w:val="bottom"/>
            <w:gridSpan w:val="26"/>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2"/>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7.</w:t>
            </w:r>
          </w:p>
        </w:tc>
        <w:tc>
          <w:tcPr>
            <w:tcW w:w="932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4"/>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6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80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7540" w:type="dxa"/>
            <w:vAlign w:val="bottom"/>
            <w:gridSpan w:val="16"/>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9B.</w:t>
            </w:r>
          </w:p>
        </w:tc>
        <w:tc>
          <w:tcPr>
            <w:tcW w:w="932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9C.</w:t>
            </w:r>
          </w:p>
        </w:tc>
        <w:tc>
          <w:tcPr>
            <w:tcW w:w="932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7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10.</w:t>
            </w:r>
          </w:p>
        </w:tc>
        <w:tc>
          <w:tcPr>
            <w:tcW w:w="9320" w:type="dxa"/>
            <w:vAlign w:val="bottom"/>
            <w:gridSpan w:val="26"/>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20" w:type="dxa"/>
            <w:vAlign w:val="bottom"/>
            <w:gridSpan w:val="8"/>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02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86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14.</w:t>
            </w:r>
          </w:p>
        </w:tc>
        <w:tc>
          <w:tcPr>
            <w:tcW w:w="9320" w:type="dxa"/>
            <w:vAlign w:val="bottom"/>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7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15.</w:t>
            </w:r>
          </w:p>
        </w:tc>
        <w:tc>
          <w:tcPr>
            <w:tcW w:w="9320" w:type="dxa"/>
            <w:vAlign w:val="bottom"/>
            <w:gridSpan w:val="26"/>
          </w:tcPr>
          <w:p>
            <w:pPr>
              <w:spacing w:after="0" w:line="190" w:lineRule="exact"/>
              <w:rPr>
                <w:sz w:val="20"/>
                <w:szCs w:val="20"/>
                <w:color w:val="auto"/>
              </w:rPr>
            </w:pPr>
            <w:r>
              <w:rPr>
                <w:rFonts w:ascii="Arial" w:cs="Arial" w:eastAsia="Arial" w:hAnsi="Arial"/>
                <w:sz w:val="18"/>
                <w:szCs w:val="18"/>
                <w:color w:val="0000FF"/>
              </w:rPr>
              <w:t>Exhibits and Financial Statement Schedules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40"/>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616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1160" w:type="dxa"/>
            <w:vAlign w:val="bottom"/>
            <w:gridSpan w:val="3"/>
          </w:tcPr>
          <w:p>
            <w:pPr>
              <w:ind w:left="140"/>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615"/>
        </w:trPr>
        <w:tc>
          <w:tcPr>
            <w:tcW w:w="1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20"/>
          </w:tcPr>
          <w:p>
            <w:pPr>
              <w:ind w:left="44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the section titled “Risk Factors” and elsewhere in this Annual Report on Form 10-K, regarding, among other things:</w:t>
      </w:r>
    </w:p>
    <w:p>
      <w:pPr>
        <w:spacing w:after="0" w:line="7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future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our ability to serve those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market conditions, including as a result of the COVID-19 pandemic, seasonal demands, regulatory matters, economic recessions or slowdowns, the ongoing war in Ukraine and the general inflationary environment;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future growth of our sales and marketing organization;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reliance on, third parties in connection with the commercialization of our products, including single-source suppliers and, in some cases, sole source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and manufacture appropriate quantities of our products to meet commercial demand;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businesses we acquire and to achieve and recognize the anticipated benefits of the transaction;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products or obtain regulatory approval for new products in the United States and in any foreign countries in which we make seek to do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for existing products and any future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regulatory approval and commercialization of competing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senior management and key personnel;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ability to remediate our existing material weaknesses and to design and maintain an effective system of internal controls;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products, as well as our ability to operate our business without infringing the intellectual property rights of others.</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These risks are not exhaustive. Other sections of this Annual Report on Form 10-K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49"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509"/>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4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Unless the context indicates otherwise, as used in this Annual Report on Form 10-K, the terms “Company,” “Cytek,” “Registrant,” “we,” “us” and “our” refer to Cytek Biosciences, Inc., a Delaware corporation, and its direct and indirect subsidiaries, taken as a whole.</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“Cytek,” “SpectroFlo,” “Tonbo Biosciences,” “RedFluor,” “VioletFluor,” “Ghost Dye,” “Ready-Set-Flow!,” and “DxP Athena” are registered trademarks in the United States. “SpectroFlo” is also a registered trademark in Australia, the European Union, China and Canada. “ESP,” “Enhanced Small Particle,” “cFluor,” “FSP,” “Full Spectrum Profiling,” “Viadye,” “Spectrolearn,” Spectrosort,” and “Northern Lights” have pending trademark applications in the United States. All other service marks, trademarks and tradenames appearing in this Annual Report on Form 10-K are the property of their respective owners. We do not intend our use or display of other companies’ trade names, trademarks or service marks to imply a relationship with, or endorsement or sponsorship of us by, these other companies.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31F20"/>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Business</w:t>
      </w:r>
    </w:p>
    <w:p>
      <w:pPr>
        <w:spacing w:after="0" w:line="10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On February 28, 2023, we completed the acquisition of certain assets relating to the flow cytometry and imaging business of Luminex Corporation. The information set forth under this “Business” section relates primarily to our business of developing, manufacturing, marketing, and selling our full spectrum flow cytometers and related reagents, software and services. For information relating to the acquisition, please refer to the subsections entitled "Recent Developments—FCI Acquisition.”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231F20"/>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through December 31, 2022, we have sold and deployed over 1,670 instruments— primarily comprised of our Aurora and Northern Lights systems—to customers around the world, including the largest pharmaceutical companies, over 200 biopharma companies, leading academic research centers, and clinical research organizations (“CROs”). In June 2021, we commercially launched the Aurora cell sorter (“Aurora CS”), which leverages our FSP technology to further broaden our potential applications across cell analysis.</w:t>
      </w:r>
    </w:p>
    <w:p>
      <w:pPr>
        <w:spacing w:after="0" w:line="6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231F20"/>
        </w:rPr>
        <w:t>Biological systems are highly complex, and scientists are challenged by the multitude of questions that remain unanswered. Analysis at the single-cell level is essential to understand these complex systems. Identifying the correct cell in the context of a given biological question can have profound implications for drug development and health care decisions. It is essential to correlate information derived from multiple cell analysis approaches and to translate what is known at the gene level to the actual cell function. There is growing demand for deep content through high dimensional cell analysis and for solutions that can provide a complete picture of cellular biological processes and interactions. To achieve this, scientists need to phenotype and isolate rare events or unique populations down to the single-cell through highly resolvable multi-dimensional cell analysis. While flow cytometry is a widely used tool for single-cell analysis, conventional flow cytometry, mass cytometry and early approaches to spectral flow cytometry technologies have historically been challenged due to limited dimensionality, sub-optimal resolution, low throughput, high cost for performance and/or significant technical expertise required to operate systems.</w:t>
      </w:r>
    </w:p>
    <w:p>
      <w:pPr>
        <w:spacing w:after="0" w:line="7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231F20"/>
        </w:rPr>
        <w:t>Our FSP platform addresses the inherent limitations of other technologies by providing a higher density of information with greater sensitivity, more flexibility and increased efficiency, all at a lower cost for performance. Our patented FSP technology is designed to optimize sensitivity and accuracy through its novel optical and electronic designs that utilize an innovative method of light detection and distribution to a specifically selected number and type of detectors. This patented optics design enables researchers to effectively collect the full range of light emissions in an extremely compact space, resulting in higher resolution. Our platform also provides higher content by enabling development of highly complex assays with more than 40 different colors (individual fluorochromes) and thus supporting more than 40 biomarkers, all accessible within just a single tube.</w:t>
      </w:r>
    </w:p>
    <w:p>
      <w:pPr>
        <w:spacing w:after="0" w:line="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231F20"/>
        </w:rPr>
        <w:t>Our solutions have enabled researchers to make significant scientific advances in key areas of medical discovery (such as oncology, immunology and infectious diseases) in addition to empowering improved downstream cell analysis with complementary cell analysis technologies (such as next-generation sequencing (“NGS”)). We believe that our innovative FSP and targeted cell isolation technology has the potential to accelerate scientific discovery and have a profound impact on the understanding of cell biology, immunotherapy, and targeted therapeutic approaches (personalized medicine). Further, there has been a meaningful acceleration in the rate of publications generated to showcase our technology, with over 1000 peer-reviewed articles published, including many prominent journals, across a wide range of applications including oncology, infectious diseases, immunology, immunotherapy and immuno-oncology.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Our FSP platform was purpose-built to advance the next generation of cell analysis by delivering deep insights, high-throughputs and ease-of-use.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Our FSP platform is designed to offer the following key benefits:</w:t>
      </w:r>
    </w:p>
    <w:p>
      <w:pPr>
        <w:spacing w:after="0" w:line="103" w:lineRule="exact"/>
        <w:rPr>
          <w:sz w:val="20"/>
          <w:szCs w:val="20"/>
          <w:color w:val="auto"/>
        </w:rPr>
      </w:pPr>
    </w:p>
    <w:p>
      <w:pPr>
        <w:ind w:left="1020" w:right="2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Ultra-sensitive: </w:t>
      </w:r>
      <w:r>
        <w:rPr>
          <w:rFonts w:ascii="Arial" w:cs="Arial" w:eastAsia="Arial" w:hAnsi="Arial"/>
          <w:sz w:val="18"/>
          <w:szCs w:val="18"/>
          <w:color w:val="231F20"/>
        </w:rPr>
        <w:t>resolve the most challenging cell populations (such as cells with high autofluorescence or low levels of expression of key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biomarkers) by providing high-resolution data at the single-cell level with an optimized signal-to-noise ratio.</w:t>
      </w:r>
    </w:p>
    <w:p>
      <w:pPr>
        <w:spacing w:after="0" w:line="62"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Deep, high integrity content: </w:t>
      </w:r>
      <w:r>
        <w:rPr>
          <w:rFonts w:ascii="Arial" w:cs="Arial" w:eastAsia="Arial" w:hAnsi="Arial"/>
          <w:sz w:val="18"/>
          <w:szCs w:val="18"/>
          <w:color w:val="231F20"/>
        </w:rPr>
        <w:t>allow development of highly complex assays through access to more than 40 different colors and thus,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supporting more than 40 biomarkers in a single tube without sacrificing precision and throughput to gain a deeper understanding of biological systems and arrive at faster and more accurate diagnoses in clinical settings.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020" w:right="20" w:hanging="503"/>
        <w:spacing w:after="0" w:line="277"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Flexible and compatible: </w:t>
      </w:r>
      <w:r>
        <w:rPr>
          <w:rFonts w:ascii="Arial" w:cs="Arial" w:eastAsia="Arial" w:hAnsi="Arial"/>
          <w:sz w:val="18"/>
          <w:szCs w:val="18"/>
          <w:color w:val="231F20"/>
        </w:rPr>
        <w:t>enable a single configuration across a wide range of reagents and applications, full backwards compatibility across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panels, and greater leverage for downstream analysis with complementary technologies, including NGS.</w:t>
      </w:r>
    </w:p>
    <w:p>
      <w:pPr>
        <w:spacing w:after="0" w:line="62" w:lineRule="exact"/>
        <w:rPr>
          <w:rFonts w:ascii="Arial" w:cs="Arial" w:eastAsia="Arial" w:hAnsi="Arial"/>
          <w:sz w:val="18"/>
          <w:szCs w:val="18"/>
          <w:color w:val="231F20"/>
        </w:rPr>
      </w:pPr>
    </w:p>
    <w:p>
      <w:pPr>
        <w:ind w:left="1020" w:hanging="503"/>
        <w:spacing w:after="0" w:line="308" w:lineRule="auto"/>
        <w:tabs>
          <w:tab w:leader="none" w:pos="102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Efficient and compact: </w:t>
      </w:r>
      <w:r>
        <w:rPr>
          <w:rFonts w:ascii="Arial" w:cs="Arial" w:eastAsia="Arial" w:hAnsi="Arial"/>
          <w:sz w:val="17"/>
          <w:szCs w:val="17"/>
          <w:color w:val="231F20"/>
        </w:rPr>
        <w:t>improve costs and save time while maintaining industry-leading performance and efficient workflows that limit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consumables usage and reduce labor costs—all within a highly compact footprint minimizing space requirements for laboratories.</w:t>
      </w:r>
    </w:p>
    <w:p>
      <w:pPr>
        <w:spacing w:after="0" w:line="38" w:lineRule="exact"/>
        <w:rPr>
          <w:rFonts w:ascii="Arial" w:cs="Arial" w:eastAsia="Arial" w:hAnsi="Arial"/>
          <w:sz w:val="17"/>
          <w:szCs w:val="17"/>
          <w:color w:val="231F20"/>
        </w:rPr>
      </w:pPr>
    </w:p>
    <w:p>
      <w:pPr>
        <w:jc w:val="both"/>
        <w:ind w:left="1020" w:hanging="503"/>
        <w:spacing w:after="0" w:line="263"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Integrated and intuitive: </w:t>
      </w:r>
      <w:r>
        <w:rPr>
          <w:rFonts w:ascii="Arial" w:cs="Arial" w:eastAsia="Arial" w:hAnsi="Arial"/>
          <w:sz w:val="18"/>
          <w:szCs w:val="18"/>
          <w:color w:val="231F20"/>
        </w:rPr>
        <w:t>provide fully-integrated workflows through a suite of solutions that include instruments, reagents and kits, software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services. Our proprietary tools and the intuitive functionality of our proprietary SpectroFlo® software coupled with a user-friendly interface allow for enhanced ease-of-use and minimal operator training.</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231F20"/>
        </w:rPr>
        <w:t>Our core instruments, the Aurora and Northern Lights systems, are full spectrum flow cytometers founded on our FSP platform technology. The Aurora system—our most advanced and comprehensive offering—is available with three to five lasers and is suitable for customers seeking to access more than 24 colors (with the ability to access more than 40 different colors and support more than 40 biomarkers), while our Northern Lights system—our entry-level offering—is available with one to three lasers and suitable for customers seeking to access a few colors to more than 24 colors. Both instruments are upgradeable based on the desired number of lasers. In June 2021, we commercially launched the Aurora CS, which leverages our FSP technology to rapidly isolate living cell populations from lower-to-higher complexity panels beyond 40 biomarkers. We believe the Aurora CS is the only cell sorter able to accommodate the same number of parameters with the same sensitivity as the Aurora cell analyzer system. Each system is supported by our highly intuitive, proprietary embedded SpectroFlo® software, our reagents, and our service offerings to provide a comprehensive, end-to-end platform of solutions for our customers.</w:t>
      </w:r>
    </w:p>
    <w:p>
      <w:pPr>
        <w:spacing w:after="0" w:line="7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Within the life sciences technology market, flow cytometry technologies currently provide solutions largely within cell proliferation, cell counting, cell identification, cell quality control and single-cell applications, representing an initial total addressable market of nearly $12 billion. However, we believe that, driven by enhanced capabilities, our FSP platform has the potential to capture an increasingly greater share of the broader cell analysis market, which according to industry sources is expected to grow from roughly $17 billion in 2022 to approximately $28 billion by 2027.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clinical research applications within immunotherapy, immuno-oncology, bio-processing, infectious diseases, and immuno-deficiencies. In addition, the combination of our platform with complementary, downstream cell analysis technologies is expected to provide additional areas for new clinical research applications—for example, combining FSP technology with NGS has demonstrated an improved ability to predict leukemia relapse after therapy (such as minimal residual disease (“MRD”) testing) and served to support the use of our technology within personalized medicine. As our FSP platform is further validated through the continued acceleration of peer-reviewed publications in new applications, we expect our total addressable market to expand.</w:t>
      </w:r>
    </w:p>
    <w:p>
      <w:pPr>
        <w:spacing w:after="0" w:line="7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231F20"/>
        </w:rPr>
        <w:t>We believe the combination of our people and our global reach across the United States, Europe and Asia will enable us to continue to execute on our growth strategies, stay ahead of competition and remain at the forefront of innovation in cell analysis. Our leadership team has extensive track records in the life sciences and technology sectors. Our multidisciplinary group of over 580 employees includes employees with expertise across optics, electronics, fluidics, computer sciences, chemistry, biology, and medical sciences. Our worldwide commercial team of more than 130 employees and our research and development team of more than 160 employees have significant expertise, industry experience and collaborative relationships with key opinion leaders (“KOLs”), industry leaders, innovators and potential customers.</w:t>
      </w:r>
    </w:p>
    <w:p>
      <w:pPr>
        <w:spacing w:after="0" w:line="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231F20"/>
        </w:rPr>
        <w:t>We have a long history of providing high-quality and efficient customer service and our product development efforts reflect our deep understanding of our customers’ needs. One of our key differentiators is our customer-facing technical team, which collaborates closely with our customers to identify and find solutions for unmet needs across the market. We collaborate closely with KOLs, generating relevant data and publications to demonstrate not only the feasibility, but also the quality of our FSP approach. We plan to continue executing on our strategy to accelerate our growth by driving adoption of our FSP solutions, inspiring innovation, investing in integrated workflow solutions, and driving application development and adoption in clinical markets.</w:t>
      </w:r>
    </w:p>
    <w:p>
      <w:pPr>
        <w:spacing w:after="0" w:line="5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We believe our financial results reflect the significant market demand for our offerings and adoption of our FSP technology: our strong financial profile is differentiated by the combination of our scaled revenue base, high revenue growth and profitability. Our revenue for fiscal years 2022, 2021 and 2020 was $164.0 million, $128.0 million, and $92.8 million, respectively. We generated net income of $2.5 million $3.0 million, and $19.4 million for fiscal years 2022, 2021 and 2020,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31F20"/>
        </w:rPr>
        <w:t>Our Competitive Strengths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231F20"/>
        </w:rPr>
        <w:t>We aim to transform the cell analysis market by continuing to build upon our success as a leading platform of innovative FSP solutions by leveraging our key competitive strengths, including:</w:t>
      </w:r>
    </w:p>
    <w:p>
      <w:pPr>
        <w:spacing w:after="0" w:line="62" w:lineRule="exact"/>
        <w:rPr>
          <w:sz w:val="20"/>
          <w:szCs w:val="20"/>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novel, patented FSP platform delivers high-resolution, high-content and high-sensitivity cell analysis by utilizing the full spectrum of fluorescent signatures.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solutions address many of our customers’ unmet needs.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complete FSP offering is available across a range of price points while consistently delivering high performance.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diversified customer base and breadth of relationships and scientific validation.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global scale and reach.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strategy includes the following core elements:</w:t>
      </w:r>
    </w:p>
    <w:p>
      <w:pPr>
        <w:spacing w:after="0" w:line="117" w:lineRule="exact"/>
        <w:rPr>
          <w:sz w:val="20"/>
          <w:szCs w:val="20"/>
          <w:color w:val="auto"/>
        </w:rPr>
      </w:pPr>
    </w:p>
    <w:p>
      <w:pPr>
        <w:jc w:val="both"/>
        <w:ind w:left="1020" w:hanging="503"/>
        <w:spacing w:after="0" w:line="279" w:lineRule="auto"/>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Accelerate adoption of our FSP solutions. </w:t>
      </w:r>
      <w:r>
        <w:rPr>
          <w:rFonts w:ascii="Arial" w:cs="Arial" w:eastAsia="Arial" w:hAnsi="Arial"/>
          <w:sz w:val="17"/>
          <w:szCs w:val="17"/>
          <w:color w:val="231F20"/>
        </w:rPr>
        <w:t>To continue driving adoption of our solutions and to support our leading global brand, we intend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to further expand our sales infrastructure by hiring additional, highly qualified and reputable sales representatives, technical applications specialists and customer support staff, in addition to increasing marketing efforts. This investment will also support our entry into new markets as we rollout new solutions and applications and appropriately manage inbound interest from new customers.</w:t>
      </w:r>
    </w:p>
    <w:p>
      <w:pPr>
        <w:spacing w:after="0" w:line="63" w:lineRule="exact"/>
        <w:rPr>
          <w:rFonts w:ascii="Arial" w:cs="Arial" w:eastAsia="Arial" w:hAnsi="Arial"/>
          <w:sz w:val="17"/>
          <w:szCs w:val="17"/>
          <w:color w:val="231F20"/>
        </w:rPr>
      </w:pPr>
    </w:p>
    <w:p>
      <w:pPr>
        <w:jc w:val="both"/>
        <w:ind w:left="1020" w:hanging="503"/>
        <w:spacing w:after="0" w:line="311" w:lineRule="auto"/>
        <w:tabs>
          <w:tab w:leader="none" w:pos="1020" w:val="left"/>
        </w:tabs>
        <w:numPr>
          <w:ilvl w:val="0"/>
          <w:numId w:val="7"/>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Continue to innovate and offer our customers best-in-class FSP solutions. </w:t>
      </w:r>
      <w:r>
        <w:rPr>
          <w:rFonts w:ascii="Arial" w:cs="Arial" w:eastAsia="Arial" w:hAnsi="Arial"/>
          <w:sz w:val="16"/>
          <w:szCs w:val="16"/>
          <w:color w:val="231F20"/>
        </w:rPr>
        <w:t>Our development efforts focus on value-additive features and</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enhancements to meet the growing needs of the cell analysis market. These efforts drive continued innovation across our proprietary reagents, software and services offerings, in addition to new instrumentation releases, such as the recently launched Aurora CS.</w:t>
      </w:r>
    </w:p>
    <w:p>
      <w:pPr>
        <w:spacing w:after="0" w:line="40" w:lineRule="exact"/>
        <w:rPr>
          <w:rFonts w:ascii="Arial" w:cs="Arial" w:eastAsia="Arial" w:hAnsi="Arial"/>
          <w:sz w:val="16"/>
          <w:szCs w:val="16"/>
          <w:color w:val="231F20"/>
        </w:rPr>
      </w:pPr>
    </w:p>
    <w:p>
      <w:pPr>
        <w:jc w:val="both"/>
        <w:ind w:left="1020" w:hanging="503"/>
        <w:spacing w:after="0" w:line="259"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Invest in integrated workflow solutions to drive pull-through from our consumables and services. </w:t>
      </w:r>
      <w:r>
        <w:rPr>
          <w:rFonts w:ascii="Arial" w:cs="Arial" w:eastAsia="Arial" w:hAnsi="Arial"/>
          <w:sz w:val="18"/>
          <w:szCs w:val="18"/>
          <w:color w:val="231F20"/>
        </w:rPr>
        <w:t>Our overarching goal is to become a</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comprehensive solutions provider to our customers by delivering a fully-integrated offering of instruments, consumables, software and services enabled by our FSP technology. As we continue to penetrate our addressable markets, we can leverage our growing installed base to drive consumable pull-through and recurring revenue.</w:t>
      </w:r>
    </w:p>
    <w:p>
      <w:pPr>
        <w:spacing w:after="0" w:line="78" w:lineRule="exact"/>
        <w:rPr>
          <w:rFonts w:ascii="Arial" w:cs="Arial" w:eastAsia="Arial" w:hAnsi="Arial"/>
          <w:sz w:val="18"/>
          <w:szCs w:val="18"/>
          <w:color w:val="231F20"/>
        </w:rPr>
      </w:pPr>
    </w:p>
    <w:p>
      <w:pPr>
        <w:jc w:val="both"/>
        <w:ind w:left="1020" w:hanging="503"/>
        <w:spacing w:after="0" w:line="272" w:lineRule="auto"/>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Drive clinical research application development. </w:t>
      </w:r>
      <w:r>
        <w:rPr>
          <w:rFonts w:ascii="Arial" w:cs="Arial" w:eastAsia="Arial" w:hAnsi="Arial"/>
          <w:sz w:val="17"/>
          <w:szCs w:val="17"/>
          <w:color w:val="231F20"/>
        </w:rPr>
        <w:t>We are deeply committed to developing our platform’s clinical research applications,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in particular, within disease detection, diagnosis, and treatment monitoring. We also focus on areas where we can leverage the combination of our FSP platform with complementary cell analysis technologies (such as NGS) to produce differentiated outcomes with greater sensitivity, such as with MRD testing. We can provide insights to clinicians to facilitate personalized medicine for patients, as well as facilitate biopharma’s research and development efforts to develop the next-generation of targeted therapies. Our Northern Lights CLC system has been registered or approved for clinical use in the European Union and China and we plan to continue generating supporting publications and data, as well as pursue any required regulatory approvals for clinical use in the United States.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Market Opportunity and Industry Background</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b w:val="1"/>
          <w:bCs w:val="1"/>
          <w:i w:val="1"/>
          <w:iCs w:val="1"/>
          <w:color w:val="231F20"/>
        </w:rPr>
        <w:t xml:space="preserve">Our market opportunity. </w:t>
      </w:r>
      <w:r>
        <w:rPr>
          <w:rFonts w:ascii="Arial" w:cs="Arial" w:eastAsia="Arial" w:hAnsi="Arial"/>
          <w:sz w:val="17"/>
          <w:szCs w:val="17"/>
          <w:color w:val="231F20"/>
        </w:rPr>
        <w:t>Within the life sciences technology market, flow cytometry technologies currently provide solutions, including cell</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proliferation, cell counting, cell identification, cell quality control and single- cell applications, largely within the global cell analysis market. However, we believe that the enhanced capabilities of our FSP platform relative to conventional flow cytometry (“CFCs”), mass cytometry and early approaches to spectral flow cytometry enable us to capture an increasingly greater share of the total addressable market by accessing the entire cell analysis market, which according to industry sources is expected to grow from roughly $17 billion in 2022 to approximately $28 billion by 2027.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clinical research applications within immunotherapy, immuno-oncology, bio-processing, infectious diseases and immuno-deficiencies. In addition, the combination of our platform with complementary, downstream cell analysis technologies is expected to provide additional areas for new applications—for example, combining FSP technology with NGS has demonstrated an improved ability to predict leukemia relapse after therapy (such as MRD testing) and served to support the use of our technology within personalized medicine. As our FSP platform is further validated through the continued acceleration of peer-reviewed publications in new applications, we expect our total addressable market to expand.</w:t>
      </w:r>
    </w:p>
    <w:p>
      <w:pPr>
        <w:spacing w:after="0" w:line="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b w:val="1"/>
          <w:bCs w:val="1"/>
          <w:i w:val="1"/>
          <w:iCs w:val="1"/>
          <w:color w:val="231F20"/>
        </w:rPr>
        <w:t xml:space="preserve">Complementary technologies to FSP and multi-omics applications. </w:t>
      </w:r>
      <w:r>
        <w:rPr>
          <w:rFonts w:ascii="Arial" w:cs="Arial" w:eastAsia="Arial" w:hAnsi="Arial"/>
          <w:sz w:val="18"/>
          <w:szCs w:val="18"/>
          <w:color w:val="231F20"/>
        </w:rPr>
        <w:t>Since our FSP platform provides highly complex data down to single-cell</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resolution at a rapid speed, it is inherently well-suited to drive more targeted and efficient downstream analyses for other single-cell technologies, such as NGS, single-cell capture and sample preparation, high-resolution microscopy (such as mass imaging cytometry, super resolution microscopy, confocal microscopy and high-throughput screening platforms), and micro and optofluidic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231F20"/>
        </w:rPr>
        <w:t>systems. FSP is highly complementary to single-cell genomics applications utilizing NGS as it can be used earlier in workflows to rapidly phenotype and isolate living cell populations to the single-cell level with highly multiplexed proteomic data. These cells can then be transferred from our instrument into NGS systems to correlate proteomic and genomic expression, which in turn enables researchers to develop novel drug targets for therapeutics and clinicians to drive outcomes for patients through more informed treatment decision-making. For example, a peer-reviewed article published in the Biology of Blood and Marrow Transplantation journal recognized that combining multiparameter flow cytometry with NGS resulted in an improved ability to predict leukemia relapse after therapy, demonstrating strong potential utility in the large and growing market for MRD testing. With MRD, end users require high sensitivity and standardization, which makes our FSP technology ideal in addressing these challenges. According to a global MRD testing market report by BIS Research in December 2020, flow cytometry technology has the largest market share in MRD testing among relevant technologies, including NGS, polymerase chain reaction and others.</w:t>
      </w:r>
    </w:p>
    <w:p>
      <w:pPr>
        <w:spacing w:after="0" w:line="7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b w:val="1"/>
          <w:bCs w:val="1"/>
          <w:i w:val="1"/>
          <w:iCs w:val="1"/>
          <w:color w:val="231F20"/>
        </w:rPr>
        <w:t xml:space="preserve">Importance of cell analysis at the single-cell level. </w:t>
      </w:r>
      <w:r>
        <w:rPr>
          <w:rFonts w:ascii="Arial" w:cs="Arial" w:eastAsia="Arial" w:hAnsi="Arial"/>
          <w:sz w:val="18"/>
          <w:szCs w:val="18"/>
          <w:color w:val="231F20"/>
        </w:rPr>
        <w:t>Due to the heterogeneity within tissues, understanding cellular biology, particularly at the single-cell level, is necessary to unravel mechanisms that might otherwise not be detectable in bulk assays. Deep cellular analysis is a key application that we expect to enable a new age of healthcare delivery, and in particular, personalized medicine. The global healthcare market requires advanced cell analysis technologies to research therapeutic and diagnostic solutions to address emerging and chronic infectious diseases, an aging population with a myriad of chronic diseases, and the need for more effective and targeted therapeutics. These primary market forces, among others, will drive the direction for cell analysis applications that provide new possibilities for novel drug development and improved patient outcomes through enhanced disease detection, diagnosis, and treatment monitoring.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PRODUCTS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We are a leading cell analysis solutions provider that develops compact, cost-effective full spectrum profiling instruments with high multiplexing capability, and we offer a wide range of services to support scientists and clinicians. Our products are used in the world’s most renowned pharmaceutical and clinical research organizations, as well as premier academic and research institutions.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Aurora and Northern Lights Systems</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231F20"/>
        </w:rPr>
        <w:t>Our Aurora and Northern Lights systems were commercially launched in June 2017 and October 2018, respectively. Both instruments are highly flexible, intuitive, and ultra-sensitive full spectrum flow cytometers, utilizing state-of-the-art optics and low-noise electronics to provide excellent sensitivity and resolution, allowing researchers to resolve rare cell populations that were previously challenging to resolve. The optics and electronics designs, combined with flat-top beam profiles and a unique vacuum fluidics system, translate to outstanding performance from low to high sample flow rate, analyzing up to 35,000 events per second with certain configurations. Additionally, our optical design and unmixing algorithm make the instrument amenable to a wide array of applications and fluorochrome options, all without needing to reconfigure the instrument hardware as would otherwise be required on a CFC.</w:t>
      </w:r>
    </w:p>
    <w:p>
      <w:pPr>
        <w:spacing w:after="0" w:line="8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231F20"/>
        </w:rPr>
        <w:t>The Aurora system is available with three to five lasers and can detect more than 40 biomarkers in one sample tube. The Northern Lights system is available with one to three lasers and can detect more than 24 biomarkers in one sample tube. Both instruments are upgradeable based on the desired number of lasers, which drives greater or less access to biomarkers. In addition, both instruments incorporate our SpectroFlo® software, which offers an intuitive workflow from quality control to sample acquisition to data analysis, with technology- enabling tools that simplify running applications.</w:t>
      </w:r>
    </w:p>
    <w:p>
      <w:pPr>
        <w:spacing w:after="0" w:line="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Our Aurora and Northern Lights systems are used in the study of infectious diseases, immunology, immunotherapy, immuno-oncology, oncology, inflammation, and drug discovery.</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231F20"/>
        </w:rPr>
        <w:t>The Northern Lights CLC system was certified under the European Union In Vitro Diagnostic Medical Devices Directive ("IVDD") in September 2020 and is registered as an in vitro diagnostic medical device under Northern Lights Clinical Flow Cytometer. The certification enables the Northern Lights CLC system to be sold into in vitro diagnostic laboratories in the European Union and in other countries around the world that accept this specific certification. The Northern Lights CLC system is also certified for in vitro diagnostic use as a Class II device in China.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Aurora CS System</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Key to the discovery of unraveling cellular complexity is the ability to perform additional downstream genomic and proteomic studies on the specific subsets identified using high dimensional phenotyping approaches. Our Aurora CS was commercially launched in June 2021 and is the first highly flexible, intuitive and ultra-sensitive cell sorter that leverages the detection and sensitivity capabilities of our FSP technology to isolate living cell populations from lower to higher complexity panels beyond 40 biomarkers. Our FSP technology enables the processing of a tremendous amount of highly complex information to provide real- time unmixing and sorting capabilities at the field-programmable gate array level. The implications are significant in terms of flexibility and user experience, including experiment workflow transportability and assay reproducibility, enabling a 40-biomarker assay to be run in both the Aurora and the Aurora CS systems, with similar results. With our technology, users can first identify cell populations and then isolate the live cells for downstream studies, such as single-cell RNA sequencing, proteomics, and cell biology. We believe this new technology will enable users to gain a deeper level of cell classification, take advantage of key trends and scientific expansion, and allow for greater clinical research applications, such as with MRD, cell analysis and disease discovery.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firstLine="509"/>
        <w:spacing w:after="0" w:line="263" w:lineRule="auto"/>
        <w:rPr>
          <w:sz w:val="20"/>
          <w:szCs w:val="20"/>
          <w:color w:val="auto"/>
        </w:rPr>
      </w:pPr>
      <w:r>
        <w:rPr>
          <w:rFonts w:ascii="Arial" w:cs="Arial" w:eastAsia="Arial" w:hAnsi="Arial"/>
          <w:sz w:val="18"/>
          <w:szCs w:val="18"/>
          <w:color w:val="231F20"/>
        </w:rPr>
        <w:t>Unlike other high-capacity sorters, we believe the Aurora CS is the only cell sorter that can accommodate the same number of parameters with the same sensitivity as the Aurora system and isolate living cell populations of interest using the same panel and without having to alter the optical configuration, while also being able to sort panels designed for conventional analyzers.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Reagents and Kits</w:t>
      </w:r>
    </w:p>
    <w:p>
      <w:pPr>
        <w:spacing w:after="0" w:line="12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7"/>
          <w:szCs w:val="17"/>
          <w:color w:val="231F20"/>
        </w:rPr>
        <w:t>We also have launched our reagent products to provide additional options for researchers and clinical laboratories when choosing which biomarkers to run together in a panel, particularly since our Aurora, Northern Lights and Aurora CS systems allow for more fluorochromes to be run together than was previously commercially available. Our technology was able to inform our fluorochrome development through the identification of areas within the spectrum for which there were currently no available fluorochrome options. Our cFluor</w:t>
      </w:r>
      <w:r>
        <w:rPr>
          <w:rFonts w:ascii="Arial" w:cs="Arial" w:eastAsia="Arial" w:hAnsi="Arial"/>
          <w:sz w:val="23"/>
          <w:szCs w:val="23"/>
          <w:color w:val="231F20"/>
          <w:vertAlign w:val="superscript"/>
        </w:rPr>
        <w:t>®</w:t>
      </w:r>
      <w:r>
        <w:rPr>
          <w:rFonts w:ascii="Arial" w:cs="Arial" w:eastAsia="Arial" w:hAnsi="Arial"/>
          <w:sz w:val="17"/>
          <w:szCs w:val="17"/>
          <w:color w:val="231F20"/>
        </w:rPr>
        <w:t xml:space="preserve"> reagents are fluorochrome conjugated antibodies used to identify cells of interest for analysis on our instruments. We offer and continue to develop cFluor</w:t>
      </w:r>
      <w:r>
        <w:rPr>
          <w:rFonts w:ascii="Arial" w:cs="Arial" w:eastAsia="Arial" w:hAnsi="Arial"/>
          <w:sz w:val="23"/>
          <w:szCs w:val="23"/>
          <w:color w:val="231F20"/>
          <w:vertAlign w:val="superscript"/>
        </w:rPr>
        <w:t>®</w:t>
      </w:r>
      <w:r>
        <w:rPr>
          <w:rFonts w:ascii="Arial" w:cs="Arial" w:eastAsia="Arial" w:hAnsi="Arial"/>
          <w:sz w:val="17"/>
          <w:szCs w:val="17"/>
          <w:color w:val="231F20"/>
        </w:rPr>
        <w:t xml:space="preserve"> immunoprofiling kits, which include the cFluor reagents and tools necessary to simplify the workflow from sample preparation to data analysis.</w:t>
      </w:r>
    </w:p>
    <w:p>
      <w:pPr>
        <w:spacing w:after="0" w:line="8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231F20"/>
        </w:rPr>
        <w:t>We launched our 14-color immunoprofiling kit in December 2020, which is designed to distinguish different subsets of T, B and natural killer (“TBNK”) cells, and our 25-color immunoprofiling assay in October 2021 to provide a turnkey solution for identifying major human immune subpopulations for TBNK cells, monocytes, dendritic cells, and basophils – all of which play important roles in the innate and adaptive immune response in various diseases. We released a 13-color human B cell monitoring kit in December 2022 to provide a turnkey solution for identifying and enumerating B cell subsets in human whole blood and peripheral blood mononuclear cells, and in January 2023, we introduced the single-tube 20-color panel for identifying and characterizing normal and aberrant cells and evaluating MRD in acute myeloid leukemia samples. Most recently, in February 2022, we released our pan leukocyte kit, a lyse-no-wash assay designed to help researchers fully enumerate the complete set of major leukocyte subsets in drug discovery and development. These research use only (“RUO”) products are optimized for use with our Aurora and Northern Lights systems and designed to simplify the workflow and improve operational efficiency for our customers.</w:t>
      </w:r>
    </w:p>
    <w:p>
      <w:pPr>
        <w:spacing w:after="0" w:line="7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Our single-color reagents are registered as Class 1 with the China National Medical Products Administration (NMPA) and in the European Union under the IVDD. We are seeking Class 3 registration with the NMPA of our 6-color reagent cocktails that identify and determine the percentages and absolute counts of TBNK cells in peripheral blood. We expect these recent and planned reagent and application solutions to be a significant driver of our future reagent revenue and pull-through as our installed base of instruments grows.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 xml:space="preserve">To help accelerate our overarching goal to become a comprehensive solutions provider to our customers, we acquired the reagents business of </w:t>
      </w:r>
      <w:r>
        <w:rPr>
          <w:rFonts w:ascii="Arial" w:cs="Arial" w:eastAsia="Arial" w:hAnsi="Arial"/>
          <w:sz w:val="18"/>
          <w:szCs w:val="18"/>
          <w:color w:val="000000"/>
        </w:rPr>
        <w:t>Tonbo</w:t>
      </w:r>
      <w:r>
        <w:rPr>
          <w:rFonts w:ascii="Arial" w:cs="Arial" w:eastAsia="Arial" w:hAnsi="Arial"/>
          <w:sz w:val="18"/>
          <w:szCs w:val="18"/>
          <w:color w:val="231F20"/>
        </w:rPr>
        <w:t xml:space="preserve"> </w:t>
      </w:r>
      <w:r>
        <w:rPr>
          <w:rFonts w:ascii="Arial" w:cs="Arial" w:eastAsia="Arial" w:hAnsi="Arial"/>
          <w:sz w:val="18"/>
          <w:szCs w:val="18"/>
          <w:color w:val="000000"/>
        </w:rPr>
        <w:t xml:space="preserve">Biotechnologies Corporation </w:t>
      </w:r>
      <w:r>
        <w:rPr>
          <w:rFonts w:ascii="Arial" w:cs="Arial" w:eastAsia="Arial" w:hAnsi="Arial"/>
          <w:sz w:val="18"/>
          <w:szCs w:val="18"/>
          <w:color w:val="231F20"/>
        </w:rPr>
        <w:t>in November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Automated Micro-Sampling System and Automated Sample Loader System</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231F20"/>
        </w:rPr>
        <w:t>Our Automated Micro-Sampling (“AMS”) system and Automated Sample Loader (“ASL”) system were commercially launched in 2018 and 2021, respectively. The AMS and ASL systems are automated loaders designed to integrate seamlessly into the Aurora and Northern Lights systems, increasing sample throughput and adding automation capabilities to our FSP systems. The systems offer preset settings for ease of use, but also allow researchers to customize and fine-tune the systems for their unique experimental requirements. Their reliable 96-well plate acquisition solution increases productivity. The ASL adds additional compatibility with 96 deep-well plates 40-tube racks. Both systems have three throughput modes (high-throughput, default, low carryover) to meet changing customer priorities.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SpectroFlo® Software</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231F20"/>
        </w:rPr>
        <w:t>Our proprietary SpectroFlo software is integrated into our systems and is unique in that it offers intuitive workflows for handling full spectrum flow cytometry data, from quality control to data analysis. The software was developed specifically for our Aurora and Northern Lights systems to streamline instrument setup, automated quality control, data analysis and experiment exports. With the ability to import a previously designed experiment template, users are able to quickly set up their experiments and there is no need to re-enter the panel design, acquisition criteria, reagent information or data analysis worksheets. With our SpectroFlo software, users can conveniently and efficiently collect both raw and unmixed FCS 3.1 files, which can be used to live unmix samples and extract autofluorescence that would otherwise negative impact data resolution.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Customer Support Tools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231F20"/>
        </w:rPr>
        <w:t>We strive to continually innovate by developing new quantitative tools, which are integrated into our software or available to our customers on our website, to enable users to independently create high- color panels for use with our systems, to support efficient workflow solutions and to provide an intuitive user experience. As fluorochrome (color) selection is a key component of assay development and optimization, our full spectrum viewer is a unique tool capable of displaying the full emission spectrum of a fluorochrome (emission at different wavelengths post-excitation with multiple lasers). Our FSP technology provides an in-depth understanding of the fluorescence emission characteristics of nearly every color available in the market and our full spectrum viewer provides users with comprehensive information regarding emission characteristics of the fluorochromes to optimize fluorochrome selection for assay development. As a complementary tool to our full spectrum viewer, we have developed the Similarity and the Complexity indices, which provide unique metrics for assessing fluorochrome compatibility within a panel. The Similarity index compares the emission spectrum of two dyes, identifying whether the dyes have unique characteristics or if the dyes are identical, which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231F20"/>
        </w:rPr>
        <w:t>determines whether they can be used together to analyze a sample in a flow cytometry assay. The Complexity index is a metric that predicts how well a panel of colors will work in combination to minimize loss of resolution and sensitivity. Additionally, we recently launched Cytek Cloud, a digital ecosystem that supports full spectrum flow cytometry research from panel design to data acquisition, seamlessly integrating with our SpectroFlo software. Cytek Cloud features two integrated online tools, Panel Builder and Experiment Builder, to streamline experiment workflow on our Aurora, Northern Lights and Aurora CS systems. Panel Builder enables users to quickly visualize, compare, and optimize their fluorochrome selections with multiple spectral panel design tools, allowing them to build their panels in a simple and organized interface. Experiment Builder allows users to set up their experiments in advance to make efficient use of their time on the instrument.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DxP Athena</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231F20"/>
        </w:rPr>
        <w:t>Our DxP Athena conventional flow cytometry system commercially launched in 2016 and is currently available for sale only in China. It is certified for clinical use by China NMPA. The DxP Athena system incorporates DxP technology with efficient PMTs to enable high sensitivity and high resolution and our proprietary QbSure software to ensure optimal daily instrument performance. The system is available in multiple configurations with one to three lasers and up to 13 fluorescence detection channels. The automated monthly clean bleach cycle minimizes downtime, streamlines maintenance and encourages compliance.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CROs, pharmaceutical and biotechnology companies and clinical laboratories focused on single-cell analysis.</w:t>
      </w:r>
    </w:p>
    <w:p>
      <w:pPr>
        <w:spacing w:after="0" w:line="7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231F20"/>
        </w:rPr>
        <w:t>Our sales process often involves interactions and demonstrations with multiple people within an organization. Some potential customers conduct in-depth evaluations of the system, including running experiments on our system and competing systems. In addition, in many countries outside of North America, sales to academic or governmental institutions require participation in a tender process involving preparation of extensive documentation and a lengthy review process. As a result of these factors and the budget cycles of our customers, the sales cycle on our instrument, the time from initial contact with a customer to our receipt of a purchase order, can be six months or longer.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MANUFACTURING AND SUPPLY</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231F20"/>
        </w:rPr>
        <w:t>Our manufacturing operations are located in Fremont and San Diego, California and Wuxi, China. We commenced manufacturing operations in Fremont, California in 2015. Our Fremont facility maintains ISO 9001 certification and manufactures our Aurora and Aurora CS systems, as well as our reagents and spare parts. Our Wuxi manufacturing facility commenced operations in 2017 and maintains ISO 9001 and ISO 13485 certification. Our Wuxi facility manufactures our Northern Lights and Athena instruments, reagents and spare parts and delivers certain instruments to our Fremont facilities for final assembly and testing. Our instruments and reagents for clinical use are currently manufactured only in our Wuxi facility.</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231F20"/>
        </w:rPr>
        <w:t>We established the manufacturing facility in Wuxi, China to take advantage of the skilled workforce, supplier and partner network, lower operating costs and available government support. We are able to hire skilled employees from China’s existing in vitro diagnostic and optical product industry. China also has a broad network of potential suppliers and partners for our manufacturing operations and we are able to locally source a large portion of the raw materials required for our manufacturing processes. We have received incentive grants from the local Wuxi government for research, development, and manufacturing.</w:t>
      </w:r>
    </w:p>
    <w:p>
      <w:pPr>
        <w:spacing w:after="0" w:line="80"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231F20"/>
        </w:rPr>
        <w:t>We believe that having dual sources for our core products would help mitigate the potential impact of a production disruption at any one of our facilities to ensure a reliable and stable supply chain and product availability for our customers. We relocated our Fremont headquarters and manufacturing facility in October 2021 to provide us with capacity expansion capability that would be sufficient to support our growth. We expect that our existing manufacturing capacity for instrumentation and reagents will be sufficient to meet our anticipated needs for at least the next several years.</w:t>
      </w:r>
    </w:p>
    <w:p>
      <w:pPr>
        <w:spacing w:after="0" w:line="4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231F20"/>
        </w:rPr>
        <w:t>We rely on a limited number of suppliers for certain components and materials used in our systems. Key components in our products that are supplied by sole or limited source suppliers include certain lasers, semiconductors and mechanical components that are used in our optical, electrical and fluidic subassemblies. While we are in the process of qualifying additional sources of supply, qualifications can take 12 to 24 months and, in some cases, longer. If we were to lose one or more of our sole or limited source suppliers, it would take significant time and effort to qualify alternative suppliers.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12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231F20"/>
        </w:rPr>
        <w:t>We face significant competition from within the cell analysis and life sciences tools market. We currently compete with established and early stage life sciences and in vitro diagnostics (“IVD”) companies developing or commercializing flow cytometry instruments and consumables, as well as other companies that design, manufacture and market instruments, consumables, reagent kits and software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231F20"/>
        </w:rPr>
        <w:t>for, among other applications, cell analysis, immunophenotyping, cell sorting and/or provide services related to the same. Our direct competitors include Agilent Technologies, Beckman Coulter (Danaher Corporation), Becton, Dickinson and Company, Bio-Rad Laboratories, Standard BioTools, Miltenyi Biotec, Sony Biotechnology (Sony Corporation) and Thermo Fisher Scientific. Our target customers may also elect to develop their workflows on CFCs, or using traditional methods, rather than implementing our platform or existing customers may decide to stop using our platform. In addition, there are many large, established companies in the life sciences tools market that we do not currently compete with but that could develop instruments, tools or other products that will compete with us in the future. These companies have substantially greater financial and other resources than us, including larger research and development, quality and regulatory staff or more established marketing and sales forces.</w:t>
      </w:r>
    </w:p>
    <w:p>
      <w:pPr>
        <w:spacing w:after="0" w:line="6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For further discussion of the risks we face relating to competition, see the section titled “Risk factors— Risks Related to Our Business and Strategy —The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12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231F20"/>
        </w:rPr>
        <w:t>Our commercial success depends in part on our ability to obtain and maintain patent and other proprietary protection for our commercially important technology, inventions and know-how; to defend and enforce our parents; to operate without infringing, misappropriating or violating our proprietary rights. We have developed our own portfolio of issued patents and patent applications directed at our core and system level technology, including claims directed to methods and apparatus of flow cytometers and cell sorters with excitation, fluidics, emission, mechanical, magnetic, electronics, bio-safety and temperature control technology in configurations of our Aurora, Aurora CS, Northern Lights and Northern Lights CLC systems. We generally seek patent protection in the United States, Japan, China and selected countries of the European Union, such as France, Germany and the United Kingdom. Notwithstanding these efforts, we cannot be sure that patents will be granted with respect to any patent applications we have filed or may license or file in the future, and we cannot be sure that any patents we own or license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“Risk Factors—Risks Related to Our Intellectual Property.”</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231F20"/>
        </w:rPr>
        <w:t>As of December 31, 2022, we own 12 issued U.S. utility patents, two issued Japan utility patents, one issued European utility patent and one issued China utility patent. We have 42 pending utility patent applications, including 25 utility patent applications in the United States, five utility patent applications in the European Union, five utility patent applications in China and three utility patent applications in Japan.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December 31, 2022, our Shanghai subsidiary owns 15 issued utility patents and one issued invention patent and has ten pending invention patent applications and one pending utility patent application, and our Wuxi subsidiary owns 36 issued patents and has eight pending patent applications, including nine pending utility patent applications and seven pending invention patent applications.</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231F20"/>
        </w:rPr>
        <w:t>To our knowledge, there are no third party claims or contested proceedings with the issued patents or pending patent applications other than the ordinary course proceedings with pending patent applications before the respective patent offices. However, 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Furthermore, numerous U.S. and foreign-issued patents and patent applications owned by third parties exist in the fields in which our products compete. Because patent applications can take many years to publish, there may be applications unknown to us, which may result in issued patents that our existing or future products or technologies may be alleged to infringe.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231F20"/>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509"/>
        <w:spacing w:after="0" w:line="270" w:lineRule="auto"/>
        <w:rPr>
          <w:sz w:val="20"/>
          <w:szCs w:val="20"/>
          <w:color w:val="auto"/>
        </w:rPr>
      </w:pPr>
      <w:r>
        <w:rPr>
          <w:rFonts w:ascii="Arial" w:cs="Arial" w:eastAsia="Arial" w:hAnsi="Arial"/>
          <w:sz w:val="17"/>
          <w:szCs w:val="17"/>
          <w:color w:val="231F20"/>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and there has been substantial litigation regarding patent and other intellectual property rights in the medical device industry. In addition, our competitors and others may have patents or may in the future obtain patents and claim that use of our products infringes these patents. We could incur substantial costs and divert the attention of our management and technical personnel in defending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obtain one or more licenses from third parties, or be prohibited from selling certain products. We may not be able to obtain these licenses at a reasonable cost, if at all.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AGREEMENTS, LICENSES AND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Biotium, Inc. Supply and License Agreement</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On September 1, 2020, we entered into a Supply and License Agreement with Biotium, Inc. (“Biotium”) pursuant to which Biotium agreed to supply, and we obtained a worldwide, non-exclusive license to market and resell to our customers and distributors, certain Biotium products to conjugate proteins and/or antibodies and to use such conjugates as a component in our cFluor reagent products, for research and analyte specific reagents (as defined by 21 CFR 864.4020) use only (the “Field of Use”) (the “Biotium Agreement”). In consideration for such rights, we paid Biotium an upfront fee of $20,000 and will pay Biotium royalties at a mid-to-high single digit percentage rate on worldwide net sales on licensed products within the Field of Use. The Biotium Agreement terminates on the expiration of the last to expire of the valid claims of the Biotium patents subject to the Biotium Agreement. Either party may terminate the Biotium Agreement for the other party’s bankruptcy or uncured material breach or if no Biotium product is purchased for an extended period; however, if such termination is by Biotium, we will have the opportunity to make a purchase following written notice from Biotium to avoid such termination. Our license under the Biotium Agreement does not include diagnostic use, which may be added through an amendment and additional payment to Biotium.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Becton, Dickinson and Company Settlement, License and Equity Issuance Agreement</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On February 13, 2018, BD filed a lawsuit against us alleging trade secret misappropriation and copyright infringement. On October 6, 2020, we entered into a Settlement, License and Equity Issuance Agreement with BD pursuant to which we and BD agreed to a mutual release of all claims against each other as of the date thereof (the “BD Agreement”). As part of the settlement, BD granted us a non-exclusive, irrevocable, perpetual, worldwide, and non-transferrable license to certain BD patents and covenanted that it would not enforce, or permit or encourage the enforcement of BD patents against us or our affiliates in connection with the development, manufacture, use, importation, offer for sale or sale of our then-current instruments. In exchange, we agreed that we and our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our products, (iii) a $6.0 million milestone payment upon the occurrence of a certain sales threshold, and (iv) a specified payment upon the closing of a change of control transaction, if any. We also issued 2,087,545 shares of our common stock to BD during the year ended December 31, 2020 in connection with the BD settlement.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Coherent NA, Inc. Supply Agreement</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231F20"/>
        </w:rPr>
        <w:t>On August 25, 2021, we and Cytek (Wuxi) Biosciences Co., Ltd, our Wuxi, China subsidiary, entered into a Supply Agreement (the “Coherent Agreement”) with Coherent NA, Inc. (“Coherent”) pursuant to which Coherent agreed to sell and supply to us, on a non-exclusive basis, laser products manufactured by Coherent. We provide Coherent with rolling forecasts of our anticipated orders, which are non-binding. We do not have a minimum purchase obligation pursuant to the Coherent Agreement. The Coherent Agreement has an initial term of three years and will automatically renew for a subsequent one-year period unless either party provides written notice of non-renewal at least four (4) months prior to the expiration of the initial term. The Coherent Agreement may be terminated prior to the end of its term upon the occurrence of certain specified events.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CAPITAL RESOURCES</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231F20"/>
        </w:rPr>
        <w:t>We are focused on developing innovative products to meet unmet market needs and maintaining a diverse and inclusive work environment where employees are respected and encouraged to share their unique perspectives and ideas. As of December 31, 2022, we had 583 employees, including 162 employees in research and development, 134 employees in sales and marketing, 223 employees in manufacturing and operations, and 64 employees in general and administrative. We believe that the success of our business will depend, in part, on our ability to attract and retain qualified personnel. Our employees are neither represented by a labor union nor party to a collective bargaining agreement and we believe that we have strong employee relations.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Culture and Values</w:t>
      </w:r>
    </w:p>
    <w:p>
      <w:pPr>
        <w:spacing w:after="0" w:line="12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231F20"/>
        </w:rPr>
        <w:t>We seek to maintain high ethical standards and a culture that values honesty, integrity, accountability and transparency in all that we do. We are committed to our employees and to the communities we serve worldwide. It is our philosophy to foster open communication and our employees are encouraged to provide input on ways to improve our business strategy and tactics, work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231F20"/>
        </w:rPr>
        <w:t>environment and organization. We believe that our ability to provide employees with a dynamic environment and professional growth opportunities drives a culture embedded in our values.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Business Ethics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We are committed to conducting our business activities with employees, consultants, vendors, customers, communities and stockholders with integrity and fairness and in accordance with the highest ethical standards. We believe that our conduct has a direct impact on our reputation, our brand and our stakeholders. We are focused on ensuring that our legal, compliance and risk mitigation protocols further enhance our ability to comport ourselves with the highest levels of ethical standards.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Talent Attraction, Retention and Engagement</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231F20"/>
        </w:rPr>
        <w:t>By focusing on individual performance, as well as teamwork and collaboration, we believe that we foster an environment that helps employees excel as individuals and as team members. To further engage and incentivize our workforce, we offer programs and avenues for support, motivation and professional development. For example, we utilize both instructor-led training and online learning to deliver proprietary, targeted training courses designed to position our commercial organization as the leading cell analysis solutions provider. For our talent pipeline development, we work closely with individual business functions to provide training and hands-on support for managers and leaders.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Philosophy</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We strive to provide comprehensive compensation, including cash, equity, benefits and services that attract, motivate and retain exceptional employees. Compensation is driven by local market conditions, internal equity and employee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Health and Wellness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We offer a comprehensive package including: 401(k) plan with a company-match component, medical, dental and vision insurance, life insurance, short-and long-term disability insurance, 18 paid vacation days per year or flexible time off (depending on employee level), paid days for illness and family emergencies, and health savings and flexible spending accounts.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 AND PRODUCT APPROVAL</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231F20"/>
        </w:rPr>
        <w:t>Our Northern Lights CLC system has been approved for clinical use in the European Union and China and we plan to continue generating supporting publications and data, as well as pursue any required regulatory approvals for clinical use in the United States. In the United States, our products are currently labeled and promoted, and are, and in the near-future are expected to continue to be, sold primarily to academic and research institutions and biopharmaceutical companies as RUO products, and are not currently designed, or intended to be used, for clinical diagnostic tests. However, as we continue to expand our product lines and the applications and uses of our existing products into new fields, certain of our current or future products could become subject to regulation by the United States Food and Drug Administration (the “FDA”) or comparable international agencies, including requirements for regulatory clearance, authorization or approval of such products before they can be marketed. Also, even if our products are labeled, promoted and intended as RUO, the FDA or comparable international agencies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laboratory-developed tests (“LDT”) for clinical diagnostic use, which could subject our products to government regulation, even if clinical uses of our RUO products by our customers were done without our consent.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FDA Regulation of Medical Devices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FDA and other U.S. and foreign governmental agencies regulate, among other things, with respect to medical devices:</w:t>
      </w:r>
    </w:p>
    <w:p>
      <w:pPr>
        <w:spacing w:after="0" w:line="11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product safety;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pre-market clearance and approval;</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record keeping procedures;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advertising and promotion;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recalls and field safety corrective 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1020" w:hanging="503"/>
        <w:spacing w:after="0" w:line="277" w:lineRule="auto"/>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product import and export.</w:t>
      </w:r>
    </w:p>
    <w:p>
      <w:pPr>
        <w:spacing w:after="0" w:line="33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231F20"/>
        </w:rPr>
        <w:t>In the United States, numerous laws and regulations govern all the processes by which medical devices are brought to market and marketed. These include the FDCA and the FDA’s implementing regulations, among others.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FDA Pre-market Clearance and Approval Requirements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Each medical device we seek to commercially distribute in the United States must first receive 510(k) clearance, de novo classification, or approval of a pre-market approval (PMA) application, from the FDA, unless specifically exempted. Both the 510(k) clearance and PMA processes can be resource intensive, expensive and lengthy, and require payment of significant user fees, unless an exemption is available.</w:t>
      </w:r>
    </w:p>
    <w:p>
      <w:pPr>
        <w:spacing w:after="0" w:line="29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231F20"/>
        </w:rPr>
        <w:t>The FDA classifies all medical devices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additional conditions set forth in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are placed in Class III, requiring approval of a PMA application. Some pre-amendment devices are unclassified, but are subject to the FDA’s pre-market notification and clearance process in order to be commercially distributed.</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products are expected to be classified as Class II devices.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510(k) Clearance Process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231F20"/>
        </w:rPr>
        <w:t>To obtain 510(k) clearance, we must submit a pre-market notification to the FDA demonstrating that the proposed device is substantially equivalent to a previously-cleared 510(k) device, a device that was in commercial distribution before May 28, 1976 for which the FDA has not yet called for the submission of PMA applications, or is a device that has been reclassified from Class III to either Class II or I. In rare cases, Class III devices may be cleared through the 510(k) process. The FDA’s 510(k) clearance process usually takes from three to 12 months from the date the application is submitted and filed with the FDA, but may take significantly longer, particularly for a novel type of product.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spacing w:after="0" w:line="5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231F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 Once a de novo application is reviewed and approved, it results in the device having a Class II status and future devices from the company or a competitor may use the company’s de novo-classified device as a 510(k) predicate.</w:t>
      </w:r>
    </w:p>
    <w:p>
      <w:pPr>
        <w:spacing w:after="0" w:line="8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231F20"/>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Under these circumstances, the FDA may also subject a manufacturer to significant regulatory fines or other penalties.</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231F20"/>
        </w:rPr>
        <w:t>De Novo Classification Process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Pre-Market Approval Process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and clinical trials, as well as manufacturing and labeling data to demonstrate to the FDA’s satisfaction the safety and effectiveness of the device.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Research Use Only</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231F20"/>
        </w:rPr>
        <w:t>Our products and operations may be subject to extensive and rigorous regulation by the FDA and other federal, state, or local authorities, as well as foreign regulatory authorities. Certain of our products are currently marketed as RUO. An RUO product is one that is not intended for clinical diagnostic use and must be labeled “For Research Use Only. Not for use in diagnostic procedures.” RUO products cannot make any claims related to safety, effectiveness or diagnostic utility and they cannot be intended for human clinical diagnostic use. Products that are intended for research use only and are properly labeled as RUO are exempt from compliance with the FDA requirements discussed above, including the approval or clearance and most QSR requirements. A product labeled RUO but intended to be used diagnostically may be viewed by the FDA as adulterated and misbranded under the FDC Act and is subject to FDA enforcement activities. The FDA may consider the totality of the circumstances surrounding distribution and use of an RUO product, including how the product is marketed, when determining its intended use. In November 2013 the FDA issued a guidance document entitled “Distribution of In Vitro Diagnostic Products Labeled for Research Use Only or Investigational Use Only” (RUO Guidance) which highlights the FDA’s interpretation that distribution of RUO products with any labeling, advertising or promotion that suggests that clinical laboratories can validate the test through their own procedures and subsequently offer it for clinical diagnostic use as a laboratory developed test is in conflict with RUO status. The RUO Guidance further articulates the FDA’s position that any assistance offered in performing clinical validation or verification, or similar specialized technical support, to clinical laboratories, conflicts with RUO status. If the FDA were to determine, based on the totality of circumstances, that our products labeled and marketed for RUO are intended for diagnostic purposes, they would be considered medical products that will require clearance or approval prior to commercialization.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Laboratory-developed tests (LDTs)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LDTs have generally been considered to be tests that are designed, developed, validated and used within a single laboratory. The FDA takes the position that it has the authority to regulate such tests as medical devices under the FDC Act. The FDA has historically exercised enforcement discretion and has not required clearance or approval of LDTs prior to marketing.</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231F20"/>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6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231F20"/>
        </w:rPr>
        <w:t>The FDA’s efforts to regulate LDTs have prompted the drafting of legislation governing diagnostic products and services that sought to substantially revamp the regulation of both LDTs and IVDs. Congress may act to provide further direction to the FDA on the regulation of LDTs.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Pervasive and Continuing U.S. Food and Drug Administration Regulation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After a medical device is placed on the market, numerous FDA regulatory requirements apply, including, but not limited to the following:</w:t>
      </w:r>
    </w:p>
    <w:p>
      <w:pPr>
        <w:spacing w:after="0" w:line="129" w:lineRule="exact"/>
        <w:rPr>
          <w:sz w:val="20"/>
          <w:szCs w:val="20"/>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QSR, which requires manufacturers to follow design, testing, control, documentation and other quality assurance procedures during the manufacturing process;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left="102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establishment registration, which requires establishments involved in the production and distribution of medical devices, intended for commercial distribution in the United States, to register with the FDA;</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medical device listing, which requires manufacturers to list the devices they have in commercial distribution with the FDA;</w:t>
      </w:r>
    </w:p>
    <w:p>
      <w:pPr>
        <w:spacing w:after="0" w:line="117"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5"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5"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complying with the new federal law and regulations requiring Unique Device Identifiers (UDI) on devices and also requiring the submission of certain information about each device to the FDA’s Global Unique Device Identification Database;</w:t>
      </w:r>
    </w:p>
    <w:p>
      <w:pPr>
        <w:spacing w:after="0" w:line="62"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w:t>
      </w:r>
    </w:p>
    <w:p>
      <w:pPr>
        <w:spacing w:after="0" w:line="62"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labeling regulations, which prohibit “misbranded” devices from entering the market, as well as prohibit the promotion of products for unapproved or “off-label” uses and impose other restrictions on labeling; and</w:t>
      </w:r>
    </w:p>
    <w:p>
      <w:pPr>
        <w:spacing w:after="0" w:line="62"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post-market surveillance including Medical Device Reporting, which requires manufacturers report to the FDA if their device may have caused or contributed to a death or serious injury, or malfunctioned in a way that would likely cause or contribute to a death or serious injury if it were to recur.</w:t>
      </w:r>
    </w:p>
    <w:p>
      <w:pPr>
        <w:spacing w:after="0" w:line="7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231F20"/>
        </w:rPr>
        <w:t>The FDA enforces these requirements by inspection and market surveillance. Failure to comply with applicable regulatory requirements may result in enforcement action by the FDA, which may include one or more of the following sanctions:</w:t>
      </w:r>
    </w:p>
    <w:p>
      <w:pPr>
        <w:spacing w:after="0" w:line="6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untitled letters or warning letters;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customer notifications for repair, replacement or refunds;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fines, injunctions, consent decrees and civil penalties;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mandatory recall or seizure of our products;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administrative detention or banning of our products;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operating restrictions, partial suspension or total shutdown of production;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refusing our request for 510(k) clearance or PMA of new product versions;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revocation of 510(k) clearance or PMAs previously granted;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criminal prosecution and penalties.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Foreign Government Regulation</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231F20"/>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European Union</w:t>
      </w:r>
    </w:p>
    <w:p>
      <w:pPr>
        <w:spacing w:after="0" w:line="121"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231F20"/>
        </w:rPr>
        <w:t>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Medical Devices Regulation will among other things:</w:t>
      </w:r>
    </w:p>
    <w:p>
      <w:pPr>
        <w:spacing w:after="0" w:line="11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8"/>
          <w:szCs w:val="18"/>
          <w:color w:val="231F20"/>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improve the traceability of medical devices throughout the supply chain to the end user or patient through a unique identification number;</w:t>
      </w:r>
    </w:p>
    <w:p>
      <w:pPr>
        <w:spacing w:after="0" w:line="140" w:lineRule="exact"/>
        <w:rPr>
          <w:rFonts w:ascii="Arial" w:cs="Arial" w:eastAsia="Arial" w:hAnsi="Arial"/>
          <w:sz w:val="16"/>
          <w:szCs w:val="16"/>
          <w:color w:val="231F20"/>
        </w:rPr>
      </w:pPr>
    </w:p>
    <w:p>
      <w:pPr>
        <w:ind w:left="1020" w:hanging="503"/>
        <w:spacing w:after="0" w:line="277" w:lineRule="auto"/>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231F20"/>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Healthcare Laws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Our current and future business activities are subject to healthcare regulation and enforcement by the federal government and the states and foreign governments in which we conduct our business. These laws include, without limitation, state and federal anti-kickback, fraud and abuse, false claims and physician sunshine laws and regulations.</w:t>
      </w:r>
    </w:p>
    <w:p>
      <w:pPr>
        <w:spacing w:after="0" w:line="7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231F20"/>
        </w:rPr>
        <w:t>The federal Anti-Kickback Statute prohibits, among other things, any person from knowingly and willfully offering, soliciting, receiving or providing remuneration, directly or indirectly, overtly or covertly, in cash or in kind, to induce either the referral of an individual, for an item or service or the purchasing, leasing, ordering, or arranging for or recommending the purchase, lease or order of any good, facility, item or service, for which payment may be made, in whole or in part, under federal healthcare programs such as the Medicare and Medicaid programs.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this statute or specific intent to violate it to have committed a violation.</w:t>
      </w:r>
    </w:p>
    <w:p>
      <w:pPr>
        <w:spacing w:after="0" w:line="6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231F20"/>
        </w:rPr>
        <w:t>Additionally, the civil False Claims Act prohibits, among other things, knowingly presenting or causing the presentation of a false or fraudulent claim for payment to, or approval by, the U.S.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The federal government is using the False Claims Act, and the accompanying threat of significant liability, in its investigation and prosecution of life sciences companies throughout the country, for example, in connection with the promotion of products for unapproved uses and other sales and marketing practices. In addition, the government may assert that a claim including items or services resulting from a violation of the federal Anti-Kickback Statute constitutes a false or fraudulent claim for purposes of the civil False Claims Act.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231F20"/>
        </w:rPr>
        <w:t>continue to devote substantial resources to investigating healthcare providers’ and manufacturers’ compliance with applicable fraud and abuse laws.</w:t>
      </w:r>
    </w:p>
    <w:p>
      <w:pPr>
        <w:spacing w:after="0" w:line="129"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231F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The majority of states also have anti-kickback laws which establish similar prohibitions and, in some cases, may apply to items or services reimbursed by any third-party payor, including commercial insurers.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231F20"/>
        </w:rPr>
        <w:t>HIPAA created new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no longer needs to have actual knowledge of the statute or specific intent to violate it to have committed a violation.</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231F20"/>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future operations are found to be in violation of any of such laws or any other governmental regulations that apply to us, we may be subject to significant penalties, including, without limitation, civil and criminal penalties, damages, fines, the curtailment or restructuring of our operations, exclusion from participation in federal and state healthcare programs and imprisonment.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 Foreign Corrupt Practices Act</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The U.S. Foreign Corrupt Practices Act, or FCPA, prohibits U.S. corporations and their representatives from directly or indirectly offering, promising, authorizing or making corrupt payments, gifts or transfers to any foreign government official, government staff member, political party or political candidate in an attempt to obtain or retain business. The scope of the FCPA would include interactions with certain healthcare professionals in many countries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2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231F20"/>
        </w:rPr>
        <w:t>Our research and development and manufacturing processes involve the controlled use of hazardous materials, including flammables, toxics, corrosives and biologics. Our research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FCI Acquisition</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231F20"/>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CellStream-, Guava- and Muse-branded instruments, and flow cytometry reagent products and services (the “FCI Business”), for a purchase price of approximately $46.5 million in cash pursuant to an Asset Purchase Agreement between us and Luminex dated February 13, 2023. In connection with the FCI Acquisition, Luminex will provide certain transition services and manufacture and supply certain components, materials and finished products relating to the FCI Business for a period of up to six months following the closing.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FCI Business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The acquired FCI Business includes conventional flow and image-based flow cytometry instrumentation and related products and services, including the Amnis and Guava product lines (the “FCI Products”). Over 7,000 Amnis and Guava systems have been sold and deployed in academic and industry laboratories worldwide, with more than 1,500 active customers in more than 70 countries. We expect to hire all or substantially all of the employees of the FCI Business in connection with or following the FCI Acquisition.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231F20"/>
        </w:rPr>
        <w:t>FCI Products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Amnis Product Line</w:t>
      </w:r>
    </w:p>
    <w:p>
      <w:pPr>
        <w:spacing w:after="0" w:line="33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231F20"/>
        </w:rPr>
        <w:t>The Amnis imaging flow cytometers combine the speed, sensitivity, and phenotyping abilities of flow cytometry with high resolution images and functional insights of microscopy. Amnis instruments and applications are important tools in the investigation of cell morphology, intracellular translocation and cell-cell interaction in a variety of research areas, including immunology, neurobiology, stem cell research and cell biology.</w:t>
      </w:r>
    </w:p>
    <w:p>
      <w:pPr>
        <w:spacing w:after="0" w:line="27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231F20"/>
        </w:rPr>
        <w:t>The ImageStream imaging flow cytometer offers the highest image resolution and includes multiple configurations to fit specific research needs. The FlowSight imaging flow cytometer is a compact, cost-effective instrument that enables a broad range of applications. The CellStream flow cytometer does not have imaging capabilities but is a highly customizable instrument with exceptional sensitivity for studying small particles. The Amnis product line also includes the AI-enabled IDEAS Image Analysis Software, which allows for computer aided tagging of unique cell populations and the classification of cell clusters based on deep neuronal network models, and Amnis-specific cell imaging reagent kits that have been optimized for important cell pathway and drug discovery applications.</w:t>
      </w:r>
    </w:p>
    <w:p>
      <w:pPr>
        <w:spacing w:after="0" w:line="30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The Amnis systems are manufactured at a facility in Seattle, Washington comprised of approximately 27,000 square feet under a lease agreement that expires in November 2023. We assumed the Seattle, Washington lease in connection with the FCI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Guava Product Line</w:t>
      </w:r>
    </w:p>
    <w:p>
      <w:pPr>
        <w:spacing w:after="0" w:line="33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The Guava product line includes cost-effective, entry-level flow cytometers with microcapillary-based fluidics for cell analysis. The Guava microcapillary-based flow cytometers are mainly adopted by entry to mid-range flow cytometry users who are looking for easy-to-use and cost-effective solutions for applications such as cell counting, cell biology and lower-plex immunophenotyping.</w:t>
      </w:r>
    </w:p>
    <w:p>
      <w:pPr>
        <w:spacing w:after="0" w:line="2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The easyCyte flow cytometer is a highly dynamic benchtop system with great sensitivity and optional high-throughput capabilities powered by intuitive software. The Muse cell analyzer is a compact, easy-to-use benchtop device with a user-friendly touchscreen interface and intuitive cell analysis software. The Guava product line also includes optimized kits and reagents.</w:t>
      </w:r>
    </w:p>
    <w:p>
      <w:pPr>
        <w:spacing w:after="0" w:line="2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31F20"/>
        </w:rPr>
        <w:t>The Guava systems are manufactured at the Luminex-operated facility in Austin, Texas. Luminex will manufacture and supply certain components, materials and finished products relating to the FCI Business for a period of up to six months following the closing.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INFORMATION</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231F20"/>
        </w:rPr>
        <w:t>We were incorporated under the laws of the state of Delaware in December 2014 under the name Cytoville, Inc. In August 2015, we changed our name to Cytek Biosciences, Inc. Our principal executive offices are located at 47215 Lakeview Blvd., Fremont, California 94538. Our telephone number is</w:t>
      </w:r>
    </w:p>
    <w:p>
      <w:pPr>
        <w:ind w:firstLine="8"/>
        <w:spacing w:after="0" w:line="323" w:lineRule="auto"/>
        <w:tabs>
          <w:tab w:leader="none" w:pos="435"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922-9835. Our website is www.cytekbio.com.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AVAILABLE INFORMATION</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231F20"/>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www.investors.cytekbio.com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left="2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Annual Report on Form 10-K.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80" w:lineRule="exact"/>
        <w:rPr>
          <w:sz w:val="20"/>
          <w:szCs w:val="20"/>
          <w:color w:val="auto"/>
        </w:rPr>
      </w:pPr>
    </w:p>
    <w:p>
      <w:pPr>
        <w:ind w:left="1020" w:right="2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rFonts w:ascii="Arial" w:cs="Arial" w:eastAsia="Arial" w:hAnsi="Arial"/>
          <w:sz w:val="17"/>
          <w:szCs w:val="17"/>
          <w:color w:val="auto"/>
        </w:rPr>
      </w:pPr>
    </w:p>
    <w:p>
      <w:pPr>
        <w:jc w:val="both"/>
        <w:ind w:left="1020" w:hanging="503"/>
        <w:spacing w:after="0" w:line="31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40"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results of operations will be harmed if we are unable to accurately forecast customer demand for our products and manage our inventory.</w:t>
      </w:r>
    </w:p>
    <w:p>
      <w:pPr>
        <w:spacing w:after="0" w:line="140" w:lineRule="exact"/>
        <w:rPr>
          <w:rFonts w:ascii="Arial" w:cs="Arial" w:eastAsia="Arial" w:hAnsi="Arial"/>
          <w:sz w:val="16"/>
          <w:szCs w:val="16"/>
          <w:color w:val="auto"/>
        </w:rPr>
      </w:pPr>
    </w:p>
    <w:p>
      <w:pPr>
        <w:jc w:val="both"/>
        <w:ind w:left="1020" w:hanging="503"/>
        <w:spacing w:after="0" w:line="279"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63"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75"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8"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December 31, 2022, our executive officers, directors, holders of 5% or more of our common stock and their respective affiliates, in the aggregate, own approximately 45.2% of our common stock. These stockholders, acting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0" w:name="page21"/>
    <w:bookmarkEnd w:id="20"/>
    <w:p>
      <w:pPr>
        <w:ind w:left="1020"/>
        <w:spacing w:after="0" w:line="277" w:lineRule="auto"/>
        <w:rPr>
          <w:sz w:val="20"/>
          <w:szCs w:val="20"/>
          <w:color w:val="auto"/>
        </w:rPr>
      </w:pPr>
      <w:r>
        <w:rPr>
          <w:rFonts w:ascii="Arial" w:cs="Arial" w:eastAsia="Arial" w:hAnsi="Arial"/>
          <w:sz w:val="18"/>
          <w:szCs w:val="18"/>
          <w:color w:val="auto"/>
        </w:rPr>
        <w:t>together, will be able to significantly influence all matters requiring stockholder approval, including the election and removal of directors and any merger or other significant corporate transaction.</w:t>
      </w:r>
    </w:p>
    <w:p>
      <w:pPr>
        <w:spacing w:after="0" w:line="62" w:lineRule="exact"/>
        <w:rPr>
          <w:sz w:val="20"/>
          <w:szCs w:val="20"/>
          <w:color w:val="auto"/>
        </w:rPr>
      </w:pPr>
    </w:p>
    <w:p>
      <w:pPr>
        <w:jc w:val="both"/>
        <w:ind w:left="102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8"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1020" w:hanging="503"/>
        <w:spacing w:after="0" w:line="27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3"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17"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5"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Aurora system was commercially launched in June 2017, our Northern Lights system was commercially launched in October 2018 and our Aurora CS was first commercially shipped in June 2021. Sales of the Aurora, Northern Lights and Aurora CS systems together accounted for a substantial portion of our revenue for the periods presented. We expect that, for at least the foreseeable future, sales of our Aurora, Northern Lights and Aurora CS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4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3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5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4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inflation or weakening of general economic conditions.</w:t>
      </w:r>
    </w:p>
    <w:p>
      <w:pPr>
        <w:spacing w:after="0" w:line="13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limited experience manufacturing our products. We currently manufacture our instruments and reagents at our manufacturing facilities in Fremont, California,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4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3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5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12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44% and 46% of our revenue came from sales to academic and government-owned institutions and 56% and 54% of our revenue came from sales to pharmaceutical and biotechnology companies, distributors and CROs in the year ended December 31, 2022 and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61" w:lineRule="exact"/>
        <w:rPr>
          <w:sz w:val="20"/>
          <w:szCs w:val="20"/>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inadequacy of evidence supporting benefits or cost-effectiveness of our products over existing alternatives;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26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Approximately 44% and 46% of our revenue came from sales to academic and government-owned institutions in the year ended December 31, 2022 and 2021,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130"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31" w:lineRule="exact"/>
        <w:rPr>
          <w:sz w:val="20"/>
          <w:szCs w:val="20"/>
          <w:color w:val="auto"/>
        </w:rPr>
      </w:pPr>
    </w:p>
    <w:p>
      <w:pPr>
        <w:jc w:val="both"/>
        <w:ind w:firstLine="36"/>
        <w:spacing w:after="0" w:line="375"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60" w:lineRule="exact"/>
        <w:rPr>
          <w:sz w:val="20"/>
          <w:szCs w:val="20"/>
          <w:color w:val="auto"/>
        </w:rPr>
      </w:pPr>
    </w:p>
    <w:p>
      <w:pPr>
        <w:ind w:left="1020" w:hanging="503"/>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systems and parts and components for our products, as well as transportation delays;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travel restrictions that limit the ability of marketing, presales, sales, services and support teams to service customers, including those resulting from the COVID-19 pandemic;</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such as the ongoing war in Ukraine, outbreak of disease, boycotts, curtailment of trade and other business restrictions; and</w:t>
      </w:r>
    </w:p>
    <w:p>
      <w:pPr>
        <w:spacing w:after="0" w:line="62" w:lineRule="exact"/>
        <w:rPr>
          <w:rFonts w:ascii="Arial" w:cs="Arial" w:eastAsia="Arial" w:hAnsi="Arial"/>
          <w:sz w:val="18"/>
          <w:szCs w:val="18"/>
          <w:color w:val="auto"/>
        </w:rPr>
      </w:pPr>
    </w:p>
    <w:p>
      <w:pPr>
        <w:ind w:left="1020" w:right="20" w:hanging="503"/>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85"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technological and research and development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5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3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31"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43"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17" w:lineRule="exact"/>
        <w:rPr>
          <w:rFonts w:ascii="Arial" w:cs="Arial" w:eastAsia="Arial" w:hAnsi="Arial"/>
          <w:sz w:val="18"/>
          <w:szCs w:val="18"/>
          <w:color w:val="auto"/>
        </w:rPr>
      </w:pPr>
    </w:p>
    <w:p>
      <w:pPr>
        <w:ind w:left="5540" w:right="5260" w:hanging="5023"/>
        <w:spacing w:after="0" w:line="535" w:lineRule="auto"/>
        <w:tabs>
          <w:tab w:leader="none" w:pos="10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diversion of development, engineering and manufacturing resources;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9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December 31, 2022, we had accrued approximately $2.1 million in expenses relating to product warranty accruals. Substantial amounts of warranty claims could have an adverse effect on our business, financial condition and results of operations.</w:t>
      </w:r>
    </w:p>
    <w:p>
      <w:pPr>
        <w:spacing w:after="0" w:line="1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From time to time, we may pursue acquisitions of businesses and assets. For example, in February 2023, we entered into an asset purchase agreement with Luminex Corporation (“Luminex”) to acquire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including the recent FCI Acquisition,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5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3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To date, there have been more than 1000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firstLine="509"/>
        <w:spacing w:after="0" w:line="272" w:lineRule="auto"/>
        <w:rPr>
          <w:sz w:val="20"/>
          <w:szCs w:val="20"/>
          <w:color w:val="auto"/>
        </w:rPr>
      </w:pPr>
      <w:r>
        <w:rPr>
          <w:rFonts w:ascii="Arial" w:cs="Arial" w:eastAsia="Arial" w:hAnsi="Arial"/>
          <w:sz w:val="17"/>
          <w:szCs w:val="17"/>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4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December 31, 2022, we had 583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15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In connection with our financial statement close process for the year ended December 31, 2022, we identified deficiencies in the control environment and control activities components of the Committee of Sponsoring Organizations (“COSO”) framework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8"/>
          <w:szCs w:val="18"/>
          <w:color w:val="auto"/>
        </w:rPr>
        <w:t>constitute material weaknesses, either individually or in the aggregate. Deficiencies in the control environment related to (i) the lack of a sufficient number of qualified resources within our 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Please see the section entitled “Item 9A. Controls and Procedures" for additional information.</w:t>
      </w:r>
    </w:p>
    <w:p>
      <w:pPr>
        <w:spacing w:after="0" w:line="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5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8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relinquish valuable rights to our technologies, future revenue streams, research programs or products or grant licenses on terms that may not be favorable to us.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geopolitical tensions, such as the ongoing war in Ukraine, and rising interest rates.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62"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the industry in which we, including those related to the COVID-19 pandemic or other widespread health crises;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factors, including changes in inflation, interest rates, foreign currency rates, and the potential effect of such factors on revenues and expenses;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1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$12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8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9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If our information technology systems or data, or those of third parties on which we rely, are compromised now, or in the future, we could experience adverse consequences resulting from such a compromise, including but not limited to regulatory investigations or</w:t>
      </w:r>
    </w:p>
    <w:p>
      <w:pPr>
        <w:ind w:left="60" w:right="1660"/>
        <w:spacing w:after="0" w:line="250" w:lineRule="auto"/>
        <w:rPr>
          <w:sz w:val="20"/>
          <w:szCs w:val="20"/>
          <w:color w:val="auto"/>
        </w:rPr>
      </w:pPr>
      <w:r>
        <w:rPr>
          <w:rFonts w:ascii="Arial" w:cs="Arial" w:eastAsia="Arial" w:hAnsi="Arial"/>
          <w:sz w:val="18"/>
          <w:szCs w:val="18"/>
          <w:b w:val="1"/>
          <w:bCs w:val="1"/>
          <w:i w:val="1"/>
          <w:iCs w:val="1"/>
          <w:color w:val="auto"/>
        </w:rPr>
        <w:t>actions; litigation; fines and penalties; disruptions of our business operations; reputational harm; loss of revenue or profits; loss of customers or sales; and other adverse consequences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10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the ordinary course of our business, we and the third parties upon which we rely,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may rely upon third parties (such as service providers) for our data processing–related activities. We may share or receive Sensitive Information with or from third parties.</w:t>
      </w:r>
    </w:p>
    <w:p>
      <w:pPr>
        <w:spacing w:after="0" w:line="6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face a variety of evolving threats, which could cause security incidents.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6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ind w:firstLine="509"/>
        <w:spacing w:after="0" w:line="254" w:lineRule="auto"/>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a material risk to our business.</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5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manufacture our products at our manufacturing facilities located in Fremont and San Diego,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7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have received funding under the Coronavirus Aid, Relief and Economic Security Act, or the CARES Act.</w:t>
      </w:r>
    </w:p>
    <w:p>
      <w:pPr>
        <w:spacing w:after="0" w:line="117"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June 2020, we executed a note in favor of Wells Fargo Bank, National Association, evidencing an unsecured loan, (“PPP loan”), in the aggregate principal amount of $4.1 million,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61"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17"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A substantial amount of our revenues is derived from international operations, and we anticipate that a significant portion of our sales will continue to come from outside the United States in the future. As we have experienced in the twelve months ended December 31, 2022, where our prices are denominated in U.S. dollars, our sales and revenues could be adversely affected by declines in foreign currencies 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57"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27" w:lineRule="exact"/>
        <w:rPr>
          <w:sz w:val="20"/>
          <w:szCs w:val="20"/>
          <w:color w:val="auto"/>
        </w:rPr>
      </w:pPr>
    </w:p>
    <w:p>
      <w:pPr>
        <w:jc w:val="both"/>
        <w:ind w:firstLine="578"/>
        <w:spacing w:after="0" w:line="291" w:lineRule="auto"/>
        <w:rPr>
          <w:sz w:val="20"/>
          <w:szCs w:val="20"/>
          <w:color w:val="auto"/>
        </w:rPr>
      </w:pPr>
      <w:r>
        <w:rPr>
          <w:rFonts w:ascii="Arial" w:cs="Arial" w:eastAsia="Arial" w:hAnsi="Arial"/>
          <w:sz w:val="16"/>
          <w:szCs w:val="16"/>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2"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3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98"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3"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61"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46"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7"/>
          <w:szCs w:val="17"/>
          <w:color w:val="auto"/>
        </w:rPr>
        <w:t>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54"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1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65"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2"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are subject to stringent and changing U.S. and foreign data privacy and security laws, regulations, rules, and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harm to our reputation, loss of revenue or profits, and other adverse effects on our business or prospects.</w:t>
      </w:r>
    </w:p>
    <w:p>
      <w:pPr>
        <w:spacing w:after="0" w:line="80" w:lineRule="exact"/>
        <w:rPr>
          <w:sz w:val="20"/>
          <w:szCs w:val="20"/>
          <w:color w:val="auto"/>
        </w:rPr>
      </w:pPr>
    </w:p>
    <w:p>
      <w:pPr>
        <w:jc w:val="both"/>
        <w:ind w:firstLine="584"/>
        <w:spacing w:after="0" w:line="301" w:lineRule="auto"/>
        <w:rPr>
          <w:sz w:val="20"/>
          <w:szCs w:val="20"/>
          <w:color w:val="auto"/>
        </w:rPr>
      </w:pPr>
      <w:r>
        <w:rPr>
          <w:rFonts w:ascii="Arial" w:cs="Arial" w:eastAsia="Arial" w:hAnsi="Arial"/>
          <w:sz w:val="16"/>
          <w:szCs w:val="16"/>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17"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the California Privacy Protection Agency, to implement and enforce the law, which could increase the risk of an enforcement action. Other states have enacted data privacy and security laws. For example, Virginia, Colorado, Utah, and Connecticut have similarly enacted comprehensive data privacy and security laws, all of which become effective in 2023. Similar laws are being considered in several other states, as well as at the federal and local levels.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compliances costs for us and the third parties upon whom we rely.</w:t>
      </w:r>
    </w:p>
    <w:p>
      <w:pPr>
        <w:spacing w:after="0" w:line="153"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information of individuals located, respectively within the European Economic Area (“EEA”) and the United Kingdom (“UK”). For example, violations of the EU and UK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584"/>
        <w:spacing w:after="0" w:line="284" w:lineRule="auto"/>
        <w:rPr>
          <w:sz w:val="20"/>
          <w:szCs w:val="20"/>
          <w:color w:val="auto"/>
        </w:rPr>
      </w:pPr>
      <w:r>
        <w:rPr>
          <w:rFonts w:ascii="Arial" w:cs="Arial" w:eastAsia="Arial" w:hAnsi="Arial"/>
          <w:sz w:val="16"/>
          <w:szCs w:val="16"/>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EU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information out of the EEA to jurisdictions that the European Commission has not found to provide an adequate level of protection. Currently, these Standard Contractual clauses are a valid mechanism to transfer personal information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and there is no assurance that we can satisfy or rely on these measures to lawfully transfer personal information to the United States or other countries. In addition, laws in Switzerland and the UK similarly restrict transfers of personal information outside of those jurisdictions to countries such as the United States of America that do not provide an adequate level of personal information protection.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51"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8"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and business operations. If we or the third parties on which we rely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class-action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2"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68"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8"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34" w:lineRule="exact"/>
        <w:rPr>
          <w:sz w:val="20"/>
          <w:szCs w:val="20"/>
          <w:color w:val="auto"/>
        </w:rPr>
      </w:pPr>
    </w:p>
    <w:p>
      <w:pPr>
        <w:jc w:val="both"/>
        <w:ind w:left="1020" w:hanging="503"/>
        <w:spacing w:after="0" w:line="26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73" w:lineRule="exact"/>
        <w:rPr>
          <w:rFonts w:ascii="Arial" w:cs="Arial" w:eastAsia="Arial" w:hAnsi="Arial"/>
          <w:sz w:val="17"/>
          <w:szCs w:val="17"/>
          <w:color w:val="auto"/>
        </w:rPr>
      </w:pPr>
    </w:p>
    <w:p>
      <w:pPr>
        <w:jc w:val="both"/>
        <w:ind w:left="1020" w:hanging="503"/>
        <w:spacing w:after="0" w:line="269"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left="1020"/>
        <w:spacing w:after="0" w:line="293" w:lineRule="auto"/>
        <w:rPr>
          <w:sz w:val="20"/>
          <w:szCs w:val="20"/>
          <w:color w:val="auto"/>
        </w:rPr>
      </w:pPr>
      <w:r>
        <w:rPr>
          <w:rFonts w:ascii="Arial" w:cs="Arial" w:eastAsia="Arial" w:hAnsi="Arial"/>
          <w:sz w:val="16"/>
          <w:szCs w:val="16"/>
          <w:color w:val="auto"/>
        </w:rPr>
        <w:t>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56" w:lineRule="exact"/>
        <w:rPr>
          <w:sz w:val="20"/>
          <w:szCs w:val="20"/>
          <w:color w:val="auto"/>
        </w:rPr>
      </w:pPr>
    </w:p>
    <w:p>
      <w:pPr>
        <w:jc w:val="both"/>
        <w:ind w:left="1020" w:hanging="503"/>
        <w:spacing w:after="0" w:line="273"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69" w:lineRule="exact"/>
        <w:rPr>
          <w:rFonts w:ascii="Arial" w:cs="Arial" w:eastAsia="Arial" w:hAnsi="Arial"/>
          <w:sz w:val="17"/>
          <w:szCs w:val="17"/>
          <w:color w:val="auto"/>
        </w:rPr>
      </w:pPr>
    </w:p>
    <w:p>
      <w:pPr>
        <w:jc w:val="both"/>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jc w:val="both"/>
        <w:ind w:left="1020" w:hanging="503"/>
        <w:spacing w:after="0" w:line="25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4" w:lineRule="exact"/>
        <w:rPr>
          <w:rFonts w:ascii="Arial" w:cs="Arial" w:eastAsia="Arial" w:hAnsi="Arial"/>
          <w:sz w:val="18"/>
          <w:szCs w:val="18"/>
          <w:color w:val="auto"/>
        </w:rPr>
      </w:pPr>
    </w:p>
    <w:p>
      <w:pPr>
        <w:jc w:val="both"/>
        <w:ind w:left="1020" w:hanging="503"/>
        <w:spacing w:after="0" w:line="273"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69" w:lineRule="exact"/>
        <w:rPr>
          <w:rFonts w:ascii="Arial" w:cs="Arial" w:eastAsia="Arial" w:hAnsi="Arial"/>
          <w:sz w:val="17"/>
          <w:szCs w:val="17"/>
          <w:color w:val="auto"/>
        </w:rPr>
      </w:pPr>
    </w:p>
    <w:p>
      <w:pPr>
        <w:jc w:val="both"/>
        <w:ind w:left="1020" w:hanging="503"/>
        <w:spacing w:after="0" w:line="27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0"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80"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61"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8"/>
          <w:szCs w:val="18"/>
          <w:color w:val="auto"/>
        </w:rPr>
        <w:t>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67"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40"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22"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3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right="20"/>
        <w:spacing w:after="0" w:line="342" w:lineRule="auto"/>
        <w:rPr>
          <w:sz w:val="20"/>
          <w:szCs w:val="20"/>
          <w:color w:val="auto"/>
        </w:rPr>
      </w:pPr>
      <w:r>
        <w:rPr>
          <w:rFonts w:ascii="Arial" w:cs="Arial" w:eastAsia="Arial" w:hAnsi="Arial"/>
          <w:sz w:val="16"/>
          <w:szCs w:val="16"/>
          <w:color w:val="auto"/>
        </w:rPr>
        <w:t>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97"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45"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7"/>
          <w:szCs w:val="17"/>
          <w:color w:val="auto"/>
        </w:rPr>
        <w:t>As of December 31, 2022, we own 12 issued U.S. utility patents, two issued Japan utility patents, one issued European utility patent and one issued China utility patent. We have 42 pending utility patent applications, including 25 utility patent applications in the United States, five utility patent applications in the European Union, five utility patent applications in China and three utility patent applications in Japan.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December 31, 2022, our Shanghai subsidiary owns 15 issued utility patents and one issued invention patent and has ten pending invention patent applications and one pending utility patent application, and our Wuxi subsidiary owns 36 issued patents and has eight pending patent applications, including five pending utility model patent applications and eight pending invention patent applications.</w:t>
      </w:r>
    </w:p>
    <w:p>
      <w:pPr>
        <w:spacing w:after="0" w:line="151"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41"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50"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37"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52"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3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50"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21"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342"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6"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52"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2" w:lineRule="exact"/>
        <w:rPr>
          <w:sz w:val="20"/>
          <w:szCs w:val="20"/>
          <w:color w:val="auto"/>
        </w:rPr>
      </w:pPr>
    </w:p>
    <w:p>
      <w:pPr>
        <w:jc w:val="both"/>
        <w:ind w:firstLine="584"/>
        <w:spacing w:after="0" w:line="289" w:lineRule="auto"/>
        <w:rPr>
          <w:sz w:val="20"/>
          <w:szCs w:val="20"/>
          <w:color w:val="auto"/>
        </w:rPr>
      </w:pPr>
      <w:r>
        <w:rPr>
          <w:rFonts w:ascii="Arial" w:cs="Arial" w:eastAsia="Arial" w:hAnsi="Arial"/>
          <w:sz w:val="16"/>
          <w:szCs w:val="16"/>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76"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8"/>
          <w:szCs w:val="18"/>
          <w:color w:val="auto"/>
        </w:rPr>
        <w:t>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76"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7"/>
          <w:szCs w:val="17"/>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0"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52"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41" w:lineRule="exact"/>
        <w:rPr>
          <w:sz w:val="20"/>
          <w:szCs w:val="20"/>
          <w:color w:val="auto"/>
        </w:rPr>
      </w:pPr>
    </w:p>
    <w:p>
      <w:pPr>
        <w:jc w:val="both"/>
        <w:ind w:firstLine="584"/>
        <w:spacing w:after="0" w:line="311"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08"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7"/>
          <w:szCs w:val="17"/>
          <w:color w:val="auto"/>
        </w:rPr>
        <w:t>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38"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2"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38"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54"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ind w:firstLine="584"/>
        <w:spacing w:after="0" w:line="287"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41"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41"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68"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2"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ind w:firstLine="584"/>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54" w:lineRule="exact"/>
        <w:rPr>
          <w:sz w:val="20"/>
          <w:szCs w:val="20"/>
          <w:color w:val="auto"/>
        </w:rPr>
      </w:pPr>
    </w:p>
    <w:p>
      <w:pPr>
        <w:jc w:val="both"/>
        <w:ind w:firstLine="584"/>
        <w:spacing w:after="0" w:line="301"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76"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38"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39" w:lineRule="exact"/>
        <w:rPr>
          <w:sz w:val="20"/>
          <w:szCs w:val="20"/>
          <w:color w:val="auto"/>
        </w:rPr>
      </w:pPr>
    </w:p>
    <w:p>
      <w:pPr>
        <w:jc w:val="both"/>
        <w:ind w:firstLine="584"/>
        <w:spacing w:after="0" w:line="289"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ind w:firstLine="584"/>
        <w:spacing w:after="0" w:line="255"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17"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6"/>
          <w:szCs w:val="16"/>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17"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1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include:</w:t>
      </w:r>
    </w:p>
    <w:p>
      <w:pPr>
        <w:spacing w:after="0" w:line="143"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adverse developments concerning any of our third-party distribution partners and suppliers, including our single and sole-source suppliers;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 the COVID-19 pandemic, the ongoing war in Ukraine and the general inflationary environment;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jc w:val="both"/>
        <w:ind w:firstLine="584"/>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2"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7"/>
          <w:szCs w:val="17"/>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62"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38"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14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apply to affiliates, the shares issued upon exercise of outstanding stock options or upon settlement of outstanding restricted stock unit awards are available for immediate resale in the United States in the open market.</w:t>
      </w:r>
    </w:p>
    <w:p>
      <w:pPr>
        <w:spacing w:after="0" w:line="143" w:lineRule="exact"/>
        <w:rPr>
          <w:sz w:val="20"/>
          <w:szCs w:val="20"/>
          <w:color w:val="auto"/>
        </w:rPr>
      </w:pPr>
    </w:p>
    <w:p>
      <w:pPr>
        <w:jc w:val="both"/>
        <w:ind w:right="20" w:firstLine="578"/>
        <w:spacing w:after="0" w:line="263"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Based on the number of shares of common stock outstanding as of December 31, 2022, our executive officers, directors, holders of 5% or more of our common stock and their respective affiliates, in the aggregate, own approximately 45.2%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2"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We are subject to the periodic reporting requirements of the Securities Exchange Act of 1934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1"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jc w:val="both"/>
        <w:ind w:firstLine="584"/>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97" w:lineRule="exact"/>
        <w:rPr>
          <w:sz w:val="20"/>
          <w:szCs w:val="20"/>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7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45"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58"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76"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IPO. This assessment will need to include disclosure of any material weaknesses identified by our management in our internal control over financial reporting. In addition, based on the total annual gross revenue of the fiscal year ended December 31, 2022, we ceased to be an “emerging growth company,” a “smaller reporting company” or a “non-accelerated filer” as defined in the Jumpstart Our Business Startups Act of 2012 (the “JOBS Act”), as of December 31, 2022. As a result, we will also be required to include in our annual report an attestation report by our independent registered public accounting firm on internal control over financial reporting, beginning with respect to the fiscal year ending December 31, 2022. We have begun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legal and other compliance expense and expend significant management efforts. We currently do not have an internal audit group, and we will need to hire additional accounting and finance staff and consultants with appropriate public company experience and technical accounting knowledge and compile the system and process documentation necessary to perform the evaluation needed to comply with Section 404.</w:t>
      </w:r>
    </w:p>
    <w:p>
      <w:pPr>
        <w:spacing w:after="0" w:line="159" w:lineRule="exact"/>
        <w:rPr>
          <w:sz w:val="20"/>
          <w:szCs w:val="20"/>
          <w:color w:val="auto"/>
        </w:rPr>
      </w:pPr>
    </w:p>
    <w:p>
      <w:pPr>
        <w:jc w:val="both"/>
        <w:ind w:firstLine="584"/>
        <w:spacing w:after="0" w:line="293" w:lineRule="auto"/>
        <w:rPr>
          <w:sz w:val="20"/>
          <w:szCs w:val="20"/>
          <w:color w:val="auto"/>
        </w:rPr>
      </w:pPr>
      <w:r>
        <w:rPr>
          <w:rFonts w:ascii="Arial" w:cs="Arial" w:eastAsia="Arial" w:hAnsi="Arial"/>
          <w:sz w:val="16"/>
          <w:szCs w:val="16"/>
          <w:color w:val="auto"/>
        </w:rPr>
        <w:t>If we are unable to conclude that our internal control and procedures over financial reporting is effective, or if our independent registered public accounting firm determines we have material weaknesses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0" w:firstLine="584"/>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spacing w:after="0" w:line="311" w:lineRule="auto"/>
        <w:rPr>
          <w:sz w:val="20"/>
          <w:szCs w:val="20"/>
          <w:color w:val="auto"/>
        </w:rPr>
      </w:pPr>
      <w:r>
        <w:rPr>
          <w:rFonts w:ascii="Arial" w:cs="Arial" w:eastAsia="Arial" w:hAnsi="Arial"/>
          <w:sz w:val="16"/>
          <w:szCs w:val="16"/>
          <w:color w:val="auto"/>
        </w:rPr>
        <w:t>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52" w:lineRule="exact"/>
        <w:rPr>
          <w:sz w:val="20"/>
          <w:szCs w:val="20"/>
          <w:color w:val="auto"/>
        </w:rPr>
      </w:pPr>
    </w:p>
    <w:p>
      <w:pPr>
        <w:jc w:val="both"/>
        <w:ind w:firstLine="3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6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As of December 31, 2022, we had no federal and state NOL carryforwards. Certain state NOLs will begin to expire in the calendar year 2036, unless previously utilized. Certain NOL carryforwards subject to expiration could expire unused and be unavailable to offset future income tax liabilities.</w:t>
      </w:r>
    </w:p>
    <w:p>
      <w:pPr>
        <w:spacing w:after="0" w:line="1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Under the 2017 Tax Cuts and Jobs Act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w:t>
      </w:r>
    </w:p>
    <w:p>
      <w:pPr>
        <w:spacing w:after="0" w:line="8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Separately, 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2022,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1020" w:hanging="503"/>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2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left="20"/>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3" w:lineRule="exact"/>
        <w:rPr>
          <w:sz w:val="20"/>
          <w:szCs w:val="20"/>
          <w:color w:val="auto"/>
        </w:rPr>
      </w:pPr>
    </w:p>
    <w:p>
      <w:pPr>
        <w:jc w:val="center"/>
        <w:ind w:right="97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9700"/>
        <w:spacing w:after="0"/>
        <w:rPr>
          <w:sz w:val="20"/>
          <w:szCs w:val="20"/>
          <w:color w:val="auto"/>
        </w:rPr>
      </w:pPr>
      <w:r>
        <w:rPr>
          <w:rFonts w:ascii="Arial" w:cs="Arial" w:eastAsia="Arial" w:hAnsi="Arial"/>
          <w:sz w:val="16"/>
          <w:szCs w:val="16"/>
          <w:b w:val="1"/>
          <w:bCs w:val="1"/>
          <w:color w:val="auto"/>
        </w:rPr>
        <w:t>Item 2. Properties.</w:t>
      </w:r>
    </w:p>
    <w:p>
      <w:pPr>
        <w:spacing w:after="0" w:line="14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We currently lease approximately 99,000 square feet of office and laboratory space at our headquarter in Fremont, California. The lease is expected to expire in December 2028. We lease approximately 40,000 square feet of manufacturing and office space at our facility in Wuxi, China, under leases expiring in May and October 2025, respectively, and approximately 14,000 square feet of office and laboratory space at our facility in Shanghai, China, under multiple leases expiring between March 2024 and December 2023. We also lease office space in Seattle, Washington; Bethesda, Maryland; San Diego, California; Beijing, China; and Amsterdam, Netherlands. We believe that our existing office, laboratory and manufacturing space, together with additional space and facilities available on commercially reasonable terms, will be sufficient to meet our current and future needs.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are not currently engaged in any material pending legal proceedings. From time to time, we may be subject to legal proceedings and claims arising in the ordinary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Our common stock began trading on the Nasdaq Global Select Market on July 23, 2021 and trades under the symbol “CTKB”. Prior to July 23, 2021, there was no public trading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February 13, 2023, there were approximately 24 stockholders of record. Because brokers and other institutions hold many of our shares on behalf of stockholders, we are unable to estimate the total number of stockholders represented by these record 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(1)</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following graph shows the cumulative total return on an investment of $100 in cash on July 23, 2021 through December 31, 2022, in our common stock, the Nasdaq Composite Index and the Nasdaq Biotechnology Components Index and assuming that all dividends were reinvested. The stockholder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59055</wp:posOffset>
            </wp:positionV>
            <wp:extent cx="6172200" cy="29317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firstLine="8"/>
        <w:spacing w:after="0" w:line="263"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 any filing of Cytek Biosciences under the Securities Act of 1933, as amended, or the Securities Exchange Act of 1934, whether made before or after the date hereof and irrespective of any general incorporation language in any such filing.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6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445" w:right="7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jc w:val="both"/>
        <w:ind w:left="20" w:firstLine="50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involve risks and uncertainties. See “Special Note Regarding Forward-Looking Statements” at the beginning of this Annual Report on Form 10-K. Our actual results could differ materially from those contained in these forward-looking statements due to a number of factors, including those discussed in Part I, Item 1A “Risk Factors” and elsewhere in this Annual Report on Form 10-K. Unless the context requires otherwise, references in this Annual Report on Form 10-K to “we,” “us” and “our” refer to Cytek Biosciences, Inc.</w:t>
      </w:r>
    </w:p>
    <w:p>
      <w:pPr>
        <w:spacing w:after="0" w:line="84" w:lineRule="exact"/>
        <w:rPr>
          <w:sz w:val="20"/>
          <w:szCs w:val="20"/>
          <w:color w:val="auto"/>
        </w:rPr>
      </w:pPr>
    </w:p>
    <w:p>
      <w:pPr>
        <w:jc w:val="both"/>
        <w:ind w:left="20" w:firstLine="509"/>
        <w:spacing w:after="0" w:line="259" w:lineRule="auto"/>
        <w:rPr>
          <w:sz w:val="20"/>
          <w:szCs w:val="20"/>
          <w:color w:val="auto"/>
        </w:rPr>
      </w:pPr>
      <w:r>
        <w:rPr>
          <w:rFonts w:ascii="Arial" w:cs="Arial" w:eastAsia="Arial" w:hAnsi="Arial"/>
          <w:sz w:val="18"/>
          <w:szCs w:val="18"/>
          <w:i w:val="1"/>
          <w:iCs w:val="1"/>
          <w:color w:val="auto"/>
        </w:rPr>
        <w:t>The following is a discussion and year-to-year comparisons of our financial condition and results of operations for the years ended December 31, 2022 and 2021. For a discussion of the results of operations and financial condition for the years ended December 31, 2020 and year-to-year comparisons between 2021 and 2020, please refer to “Management’s Discussion and Analysis of Financial Condition and Results of Operations" section of fiscal 2021 Annual Report on Part II, Item 7 of Form 10-K, filed on March 17,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1,670 instruments—primarily comprised of our Aurora and Northern Lights systems—to customers around the world, including the largest pharmaceutical companies, over 200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7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manufacture our instruments in our facilities in Fremont, California and in Wuxi, China. We have designed our operating model to be capital efficient and to scale efficiently as our product volumes grow.</w:t>
      </w:r>
    </w:p>
    <w:p>
      <w:pPr>
        <w:spacing w:after="0" w:line="62"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Our total revenue was $164.0 million and $128.0 million in the year ended December 31, 2022 and 2021, respectively. The increase was primarily due to continued demand across our full portfolio of product offerings and an increase in the average blended selling price due to product mix.</w:t>
      </w:r>
    </w:p>
    <w:p>
      <w:pPr>
        <w:spacing w:after="0" w:line="1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79% and 86% of total revenue for the year ended December 31, 2022 and 2021, respectively, and revenue from distributors represented 21% and 14% of total revenue for the year ended December 31, 2022 and 2021, respectively.</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$34.9 million and $24.4 million for the year ended December 31, 2022, and 2021, respectively. We intend to continue to make significant investments in research and development in the future.</w:t>
      </w:r>
    </w:p>
    <w:p>
      <w:pPr>
        <w:spacing w:after="0" w:line="63"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expect to continue to invest in our commercial infrastructure through hiring additional employees with strong scientific and technical backgrounds to support growth in sales of our Aurora, Northern Lights and Aurora CS systems, as well as our planned expansion of reagents offerings and panel design capabilities. We also plan to continue to invest in sales, marketing and business development across the globe to drive commercialization of our products. We incurred sales and marketing expenses of $33.2 million and $24.7 million for the year ended December 31, 2022 and 2021, respectively.</w:t>
      </w:r>
    </w:p>
    <w:p>
      <w:pPr>
        <w:spacing w:after="0" w:line="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net income was $2.5 million and $3.0 million for the year ended December 31, 2022 and 2021, respectively. The change for the year ended December 31, 2022 compared to the year ended December 31, 2021 resulted primarily from expenses driven by an increase in headcount and salaries and efforts in research and development and marketing initiatives.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17"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 in processes, commercial infrastructure and supporting functions to scale our business and introduce new products and services;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expand geographically;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On November 2, 2021, we completed the acquisition of the reagents business of Tonbo Biotechnologies Corporation ("Tonbo") as detailed in Note 9,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to our consolidated financial statements included elsewhere in this Annual Report on Form 10-K.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Annual Report on Form 10-K.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60% in the year ended December 31, 2022 compared to the year ended December 31, 2021. We intend to continue increasing our workforce in line with our growth.</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7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customers, academic laboratories, KOLs and industry partners. We plan to continue to invest in new product development and enhancements to support our expansion into new markets.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373"/>
              <w:spacing w:after="0"/>
              <w:rPr>
                <w:sz w:val="20"/>
                <w:szCs w:val="20"/>
                <w:color w:val="auto"/>
              </w:rPr>
            </w:pPr>
            <w:r>
              <w:rPr>
                <w:rFonts w:ascii="Arial" w:cs="Arial" w:eastAsia="Arial" w:hAnsi="Arial"/>
                <w:sz w:val="14"/>
                <w:szCs w:val="14"/>
                <w:b w:val="1"/>
                <w:bCs w:val="1"/>
                <w:color w:val="auto"/>
                <w:w w:val="98"/>
              </w:rPr>
              <w:t>Dollar Change</w:t>
            </w:r>
          </w:p>
        </w:tc>
        <w:tc>
          <w:tcPr>
            <w:tcW w:w="0" w:type="dxa"/>
            <w:vAlign w:val="bottom"/>
          </w:tcPr>
          <w:p>
            <w:pPr>
              <w:spacing w:after="0"/>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60" w:type="dxa"/>
            <w:vAlign w:val="bottom"/>
            <w:gridSpan w:val="2"/>
          </w:tcPr>
          <w:p>
            <w:pPr>
              <w:ind w:left="160"/>
              <w:spacing w:after="0"/>
              <w:rPr>
                <w:sz w:val="20"/>
                <w:szCs w:val="20"/>
                <w:color w:val="auto"/>
              </w:rPr>
            </w:pPr>
            <w:r>
              <w:rPr>
                <w:rFonts w:ascii="Arial" w:cs="Arial" w:eastAsia="Arial" w:hAnsi="Arial"/>
                <w:sz w:val="18"/>
                <w:szCs w:val="18"/>
                <w:color w:val="auto"/>
              </w:rPr>
              <w:t>Direct sales channel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129,098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110,520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3"/>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Distributor channel</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34,938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17,430</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color w:val="auto"/>
              </w:rPr>
              <w:t>17,508</w:t>
            </w:r>
          </w:p>
        </w:tc>
        <w:tc>
          <w:tcPr>
            <w:tcW w:w="0" w:type="dxa"/>
            <w:vAlign w:val="bottom"/>
          </w:tcPr>
          <w:p>
            <w:pPr>
              <w:spacing w:after="0"/>
              <w:rPr>
                <w:sz w:val="1"/>
                <w:szCs w:val="1"/>
                <w:color w:val="auto"/>
              </w:rPr>
            </w:pP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164,036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127,950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3"/>
              <w:spacing w:after="0"/>
              <w:rPr>
                <w:sz w:val="20"/>
                <w:szCs w:val="20"/>
                <w:color w:val="auto"/>
              </w:rPr>
            </w:pPr>
            <w:r>
              <w:rPr>
                <w:rFonts w:ascii="Arial" w:cs="Arial" w:eastAsia="Arial" w:hAnsi="Arial"/>
                <w:sz w:val="18"/>
                <w:szCs w:val="18"/>
                <w:color w:val="auto"/>
              </w:rPr>
              <w:t>36,086</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Customer mix</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Academia and government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73,706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59,415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3"/>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21"/>
        </w:trPr>
        <w:tc>
          <w:tcPr>
            <w:tcW w:w="6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Biotechnology, pharmaceutical, distributor and</w:t>
            </w:r>
          </w:p>
        </w:tc>
        <w:tc>
          <w:tcPr>
            <w:tcW w:w="300" w:type="dxa"/>
            <w:vAlign w:val="bottom"/>
            <w:shd w:val="clear" w:color="auto" w:fill="CFF0FC"/>
          </w:tcPr>
          <w:p>
            <w:pPr>
              <w:spacing w:after="0"/>
              <w:rPr>
                <w:sz w:val="19"/>
                <w:szCs w:val="19"/>
                <w:color w:val="auto"/>
              </w:rPr>
            </w:pPr>
          </w:p>
        </w:tc>
        <w:tc>
          <w:tcPr>
            <w:tcW w:w="110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90,330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68,535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vMerge w:val="restart"/>
            <w:shd w:val="clear" w:color="auto" w:fill="CFF0FC"/>
          </w:tcPr>
          <w:p>
            <w:pPr>
              <w:jc w:val="right"/>
              <w:ind w:right="173"/>
              <w:spacing w:after="0"/>
              <w:rPr>
                <w:sz w:val="20"/>
                <w:szCs w:val="20"/>
                <w:color w:val="auto"/>
              </w:rPr>
            </w:pPr>
            <w:r>
              <w:rPr>
                <w:rFonts w:ascii="Arial" w:cs="Arial" w:eastAsia="Arial" w:hAnsi="Arial"/>
                <w:sz w:val="18"/>
                <w:szCs w:val="18"/>
                <w:color w:val="auto"/>
              </w:rPr>
              <w:t>21,795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CRO</w:t>
            </w: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164,036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127,950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3"/>
              <w:spacing w:after="0"/>
              <w:rPr>
                <w:sz w:val="20"/>
                <w:szCs w:val="20"/>
                <w:color w:val="auto"/>
              </w:rPr>
            </w:pPr>
            <w:r>
              <w:rPr>
                <w:rFonts w:ascii="Arial" w:cs="Arial" w:eastAsia="Arial" w:hAnsi="Arial"/>
                <w:sz w:val="18"/>
                <w:szCs w:val="18"/>
                <w:color w:val="auto"/>
              </w:rPr>
              <w:t>36,086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-967740</wp:posOffset>
            </wp:positionV>
            <wp:extent cx="9461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-967740</wp:posOffset>
            </wp:positionV>
            <wp:extent cx="9461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9461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9461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our cumulative instruments shipped as of the dates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5"/>
                <w:szCs w:val="15"/>
                <w:color w:val="auto"/>
              </w:rPr>
            </w:pP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5"/>
                <w:szCs w:val="15"/>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w w:val="99"/>
              </w:rPr>
              <w:t>March 31,</w:t>
            </w:r>
          </w:p>
        </w:tc>
      </w:tr>
      <w:tr>
        <w:trPr>
          <w:trHeight w:val="185"/>
        </w:trPr>
        <w:tc>
          <w:tcPr>
            <w:tcW w:w="6020" w:type="dxa"/>
            <w:vAlign w:val="bottom"/>
          </w:tcPr>
          <w:p>
            <w:pPr>
              <w:spacing w:after="0"/>
              <w:rPr>
                <w:sz w:val="16"/>
                <w:szCs w:val="16"/>
                <w:color w:val="auto"/>
              </w:rPr>
            </w:pPr>
          </w:p>
        </w:tc>
        <w:tc>
          <w:tcPr>
            <w:tcW w:w="134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237"/>
        </w:trPr>
        <w:tc>
          <w:tcPr>
            <w:tcW w:w="6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Instruments shipped</w:t>
            </w:r>
          </w:p>
        </w:tc>
        <w:tc>
          <w:tcPr>
            <w:tcW w:w="14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1,226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Events and Uncertainties</w:t>
      </w:r>
    </w:p>
    <w:p>
      <w:pPr>
        <w:spacing w:after="0" w:line="12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and the ongoing conflict between Russia and Ukraine.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i w:val="1"/>
          <w:iCs w:val="1"/>
          <w:color w:val="auto"/>
        </w:rPr>
        <w:t>Product</w:t>
      </w:r>
      <w:r>
        <w:rPr>
          <w:rFonts w:ascii="Arial" w:cs="Arial" w:eastAsia="Arial" w:hAnsi="Arial"/>
          <w:sz w:val="17"/>
          <w:szCs w:val="17"/>
          <w:color w:val="auto"/>
        </w:rPr>
        <w:t>. Our product revenue primarily consists of sales of our instruments, including the Aurora, Northern Lights and Aurora CS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our revenue to increase in absolute dollars as we expand our sales organization and sales territories, broaden our customer base, and expand awareness of our products with new and existing customers. Our revenue was $164.0 million and $128.0 million for the year ended December 31, 2022 and 2021,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warranty costs, third party royalty costs, personnel and related costs, costs of component materials, overhead, packaging and delivery and depreciation expense.</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 replacements,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updates and qualification validation of our products and depreciation expense.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62"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primarily consist of salaries, benefits,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research and development department, independent contractor costs, laboratory supplies, equipment maintenance and materials expenses.</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consist primarily of salaries, benefits, and stock-based compensation costs for employees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7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accretion of the present value of the litigation settlement liability. See Note 11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elsewhere in this Annual Report on Form 10-K for further details regarding the settlement.</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 deposits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 money market funds.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Our other expense, net consists primarily of foreign exchange gains and losses.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 ended December 31, 2022 and 2021</w:t>
      </w:r>
    </w:p>
    <w:p>
      <w:pPr>
        <w:spacing w:after="0" w:line="117"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related notes included elsewhere in this Annual Report on Form 10-K.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and comprehensive income data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320" w:type="dxa"/>
            <w:vAlign w:val="bottom"/>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651"/>
              <w:spacing w:after="0"/>
              <w:rPr>
                <w:sz w:val="20"/>
                <w:szCs w:val="20"/>
                <w:color w:val="auto"/>
              </w:rPr>
            </w:pPr>
            <w:r>
              <w:rPr>
                <w:rFonts w:ascii="Arial" w:cs="Arial" w:eastAsia="Arial" w:hAnsi="Arial"/>
                <w:sz w:val="14"/>
                <w:szCs w:val="14"/>
                <w:b w:val="1"/>
                <w:bCs w:val="1"/>
                <w:color w:val="auto"/>
                <w:w w:val="89"/>
              </w:rPr>
              <w:t>2021</w:t>
            </w:r>
          </w:p>
        </w:tc>
      </w:tr>
      <w:tr>
        <w:trPr>
          <w:trHeight w:val="237"/>
        </w:trPr>
        <w:tc>
          <w:tcPr>
            <w:tcW w:w="7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r>
      <w:tr>
        <w:trPr>
          <w:trHeight w:val="237"/>
        </w:trPr>
        <w:tc>
          <w:tcPr>
            <w:tcW w:w="772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148,600</w:t>
            </w:r>
          </w:p>
        </w:tc>
        <w:tc>
          <w:tcPr>
            <w:tcW w:w="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119,519</w:t>
            </w:r>
          </w:p>
        </w:tc>
      </w:tr>
      <w:tr>
        <w:trPr>
          <w:trHeight w:val="243"/>
        </w:trPr>
        <w:tc>
          <w:tcPr>
            <w:tcW w:w="772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15,436</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8,431</w:t>
            </w:r>
          </w:p>
        </w:tc>
      </w:tr>
      <w:tr>
        <w:trPr>
          <w:trHeight w:val="237"/>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Total revenue, net</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164,036</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127,950</w:t>
            </w:r>
          </w:p>
        </w:tc>
      </w:tr>
      <w:tr>
        <w:trPr>
          <w:trHeight w:val="243"/>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7"/>
        </w:trPr>
        <w:tc>
          <w:tcPr>
            <w:tcW w:w="772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49,955</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37,377</w:t>
            </w:r>
          </w:p>
        </w:tc>
      </w:tr>
      <w:tr>
        <w:trPr>
          <w:trHeight w:val="243"/>
        </w:trPr>
        <w:tc>
          <w:tcPr>
            <w:tcW w:w="772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13,107</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11,429</w:t>
            </w: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63,062</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48,806</w:t>
            </w:r>
          </w:p>
        </w:tc>
      </w:tr>
      <w:tr>
        <w:trPr>
          <w:trHeight w:val="243"/>
        </w:trPr>
        <w:tc>
          <w:tcPr>
            <w:tcW w:w="77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100,974</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79,144</w:t>
            </w:r>
          </w:p>
        </w:tc>
      </w:tr>
      <w:tr>
        <w:trPr>
          <w:trHeight w:val="237"/>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77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34,858</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24,442</w:t>
            </w:r>
          </w:p>
        </w:tc>
      </w:tr>
      <w:tr>
        <w:trPr>
          <w:trHeight w:val="237"/>
        </w:trPr>
        <w:tc>
          <w:tcPr>
            <w:tcW w:w="772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33,230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24,710</w:t>
            </w:r>
          </w:p>
        </w:tc>
      </w:tr>
      <w:tr>
        <w:trPr>
          <w:trHeight w:val="243"/>
        </w:trPr>
        <w:tc>
          <w:tcPr>
            <w:tcW w:w="772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34,690</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20,835</w:t>
            </w:r>
          </w:p>
        </w:tc>
      </w:tr>
      <w:tr>
        <w:trPr>
          <w:trHeight w:val="23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102,778</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69,987</w:t>
            </w:r>
          </w:p>
        </w:tc>
      </w:tr>
      <w:tr>
        <w:trPr>
          <w:trHeight w:val="243"/>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9,157</w:t>
            </w:r>
          </w:p>
        </w:tc>
      </w:tr>
      <w:tr>
        <w:trPr>
          <w:trHeight w:val="237"/>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(1,741 )</w:t>
            </w:r>
          </w:p>
        </w:tc>
      </w:tr>
      <w:tr>
        <w:trPr>
          <w:trHeight w:val="237"/>
        </w:trPr>
        <w:tc>
          <w:tcPr>
            <w:tcW w:w="772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4,619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43"/>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1,018</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(1,527 )</w:t>
            </w:r>
          </w:p>
        </w:tc>
      </w:tr>
      <w:tr>
        <w:trPr>
          <w:trHeight w:val="23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5,938</w:t>
            </w:r>
          </w:p>
        </w:tc>
      </w:tr>
      <w:tr>
        <w:trPr>
          <w:trHeight w:val="237"/>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(1,224 )</w:t>
            </w: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2,911</w:t>
            </w:r>
          </w:p>
        </w:tc>
      </w:tr>
      <w:tr>
        <w:trPr>
          <w:trHeight w:val="236"/>
        </w:trPr>
        <w:tc>
          <w:tcPr>
            <w:tcW w:w="772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2,484</w:t>
            </w:r>
          </w:p>
        </w:tc>
        <w:tc>
          <w:tcPr>
            <w:tcW w:w="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3,027</w:t>
            </w:r>
          </w:p>
        </w:tc>
      </w:tr>
      <w:tr>
        <w:trPr>
          <w:trHeight w:val="24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832</w:t>
            </w:r>
          </w:p>
        </w:tc>
      </w:tr>
      <w:tr>
        <w:trPr>
          <w:trHeight w:val="237"/>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Unrealized gain (loss) on marketable securities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83"/>
        </w:trPr>
        <w:tc>
          <w:tcPr>
            <w:tcW w:w="77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Net comprehensive income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-3505200</wp:posOffset>
            </wp:positionV>
            <wp:extent cx="11176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-2870835</wp:posOffset>
            </wp:positionV>
            <wp:extent cx="11176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-1927860</wp:posOffset>
            </wp:positionV>
            <wp:extent cx="11176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-985520</wp:posOffset>
            </wp:positionV>
            <wp:extent cx="11176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-659765</wp:posOffset>
            </wp:positionV>
            <wp:extent cx="11176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1625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4"/>
                <w:szCs w:val="14"/>
                <w:color w:val="auto"/>
              </w:rPr>
            </w:pPr>
          </w:p>
        </w:tc>
        <w:tc>
          <w:tcPr>
            <w:tcW w:w="124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148,600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119,519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29,081</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2"/>
        </w:trPr>
        <w:tc>
          <w:tcPr>
            <w:tcW w:w="5560" w:type="dxa"/>
            <w:vAlign w:val="bottom"/>
            <w:gridSpan w:val="2"/>
          </w:tcPr>
          <w:p>
            <w:pPr>
              <w:ind w:left="160"/>
              <w:spacing w:after="0"/>
              <w:rPr>
                <w:sz w:val="20"/>
                <w:szCs w:val="20"/>
                <w:color w:val="auto"/>
              </w:rPr>
            </w:pPr>
            <w:r>
              <w:rPr>
                <w:rFonts w:ascii="Arial" w:cs="Arial" w:eastAsia="Arial" w:hAnsi="Arial"/>
                <w:sz w:val="18"/>
                <w:szCs w:val="18"/>
                <w:color w:val="auto"/>
              </w:rPr>
              <w:t>Service</w:t>
            </w:r>
          </w:p>
        </w:tc>
        <w:tc>
          <w:tcPr>
            <w:tcW w:w="360" w:type="dxa"/>
            <w:vAlign w:val="bottom"/>
          </w:tcPr>
          <w:p>
            <w:pPr>
              <w:spacing w:after="0"/>
              <w:rPr>
                <w:sz w:val="21"/>
                <w:szCs w:val="21"/>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15,436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7,005</w:t>
            </w: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20"/>
              <w:spacing w:after="0"/>
              <w:rPr>
                <w:sz w:val="20"/>
                <w:szCs w:val="20"/>
                <w:color w:val="auto"/>
              </w:rPr>
            </w:pPr>
            <w:r>
              <w:rPr>
                <w:rFonts w:ascii="Arial" w:cs="Arial" w:eastAsia="Arial" w:hAnsi="Arial"/>
                <w:sz w:val="18"/>
                <w:szCs w:val="18"/>
                <w:color w:val="auto"/>
              </w:rPr>
              <w:t>Total revenue, net</w:t>
            </w:r>
          </w:p>
        </w:tc>
        <w:tc>
          <w:tcPr>
            <w:tcW w:w="14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164,036</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127,950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36,086</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5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4"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Total revenue, net increased by $36.1 million, or 28%, for the year ended December 31, 2022 as compared to the year ended December 31, 2021. The increase in revenue was primarily driven by continued sales of the Aurora and Northern Lights systems and an increase in sales of our Aurora CS system, which was commercially launched in June 2021.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Product revenue increased by $29.1 million or 24%, to $148.6 million, for the year ended December 31, 2022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increase was primarily driven by an increase in sales of the Aurora and Northern Lights systems and an increase in sales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Aurora CS system, which commercially launched in June 2021, and recently launched reagents and consumables.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67" w:name="page68"/>
    <w:bookmarkEnd w:id="67"/>
    <w:p>
      <w:pPr>
        <w:jc w:val="both"/>
        <w:ind w:right="60" w:firstLine="509"/>
        <w:spacing w:after="0" w:line="263" w:lineRule="auto"/>
        <w:rPr>
          <w:sz w:val="20"/>
          <w:szCs w:val="20"/>
          <w:color w:val="auto"/>
        </w:rPr>
      </w:pPr>
      <w:r>
        <w:rPr>
          <w:rFonts w:ascii="Arial" w:cs="Arial" w:eastAsia="Arial" w:hAnsi="Arial"/>
          <w:sz w:val="18"/>
          <w:szCs w:val="18"/>
          <w:color w:val="auto"/>
        </w:rPr>
        <w:t>Service revenue increased by $7.0 million, or 83%, to $15.4 million, for the year ended December 31, 2022 as compared to the year ended December 31, 2021. The increase in service revenue was mainly driven by continued growth in the instruments installed base with more instruments coming off warranty.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49,955</w:t>
            </w:r>
          </w:p>
        </w:tc>
        <w:tc>
          <w:tcPr>
            <w:tcW w:w="160" w:type="dxa"/>
            <w:vAlign w:val="bottom"/>
          </w:tcPr>
          <w:p>
            <w:pPr>
              <w:spacing w:after="0"/>
              <w:rPr>
                <w:sz w:val="20"/>
                <w:szCs w:val="20"/>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37,377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2"/>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Service</w:t>
            </w:r>
          </w:p>
        </w:tc>
        <w:tc>
          <w:tcPr>
            <w:tcW w:w="9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13,107</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11,429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cost of sales</w:t>
            </w: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63,062</w:t>
            </w:r>
          </w:p>
        </w:tc>
        <w:tc>
          <w:tcPr>
            <w:tcW w:w="160" w:type="dxa"/>
            <w:vAlign w:val="bottom"/>
          </w:tcPr>
          <w:p>
            <w:pPr>
              <w:spacing w:after="0"/>
              <w:rPr>
                <w:sz w:val="20"/>
                <w:szCs w:val="20"/>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48,806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2"/>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100,974</w:t>
            </w:r>
          </w:p>
        </w:tc>
        <w:tc>
          <w:tcPr>
            <w:tcW w:w="160" w:type="dxa"/>
            <w:vAlign w:val="bottom"/>
          </w:tcPr>
          <w:p>
            <w:pPr>
              <w:spacing w:after="0"/>
              <w:rPr>
                <w:sz w:val="21"/>
                <w:szCs w:val="21"/>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79,144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21,830</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62 %</w:t>
            </w:r>
          </w:p>
        </w:tc>
        <w:tc>
          <w:tcPr>
            <w:tcW w:w="9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62 %</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4718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74"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Total cost of sales increased by $14.3 million, or 29%, for the year ended December 31, 2022 as compared to the year ended December 31, 2021. The increase in cost of sales was driven by increases in product and service revenue, primarily due to more instruments shipped, increased material costs, and increased service and manufacturing headcount and associated personnel cost, including an increase of $1.3 million in stock-based compensation for the year ended December 31, 2022 as compared to the year ended December 31, 2021.</w:t>
      </w:r>
    </w:p>
    <w:p>
      <w:pPr>
        <w:spacing w:after="0" w:line="79"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Total gross profit margin was 62% and 62% as a percent of total revenue for the year ended December 31, 2022 and 2021, respectively.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180" w:type="dxa"/>
            <w:vAlign w:val="bottom"/>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Product:</w:t>
            </w:r>
          </w:p>
        </w:tc>
        <w:tc>
          <w:tcPr>
            <w:tcW w:w="1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148,600</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119,519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29,081</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2"/>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49,955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12,578</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Arial" w:cs="Arial" w:eastAsia="Arial" w:hAnsi="Arial"/>
                <w:sz w:val="18"/>
                <w:szCs w:val="18"/>
                <w:color w:val="auto"/>
              </w:rPr>
              <w:t>Product gross profit</w:t>
            </w: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gridSpan w:val="2"/>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98,645</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82,142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9"/>
        </w:trPr>
        <w:tc>
          <w:tcPr>
            <w:tcW w:w="5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552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15,436</w:t>
            </w:r>
          </w:p>
        </w:tc>
        <w:tc>
          <w:tcPr>
            <w:tcW w:w="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13,107</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Arial" w:cs="Arial" w:eastAsia="Arial" w:hAnsi="Arial"/>
                <w:sz w:val="18"/>
                <w:szCs w:val="18"/>
                <w:color w:val="auto"/>
              </w:rPr>
              <w:t>Service gross profit</w:t>
            </w: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(2,998 )</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49"/>
        </w:trPr>
        <w:tc>
          <w:tcPr>
            <w:tcW w:w="5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15 %</w:t>
            </w:r>
          </w:p>
        </w:tc>
        <w:tc>
          <w:tcPr>
            <w:tcW w:w="3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31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Product gross profit and product revenue for the year ended December 31, 2022 increased 20% and 24%, respectively, as compared to the year ended December 31, 2021. Product cost of sales for the year ended December 31, 2022 increased by 34% as compared to the same period in 2021. The lower product gross margins in the year ended December 31, 2022 compared to the year ended December 31, 2021 were driven primarily by higher material costs and by less favorable instrument product mix.</w:t>
      </w:r>
    </w:p>
    <w:p>
      <w:pPr>
        <w:spacing w:after="0" w:line="79" w:lineRule="exact"/>
        <w:rPr>
          <w:sz w:val="20"/>
          <w:szCs w:val="20"/>
          <w:color w:val="auto"/>
        </w:rPr>
      </w:pPr>
    </w:p>
    <w:p>
      <w:pPr>
        <w:jc w:val="both"/>
        <w:ind w:right="60" w:firstLine="570"/>
        <w:spacing w:after="0" w:line="259" w:lineRule="auto"/>
        <w:rPr>
          <w:sz w:val="20"/>
          <w:szCs w:val="20"/>
          <w:color w:val="auto"/>
        </w:rPr>
      </w:pPr>
      <w:r>
        <w:rPr>
          <w:rFonts w:ascii="Arial" w:cs="Arial" w:eastAsia="Arial" w:hAnsi="Arial"/>
          <w:sz w:val="18"/>
          <w:szCs w:val="18"/>
          <w:color w:val="auto"/>
        </w:rPr>
        <w:t>Service gross profit and service revenue for the year ended December 31, 2022 increased 178% and 83%, respectively, as compared to the year ended December 31, 2021. Service cost of sales for the year ended December 31, 2022 increased by 15% as compared to the same period in 2021. The higher service gross margins in the year ended December 31, 2022 compared to the year ended December 31, 2021 were mainly driven by continued growth in the instruments installed base with more instrument coming off warranty.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62"/>
              <w:spacing w:after="0"/>
              <w:rPr>
                <w:sz w:val="20"/>
                <w:szCs w:val="20"/>
                <w:color w:val="auto"/>
              </w:rPr>
            </w:pPr>
            <w:r>
              <w:rPr>
                <w:rFonts w:ascii="Arial" w:cs="Arial" w:eastAsia="Arial" w:hAnsi="Arial"/>
                <w:sz w:val="18"/>
                <w:szCs w:val="18"/>
                <w:color w:val="auto"/>
              </w:rPr>
              <w:t>34,858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24,442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Research and development expenses were $34.9 million for the year ended December 31, 2022 as compared to $24.4 million for the year ended December 31, 2021. The increase of $10.4 million in research and development expenses was primarily due to an increase in headcount and personnel-related expenses, including stock-based compensation of $3.2 million.</w:t>
      </w:r>
    </w:p>
    <w:p>
      <w:pPr>
        <w:spacing w:after="0" w:line="76"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We expect our research and development expense to increase in absolute dollars as we continue to develop new products and enhance existing instruments and technologies.</w:t>
      </w:r>
    </w:p>
    <w:p>
      <w:pPr>
        <w:spacing w:after="0" w:line="1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62"/>
              <w:spacing w:after="0"/>
              <w:rPr>
                <w:sz w:val="20"/>
                <w:szCs w:val="20"/>
                <w:color w:val="auto"/>
              </w:rPr>
            </w:pPr>
            <w:r>
              <w:rPr>
                <w:rFonts w:ascii="Arial" w:cs="Arial" w:eastAsia="Arial" w:hAnsi="Arial"/>
                <w:sz w:val="18"/>
                <w:szCs w:val="18"/>
                <w:color w:val="auto"/>
              </w:rPr>
              <w:t>33,230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24,710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Sales and marketing expenses were $33.2 million for the year ended December 31, 2022 as compared to $24.7 million for the year ended December 31, 2021. The increase of $8.5 million in sales and marketing expenses was primarily due to an increase in headcount, commissions, and personnel-related expenses of $7.0 million, including stock-based compensation of $2.0 million.</w:t>
      </w:r>
    </w:p>
    <w:p>
      <w:pPr>
        <w:spacing w:after="0" w:line="76" w:lineRule="exact"/>
        <w:rPr>
          <w:sz w:val="20"/>
          <w:szCs w:val="20"/>
          <w:color w:val="auto"/>
        </w:rPr>
      </w:pPr>
    </w:p>
    <w:p>
      <w:pPr>
        <w:jc w:val="both"/>
        <w:ind w:right="60" w:firstLine="509"/>
        <w:spacing w:after="0" w:line="308" w:lineRule="auto"/>
        <w:rPr>
          <w:sz w:val="20"/>
          <w:szCs w:val="20"/>
          <w:color w:val="auto"/>
        </w:rPr>
      </w:pPr>
      <w:r>
        <w:rPr>
          <w:rFonts w:ascii="Arial" w:cs="Arial" w:eastAsia="Arial" w:hAnsi="Arial"/>
          <w:sz w:val="17"/>
          <w:szCs w:val="17"/>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24"/>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34,690</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20,835</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13,855</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General and administrative expenses were $34.7 million for the year ended December 31, 2022 as compared to $20.8 million for the year ended December 31, 2021. The increase of $13.9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$3.5 million.</w:t>
      </w:r>
    </w:p>
    <w:p>
      <w:pPr>
        <w:spacing w:after="0" w:line="79"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6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24"/>
        </w:trPr>
        <w:tc>
          <w:tcPr>
            <w:tcW w:w="5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Interest expense was $2.6 million for the year ended December 31, 2022 as compared to $1.7 million for the year ended December 31, 2021. The increase was mainly due to the accretion of the present value discount related to the settlement agreement with Becton, Dickinson and Company (“BD”). See Note 11 to our consolidated financial statements included elsewhere in this Annual Report on Form 10-K for further details.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4,619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341" w:lineRule="auto"/>
        <w:rPr>
          <w:sz w:val="20"/>
          <w:szCs w:val="20"/>
          <w:color w:val="auto"/>
        </w:rPr>
      </w:pPr>
      <w:r>
        <w:rPr>
          <w:rFonts w:ascii="Arial" w:cs="Arial" w:eastAsia="Arial" w:hAnsi="Arial"/>
          <w:sz w:val="17"/>
          <w:szCs w:val="17"/>
          <w:color w:val="auto"/>
        </w:rPr>
        <w:t>Interest income was $4.6 million and $0.5 million for the year ended December 31, 2022 and 2021, respectively. The increase in interest income was the result of higher interest earned on our cash and cash equivalents due to an increase in interest rates as compared to 2021.</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9"/>
                <w:szCs w:val="19"/>
                <w:color w:val="auto"/>
              </w:rPr>
            </w:pPr>
          </w:p>
        </w:tc>
        <w:tc>
          <w:tcPr>
            <w:tcW w:w="720" w:type="dxa"/>
            <w:vAlign w:val="bottom"/>
          </w:tcPr>
          <w:p>
            <w:pPr>
              <w:jc w:val="right"/>
              <w:ind w:right="54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1,018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(1,527 )</w:t>
            </w:r>
          </w:p>
        </w:tc>
        <w:tc>
          <w:tcPr>
            <w:tcW w:w="10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Other expense, net was $1.0 million for the year ended December 31, 2022 as compared to other expense, net of $1.5 million for the year ended December 31, 2021, respectively. The decrease of $2.5 million was primarily the result of the net impact of foreign exchange gains and losses during the year ended December 31,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(1,224 )</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Benefit from income tax was $1.2 million for the year ended December 31, 2022. The provision for income tax was $2.9 million for the year ended December 31, 2021. The net change of $4.1 million for the year ended December 31, 2022 was the result of lower earnings in 2022 combined with an increase in research and development credits claimed. Income tax benefit from research credits</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69" w:name="page70"/>
    <w:bookmarkEnd w:id="69"/>
    <w:p>
      <w:pPr>
        <w:jc w:val="both"/>
        <w:ind w:right="60"/>
        <w:spacing w:after="0" w:line="277" w:lineRule="auto"/>
        <w:rPr>
          <w:sz w:val="20"/>
          <w:szCs w:val="20"/>
          <w:color w:val="auto"/>
        </w:rPr>
      </w:pPr>
      <w:r>
        <w:rPr>
          <w:rFonts w:ascii="Arial" w:cs="Arial" w:eastAsia="Arial" w:hAnsi="Arial"/>
          <w:sz w:val="18"/>
          <w:szCs w:val="18"/>
          <w:color w:val="auto"/>
        </w:rPr>
        <w:t>exceeded 2022 earnings before income tax and accordingly income tax benefit was recorded despite other items which increased the effective tax rate on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right="60" w:firstLine="509"/>
        <w:spacing w:after="0" w:line="273" w:lineRule="auto"/>
        <w:rPr>
          <w:sz w:val="20"/>
          <w:szCs w:val="20"/>
          <w:color w:val="auto"/>
        </w:rPr>
      </w:pPr>
      <w:r>
        <w:rPr>
          <w:rFonts w:ascii="Arial" w:cs="Arial" w:eastAsia="Arial" w:hAnsi="Arial"/>
          <w:sz w:val="17"/>
          <w:szCs w:val="17"/>
          <w:color w:val="auto"/>
        </w:rPr>
        <w:t>To supplement our consolidated financial statements presented in accordance with generally accepted accounting principles, we use constant currency revenue, which is a non-GAAP financial measure. We believe the presentation of revenue on a constant currency basis, in addition to results reported in accordance with U.S. 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U.S. GAAP. Revenue on a constant currency basis, as we present it, may not be comparable to similarly titled measures used by other companies.</w:t>
      </w:r>
    </w:p>
    <w:p>
      <w:pPr>
        <w:spacing w:after="0" w:line="70" w:lineRule="exact"/>
        <w:rPr>
          <w:sz w:val="20"/>
          <w:szCs w:val="20"/>
          <w:color w:val="auto"/>
        </w:rPr>
      </w:pPr>
    </w:p>
    <w:p>
      <w:pPr>
        <w:jc w:val="both"/>
        <w:ind w:right="60" w:firstLine="509"/>
        <w:spacing w:after="0" w:line="308" w:lineRule="auto"/>
        <w:rPr>
          <w:sz w:val="20"/>
          <w:szCs w:val="20"/>
          <w:color w:val="auto"/>
        </w:rPr>
      </w:pPr>
      <w:r>
        <w:rPr>
          <w:rFonts w:ascii="Arial" w:cs="Arial" w:eastAsia="Arial" w:hAnsi="Arial"/>
          <w:sz w:val="17"/>
          <w:szCs w:val="17"/>
          <w:color w:val="auto"/>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spacing w:after="0" w:line="38"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following table presents a reconciliation of constant currency revenue to our reported net revenue for the periods indicated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7600" w:type="dxa"/>
            <w:vAlign w:val="bottom"/>
            <w:vMerge w:val="continue"/>
          </w:tcPr>
          <w:p>
            <w:pPr>
              <w:spacing w:after="0"/>
              <w:rPr>
                <w:sz w:val="16"/>
                <w:szCs w:val="16"/>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31,2022</w:t>
            </w:r>
          </w:p>
        </w:tc>
        <w:tc>
          <w:tcPr>
            <w:tcW w:w="1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31,2022</w:t>
            </w:r>
          </w:p>
        </w:tc>
        <w:tc>
          <w:tcPr>
            <w:tcW w:w="0" w:type="dxa"/>
            <w:vAlign w:val="bottom"/>
          </w:tcPr>
          <w:p>
            <w:pPr>
              <w:spacing w:after="0"/>
              <w:rPr>
                <w:sz w:val="1"/>
                <w:szCs w:val="1"/>
                <w:color w:val="auto"/>
              </w:rPr>
            </w:pPr>
          </w:p>
        </w:tc>
      </w:tr>
      <w:tr>
        <w:trPr>
          <w:trHeight w:val="473"/>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 reported</w:t>
            </w:r>
          </w:p>
        </w:tc>
        <w:tc>
          <w:tcPr>
            <w:tcW w:w="16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164,036</w:t>
            </w:r>
          </w:p>
        </w:tc>
        <w:tc>
          <w:tcPr>
            <w:tcW w:w="1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48,336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constant currency</w:t>
            </w:r>
          </w:p>
        </w:tc>
        <w:tc>
          <w:tcPr>
            <w:tcW w:w="16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171,793</w:t>
            </w:r>
          </w:p>
        </w:tc>
        <w:tc>
          <w:tcPr>
            <w:tcW w:w="1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51,184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FX Impact [$]</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7,757</w:t>
            </w:r>
          </w:p>
        </w:tc>
        <w:tc>
          <w:tcPr>
            <w:tcW w:w="120" w:type="dxa"/>
            <w:vAlign w:val="bottom"/>
          </w:tcPr>
          <w:p>
            <w:pPr>
              <w:spacing w:after="0"/>
              <w:rPr>
                <w:sz w:val="19"/>
                <w:szCs w:val="19"/>
                <w:color w:val="auto"/>
              </w:rPr>
            </w:pPr>
          </w:p>
        </w:tc>
        <w:tc>
          <w:tcPr>
            <w:tcW w:w="1860" w:type="dxa"/>
            <w:vAlign w:val="bottom"/>
          </w:tcPr>
          <w:p>
            <w:pPr>
              <w:jc w:val="right"/>
              <w:ind w:right="36"/>
              <w:spacing w:after="0"/>
              <w:rPr>
                <w:sz w:val="20"/>
                <w:szCs w:val="20"/>
                <w:color w:val="auto"/>
              </w:rPr>
            </w:pPr>
            <w:r>
              <w:rPr>
                <w:rFonts w:ascii="Arial" w:cs="Arial" w:eastAsia="Arial" w:hAnsi="Arial"/>
                <w:sz w:val="18"/>
                <w:szCs w:val="18"/>
                <w:color w:val="auto"/>
              </w:rPr>
              <w:t>2,848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600" w:type="dxa"/>
            <w:vAlign w:val="bottom"/>
          </w:tcPr>
          <w:p>
            <w:pPr>
              <w:ind w:left="20"/>
              <w:spacing w:after="0"/>
              <w:rPr>
                <w:sz w:val="20"/>
                <w:szCs w:val="20"/>
                <w:color w:val="auto"/>
              </w:rPr>
            </w:pPr>
            <w:r>
              <w:rPr>
                <w:rFonts w:ascii="Arial" w:cs="Arial" w:eastAsia="Arial" w:hAnsi="Arial"/>
                <w:sz w:val="18"/>
                <w:szCs w:val="18"/>
                <w:color w:val="auto"/>
              </w:rPr>
              <w:t>FX Impact [%]</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4.7 %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16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December 31, 2022 and December 31, 2021, we had approximately $296.6 million and $364.6 million, respectively, in cash and cash equivalents, which were primarily held in U.S. short-term bank deposit accounts and money market funds.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117"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84" w:lineRule="exact"/>
        <w:rPr>
          <w:sz w:val="20"/>
          <w:szCs w:val="20"/>
          <w:color w:val="auto"/>
        </w:rPr>
      </w:pPr>
    </w:p>
    <w:p>
      <w:pPr>
        <w:jc w:val="both"/>
        <w:ind w:right="60" w:firstLine="509"/>
        <w:spacing w:after="0" w:line="342" w:lineRule="auto"/>
        <w:rPr>
          <w:sz w:val="20"/>
          <w:szCs w:val="20"/>
          <w:color w:val="auto"/>
        </w:rPr>
      </w:pPr>
      <w:r>
        <w:rPr>
          <w:rFonts w:ascii="Arial" w:cs="Arial" w:eastAsia="Arial" w:hAnsi="Arial"/>
          <w:sz w:val="16"/>
          <w:szCs w:val="16"/>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16"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$16.4 million as of December 31, 2022.</w:t>
      </w:r>
    </w:p>
    <w:p>
      <w:pPr>
        <w:spacing w:after="0" w:line="76" w:lineRule="exact"/>
        <w:rPr>
          <w:sz w:val="20"/>
          <w:szCs w:val="20"/>
          <w:color w:val="auto"/>
        </w:rPr>
      </w:pPr>
    </w:p>
    <w:p>
      <w:pPr>
        <w:jc w:val="both"/>
        <w:ind w:right="60" w:firstLine="509"/>
        <w:spacing w:after="0" w:line="308" w:lineRule="auto"/>
        <w:rPr>
          <w:sz w:val="20"/>
          <w:szCs w:val="20"/>
          <w:color w:val="auto"/>
        </w:rPr>
      </w:pPr>
      <w:r>
        <w:rPr>
          <w:rFonts w:ascii="Arial" w:cs="Arial" w:eastAsia="Arial" w:hAnsi="Arial"/>
          <w:sz w:val="17"/>
          <w:szCs w:val="17"/>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Annual Report on Form 10-K.</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60" w:firstLine="509"/>
        <w:spacing w:after="0" w:line="308"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38"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70" w:name="page71"/>
    <w:bookmarkEnd w:id="70"/>
    <w:p>
      <w:pPr>
        <w:jc w:val="both"/>
        <w:ind w:firstLine="509"/>
        <w:spacing w:after="0" w:line="259" w:lineRule="auto"/>
        <w:rPr>
          <w:sz w:val="20"/>
          <w:szCs w:val="20"/>
          <w:color w:val="auto"/>
        </w:rPr>
      </w:pPr>
      <w:r>
        <w:rPr>
          <w:rFonts w:ascii="Arial" w:cs="Arial" w:eastAsia="Arial" w:hAnsi="Arial"/>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69"/>
        </w:trPr>
        <w:tc>
          <w:tcPr>
            <w:tcW w:w="7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420" w:type="dxa"/>
            <w:vAlign w:val="bottom"/>
          </w:tcPr>
          <w:p>
            <w:pPr>
              <w:jc w:val="right"/>
              <w:ind w:right="7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733"/>
              <w:spacing w:after="0"/>
              <w:rPr>
                <w:sz w:val="20"/>
                <w:szCs w:val="20"/>
                <w:color w:val="auto"/>
              </w:rPr>
            </w:pPr>
            <w:r>
              <w:rPr>
                <w:rFonts w:ascii="Arial" w:cs="Arial" w:eastAsia="Arial" w:hAnsi="Arial"/>
                <w:sz w:val="14"/>
                <w:szCs w:val="14"/>
                <w:b w:val="1"/>
                <w:bCs w:val="1"/>
                <w:color w:val="auto"/>
              </w:rPr>
              <w:t>2021</w:t>
            </w:r>
          </w:p>
        </w:tc>
      </w:tr>
      <w:tr>
        <w:trPr>
          <w:trHeight w:val="237"/>
        </w:trPr>
        <w:tc>
          <w:tcPr>
            <w:tcW w:w="7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7"/>
        </w:trPr>
        <w:tc>
          <w:tcPr>
            <w:tcW w:w="73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(12,231 )</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4,630</w:t>
            </w:r>
          </w:p>
        </w:tc>
      </w:tr>
      <w:tr>
        <w:trPr>
          <w:trHeight w:val="249"/>
        </w:trPr>
        <w:tc>
          <w:tcPr>
            <w:tcW w:w="7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(55,909 )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(20,993 )</w:t>
            </w:r>
          </w:p>
        </w:tc>
      </w:tr>
      <w:tr>
        <w:trPr>
          <w:trHeight w:val="237"/>
        </w:trPr>
        <w:tc>
          <w:tcPr>
            <w:tcW w:w="738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5,513</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213,559</w:t>
            </w:r>
          </w:p>
        </w:tc>
      </w:tr>
      <w:tr>
        <w:trPr>
          <w:trHeight w:val="243"/>
        </w:trPr>
        <w:tc>
          <w:tcPr>
            <w:tcW w:w="73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(2,491 )</w:t>
            </w: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1,303</w:t>
            </w:r>
          </w:p>
        </w:tc>
      </w:tr>
      <w:tr>
        <w:trPr>
          <w:trHeight w:val="243"/>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(65,118 )</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198,499</w:t>
            </w: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-187960</wp:posOffset>
            </wp:positionV>
            <wp:extent cx="1111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Net cash used in operating activities for the year ended December 31, 2022 was $12.2 million including net income of $2.5 million. We also incurred non-cash stock-based compensation expense, depreciation and amortization, amortization of right-of-use assets, and interest expenses for accretion of the legal settlement liabilities of $16.6 million, $2.5 million, $3.2 million, and $2.2 million, respectively. Usage of cash included an increase of inventories of $17.7 million, an increase of trade accounts receivable of $19.7 million due to an increase in sales, and an increase in prepaid expenses and other assets of $19.4 million. This was partially offset by an increase of trade accounts payables of $1.9 million, an increase in deferred revenue of $9.4 million, an increase in accrued expenses and other liabilities of $7.5 million and an increase in the legal settlement liability of $0.4 million.</w:t>
      </w:r>
    </w:p>
    <w:p>
      <w:pPr>
        <w:spacing w:after="0" w:line="5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Net cash provided by operating activities for the year ended December 31, 2021 was $4.6 million, including net income of $3.0 million. We also incurred non-cash stock-based compensation expense, interest expenses for accretion of the legal settlement liabilities, and depreciation and amortization of $6.6 million, $1.7 million, and $1.2 million, respectively. Usage of cash included an increase of trade accounts receivable of $12.4 million due to an increase in sales, an increase in inventories of $7.1 million, an increase in prepaid expenses and other assets of $6.3 million, and a decrease in the legal settlement liability of $3.7 million due to payment to BD of $6.0 million, which is offset by increased royalty accrual. This was partially offset by an increase in deferred revenue of $10.0 million and an increase in accrued expenses and other liabilities of $11.0 million.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2022 was $55.9 million driven by purchases of marketable securities of $44.5 million, purchases of property and equipment of $9.9 million, and payment of investments of $1.6 million.</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Net cash used in investing activities during the year ended December 31, 2021 was $21.0 million driven by our acquisition of Tonbo's reagents business for $17.0 million, an increase in purchases of property and equipment of $4.4 million partially offset by the payment for the additional investment in Cytek Japan Kabushiki Kaisha (“Cytek Japan”), net of cash acquired of $371,000. See Note 18 to our consolidated financial statements included elsewhere in this Annual Report on Form 10-K.</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2022 was $5.5 million driven by proceeds from a loan of $2.9 million and issuance of our common stock under our equity incentive plans.</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2021 was $213.6 million primarily driven by our IPO, which resulted in net proceeds to us of approximately $215.7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During the year ended December 31, 2022, there were no material changes to our contractual obligations and commitments from those described under “Management’s Discussion and Analysis of Financial Condition” which is contained in our 10-K and filed with the SEC on March 17, 2022.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3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special purpose entities, that were established for the purpose of facilitating off-balance sheet arrangements or other contractually narrow or limited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have prepared our consolidated financial statements in accordance with accounting principles generally accepted in the United States of America ("U.S.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based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26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Actual results could therefore differ materially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Note 2 to our consolidated financial statements included elsewhere in this Annual Report on Form 10-K, we believe that the following accounting policies are the most critical to understanding and evaluating our reported consolidated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3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product revenue primarily consists of sale of our Aurora, Aurora CS and Northern Lights systems, instrument accessories, such as loaders and, to a lesser extent,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27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Our service revenue consists of post-warranty service contracts, preventative maintenance plans, repairs, installation and quality check, customer training and other specialized product support services. We recognize service contract revenue ratably over the term of the contract and other service obligations as they are performed. 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w:t>
      </w:r>
    </w:p>
    <w:p>
      <w:pPr>
        <w:spacing w:after="0" w:line="2" w:lineRule="exact"/>
        <w:rPr>
          <w:sz w:val="20"/>
          <w:szCs w:val="20"/>
          <w:color w:val="auto"/>
        </w:rPr>
      </w:pPr>
    </w:p>
    <w:p>
      <w:pPr>
        <w:ind w:firstLine="8"/>
        <w:spacing w:after="0" w:line="260" w:lineRule="auto"/>
        <w:tabs>
          <w:tab w:leader="none" w:pos="3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29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defined as the unit of account for revenue recognition under the contract with customers guidance. Performance obligations are considered distinct if they are both capable of being distinct, and distinct within the context of the contract. The Company identified the following performance obligations in the contracts: product sales of instrument systems, installation on instrument systems, delivery of instrument accessories such as loaders, consumables, reagents, extended service contracts and professional services revenue for post-warranty service contracts, preventative maintenance plans, repairs, installations, training, time and material services and other specialized support services. A good or service is distinct when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w:t>
      </w:r>
    </w:p>
    <w:p>
      <w:pPr>
        <w:spacing w:after="0" w:line="28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Payments from customers are in arrears. For arrangements where the anticipated period between timing of transfer of services and the timing of payment is one year or less, we have elected to not assess whether a significant financing component exists. For arrangements with terms greater than one year, payments are received up-front and are for reasons other than financing. Revenue is recognized only to the extent that it is probable that a significant reversal of the cumulative amount recognized will not occur in future periods.</w:t>
      </w:r>
    </w:p>
    <w:p>
      <w:pPr>
        <w:spacing w:after="0" w:line="2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Certain of our sales contracts involve the delivery or performance of multiple products and services within contractually binding arrangements. Significant judgment is sometimes required to determine the appropriate accounting for such arrangements, including whether the deliverables specified in a contract with multiple promises should be treated as separate performance obligations for revenue recognition purposes and, if so, how the related sales price should be allocated among the performance obligations, when to recognize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revenue for each performance obligation, and the period over which revenue should be recognized. For most of our performance obligations, we have established the stand-alone selling prices (“SSP”) as a range rather than a single value, based on standalone sales of products. We allocate revenue to the performance obligations based on their relative standalone selling prices SSP.</w:t>
      </w:r>
    </w:p>
    <w:p>
      <w:pPr>
        <w:spacing w:after="0" w:line="2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Taxes, such as 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2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describes the nature of our primary types of revenue and the revenue recognition policies and significant payment terms as they pertain to the types of transactions we enter into with our customers.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standard arrangement for sales to end users is generally a purchase order or an executed contract. Product revenue is recognized upon transfer of control of the product to the customer, which, for us, generally occurs at a point in time depending on the shipping terms. Payment terms are generally 30 to 90 days from the date of invoicing.</w:t>
      </w:r>
    </w:p>
    <w:p>
      <w:pPr>
        <w:spacing w:after="0" w:line="29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distributor arrangements with our customers include a purchase order. The purchase order is governed by terms and conditions of the distributor agreements. Revenue is recognized upon transfer of control of the products to the distributor, which for us, occurs at a point in time depending on the shipping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services are primarily a mix of service contracts, installation services, and time and material-based repair and support. We recognize revenue from the sale of service contracts over the respective period, while revenue on product support is recognized as the services are performed. Service contracts are typically between one and three years. Payment terms are generally 30 days from the date of invoicing. Installation revenue is recognized upon completion of the installation, which, for us, occurs at a point in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Inventories are stated at the lower of cost and net realizable value. Cost is computed using standard cost, which approximates actual cost on a first-in, first-out basis. We regularly monitor inventory quantities on hand and record write-downs for excess and obsolete inventories based on our estimate of demand for our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Our estimates of forecasted demand are based upon our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Contract assets are recorded when the amount of revenue recognized exceeds the amount invoiced to the customer and the right to payment is not solely subject to the passage of time. As of December 31, 2021 and 2020, we had immaterial amounts of contract assets included within prepaid expenses and other current assets on the consolidated balance sheets.</w:t>
      </w:r>
    </w:p>
    <w:p>
      <w:pPr>
        <w:spacing w:after="0" w:line="2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Contract liabilities consist of fees invoiced or paid by our customers for which the associated services have not been performed and revenue has not been recognized based on our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to simplify the subsequent measurement of goodwill by eliminating Step 2 from the goodwill impairment test. We adopted this guidance during the year ended December 31, 2019, and the adoption did not have a material impact on the consolidated financial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statements.</w:t>
      </w:r>
    </w:p>
    <w:p>
      <w:pPr>
        <w:spacing w:after="0" w:line="333"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We recognize goodwill in accounting for business combinations based on the amount by which the total consideration transferred, exceeds the fair value of identifiable assets acquired and liabilities assumed. Identifiable intangible assets other than goodwill are primarily comprised of patents and trademarks which amortize on a straight-line basis over an assigned useful life based on management’s estimate of the period the asset is expected to contribute to future cash flows.</w:t>
      </w:r>
    </w:p>
    <w:p>
      <w:pPr>
        <w:spacing w:after="0" w:line="79" w:lineRule="exact"/>
        <w:rPr>
          <w:sz w:val="20"/>
          <w:szCs w:val="20"/>
          <w:color w:val="auto"/>
        </w:rPr>
      </w:pPr>
    </w:p>
    <w:p>
      <w:pPr>
        <w:jc w:val="both"/>
        <w:ind w:right="60" w:firstLine="509"/>
        <w:spacing w:after="0" w:line="293" w:lineRule="auto"/>
        <w:rPr>
          <w:sz w:val="20"/>
          <w:szCs w:val="20"/>
          <w:color w:val="auto"/>
        </w:rPr>
      </w:pPr>
      <w:r>
        <w:rPr>
          <w:rFonts w:ascii="Arial" w:cs="Arial" w:eastAsia="Arial" w:hAnsi="Arial"/>
          <w:sz w:val="16"/>
          <w:szCs w:val="16"/>
          <w:color w:val="auto"/>
        </w:rPr>
        <w:t>We assess our goodwill and indefinite-lived intangible assets for impairment at least annually in the fourth quarter, or more frequently if factors indicate impairment may exist. Our qualitative goodwill impairment analysis consists of assessing whether any events or circumstances listed in ASC 350-20-35-3A (“triggering events”) existed or occurred in the year under review to the date of the financial statements. The qualitative analysis assesses macroeconomic conditions, market, and industry considerations, change in cost factors, overall company financial performance, and any events affecting the reporting unit. Based on the qualitative analysis results, we determined that it is more likely than not that the fair values of the reporting unit exceed the carrying value and that no triggering events were noted that would require a quantitative impairment assessment in the fiscal year.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We maintain an equity incentive compensation plan under which incentive stock options and nonqualified stock options to purchase common stock, and restricted stock units for common stock, are granted primarily to employees and non-employee consultants.</w:t>
      </w:r>
    </w:p>
    <w:p>
      <w:pPr>
        <w:spacing w:after="0" w:line="278" w:lineRule="exact"/>
        <w:rPr>
          <w:sz w:val="20"/>
          <w:szCs w:val="20"/>
          <w:color w:val="auto"/>
        </w:rPr>
      </w:pPr>
    </w:p>
    <w:p>
      <w:pPr>
        <w:jc w:val="both"/>
        <w:ind w:right="80" w:firstLine="509"/>
        <w:spacing w:after="0" w:line="308" w:lineRule="auto"/>
        <w:rPr>
          <w:sz w:val="20"/>
          <w:szCs w:val="20"/>
          <w:color w:val="auto"/>
        </w:rPr>
      </w:pPr>
      <w:r>
        <w:rPr>
          <w:rFonts w:ascii="Arial" w:cs="Arial" w:eastAsia="Arial" w:hAnsi="Arial"/>
          <w:sz w:val="17"/>
          <w:szCs w:val="17"/>
          <w:color w:val="auto"/>
        </w:rPr>
        <w:t>Stock-based compensation cost is measured at the grant date based on the fair value of the award and is recognized as expense over the vesting period. The fair value of stock options is estimated using the Black-Scholes option pricing model. We record forfeitures as they occur.</w:t>
      </w:r>
    </w:p>
    <w:p>
      <w:pPr>
        <w:spacing w:after="0" w:line="254"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 based awards. These variables include the per share fair value of the underlying common stock, exercise price, expected term, risk-free interest rate, expected annual dividend yield and expected stock price volatility over the expected term. For all stock options granted, we calculated the expected term using the simplified method for standard stock option awards. After our IPO, the fair value of our common stock is determined by the closing price of our common stock on the date of grant as reported on the Nasdaq Global Select Market. The risk-free interest rate is based on the yield available on U.S. Treasury zero-coupon issues similar in duration to the expected term of the equity-settled award.</w:t>
      </w:r>
    </w:p>
    <w:p>
      <w:pPr>
        <w:spacing w:after="0" w:line="300"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stock options granted during each of the periods presented:</w:t>
      </w:r>
    </w:p>
    <w:p>
      <w:pPr>
        <w:spacing w:after="0" w:line="67"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0"/>
                <w:szCs w:val="20"/>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c>
          <w:tcPr>
            <w:tcW w:w="9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42"/>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9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8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our business corresponding to the expected term of the awards.</w:t>
      </w:r>
    </w:p>
    <w:p>
      <w:pPr>
        <w:spacing w:after="0" w:line="62" w:lineRule="exact"/>
        <w:rPr>
          <w:sz w:val="20"/>
          <w:szCs w:val="20"/>
          <w:color w:val="auto"/>
        </w:rPr>
      </w:pPr>
    </w:p>
    <w:p>
      <w:pPr>
        <w:jc w:val="both"/>
        <w:ind w:right="80" w:firstLine="509"/>
        <w:spacing w:after="0" w:line="277" w:lineRule="auto"/>
        <w:rPr>
          <w:sz w:val="20"/>
          <w:szCs w:val="20"/>
          <w:color w:val="auto"/>
        </w:rPr>
      </w:pPr>
      <w:r>
        <w:rPr>
          <w:rFonts w:ascii="Arial" w:cs="Arial" w:eastAsia="Arial" w:hAnsi="Arial"/>
          <w:sz w:val="18"/>
          <w:szCs w:val="18"/>
          <w:color w:val="auto"/>
        </w:rPr>
        <w:t>Expected term—Expected term represents the period that our stock-based awards are expected to be outstanding and is determined using the simplified method.</w:t>
      </w:r>
    </w:p>
    <w:p>
      <w:pPr>
        <w:spacing w:after="0" w:line="62"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62"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Dividend yield— The expected dividend yield is zero as we have never declared or paid cash dividends and have no current plans to do so in the foreseeable future.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20" w:right="240" w:firstLine="509"/>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a description of recent accounting pronouncements applicable to our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December 31, 2022, we had cash and cash equivalents of $296.6 million, which consisted primarily of money market funds and bank deposits. The primary objective of our investment is to preserve principal and provide liquidity. These money market funds and bank deposits generate interest income at variable rates.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do not believe that either inflation or foreign currency risk had a material effect on our business, financial condition, or results of operations during the periods presented. Please see the section entitled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Cytek Biosciences,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Cytek Biosciences, Inc. and subsidiaries (the "Company") as of December 31, 2022 and 2021, the related consolidated statements of operations and comprehensive income, redeemable convertible preferred stock and stockholders’ equity (deficit),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or International Financial Reporting Standards as issued by the International Accounting Standards Board.</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2023, expressed an adverse opinion on the Company's internal control over financial reporting because of material weaknesses.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effective January 1, 2022, due to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ind w:right="3680"/>
        <w:spacing w:after="0" w:line="378" w:lineRule="auto"/>
        <w:rPr>
          <w:sz w:val="20"/>
          <w:szCs w:val="20"/>
          <w:color w:val="auto"/>
        </w:rPr>
      </w:pPr>
      <w:r>
        <w:rPr>
          <w:rFonts w:ascii="Arial" w:cs="Arial" w:eastAsia="Arial" w:hAnsi="Arial"/>
          <w:sz w:val="18"/>
          <w:szCs w:val="18"/>
          <w:b w:val="1"/>
          <w:bCs w:val="1"/>
          <w:color w:val="auto"/>
        </w:rPr>
        <w:t xml:space="preserve">Inventories – Excess and Obsolete Inventories — Refer to Notes 2 and 5 to the financial statements </w:t>
      </w:r>
      <w:r>
        <w:rPr>
          <w:rFonts w:ascii="Arial" w:cs="Arial" w:eastAsia="Arial" w:hAnsi="Arial"/>
          <w:sz w:val="18"/>
          <w:szCs w:val="18"/>
          <w:i w:val="1"/>
          <w:iCs w:val="1"/>
          <w:color w:val="auto"/>
        </w:rPr>
        <w:t>Critical Audit Matter Description</w:t>
      </w:r>
    </w:p>
    <w:p>
      <w:pPr>
        <w:jc w:val="both"/>
        <w:spacing w:after="0" w:line="255" w:lineRule="auto"/>
        <w:rPr>
          <w:sz w:val="20"/>
          <w:szCs w:val="20"/>
          <w:color w:val="auto"/>
        </w:rPr>
      </w:pPr>
      <w:r>
        <w:rPr>
          <w:rFonts w:ascii="Arial" w:cs="Arial" w:eastAsia="Arial" w:hAnsi="Arial"/>
          <w:sz w:val="18"/>
          <w:szCs w:val="18"/>
          <w:color w:val="auto"/>
        </w:rPr>
        <w:t>The Company records write-downs for excess and obsolete inventories based on the Company’s estimate of demand for its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The Company’s inventories balance is $48.2 million as of December 31, 2022.</w:t>
      </w: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excess and obsolete inventories as a critical audit matter because of the estimates and assumptions made by management to evaluate inventories for excess and obsolescence, especially considering the uncertainty present in these estimates and assumptions. This required a high degree of auditor judgment when performing audit procedures to evaluate the reasonableness of management’s estimates and assumptions related to excess and obsolete inventories.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excess and obsolete inventories included the following, among others:</w:t>
      </w:r>
    </w:p>
    <w:p>
      <w:pPr>
        <w:spacing w:after="0" w:line="333" w:lineRule="exact"/>
        <w:rPr>
          <w:sz w:val="20"/>
          <w:szCs w:val="20"/>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management’s estimates and assumptions used to evaluate excess and obsolete inventories, including internal controls over the estimates of demand for products.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reasonableness of management’s method, assumptions, and judgments used in developing their estimate of excess and obsolete inventories, which included estimates of demand for its products, potential obsolescence of technology, product life cycles, pricing trends and forecasts, and selling prices.</w:t>
      </w:r>
    </w:p>
    <w:p>
      <w:pPr>
        <w:spacing w:after="0" w:line="75"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tested underlying data used and considered by management in making their estimates and assumptions related to excess and obsolete inventories, including the amount of inventory on hand, estimates of demand for products, and historical usage by product.</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compared actual inventory usage and write-down activity in the current year to the excess and obsolete estimates made by management in the prior year to evaluate management’s ability to make accurate estimates.</w:t>
      </w:r>
    </w:p>
    <w:p>
      <w:pPr>
        <w:spacing w:after="0" w:line="62" w:lineRule="exact"/>
        <w:rPr>
          <w:rFonts w:ascii="Arial" w:cs="Arial" w:eastAsia="Arial" w:hAnsi="Arial"/>
          <w:sz w:val="18"/>
          <w:szCs w:val="18"/>
          <w:color w:val="auto"/>
        </w:rPr>
      </w:pPr>
    </w:p>
    <w:p>
      <w:pPr>
        <w:ind w:left="1020" w:right="20" w:hanging="503"/>
        <w:spacing w:after="0" w:line="25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selected a sample of inventory items from a) those management determined to be excess and obsolete and b) those management did not determine to be excess and obsolete, and performed the following:</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 We evaluated the reasonableness of management’s estimates and assumptions by obtaining product-specific information.</w:t>
      </w:r>
    </w:p>
    <w:p>
      <w:pPr>
        <w:spacing w:after="0" w:line="20" w:lineRule="exact"/>
        <w:rPr>
          <w:rFonts w:ascii="Arial" w:cs="Arial" w:eastAsia="Arial" w:hAnsi="Arial"/>
          <w:sz w:val="18"/>
          <w:szCs w:val="18"/>
          <w:color w:val="auto"/>
        </w:rPr>
      </w:pPr>
    </w:p>
    <w:p>
      <w:pPr>
        <w:ind w:left="1540"/>
        <w:spacing w:after="0" w:line="260" w:lineRule="auto"/>
        <w:rPr>
          <w:rFonts w:ascii="Arial" w:cs="Arial" w:eastAsia="Arial" w:hAnsi="Arial"/>
          <w:sz w:val="18"/>
          <w:szCs w:val="18"/>
          <w:color w:val="auto"/>
        </w:rPr>
      </w:pPr>
      <w:r>
        <w:rPr>
          <w:rFonts w:ascii="Arial" w:cs="Arial" w:eastAsia="Arial" w:hAnsi="Arial"/>
          <w:sz w:val="18"/>
          <w:szCs w:val="18"/>
          <w:color w:val="auto"/>
        </w:rPr>
        <w:t>— We inquired of management, including personnel with operational roles, regarding the estimates and assumptions specific to the selected inventory items.</w:t>
      </w:r>
    </w:p>
    <w:p>
      <w:pPr>
        <w:spacing w:after="0" w:line="7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considered inventory write-downs made subsequent to December 31, 2022 in evaluating the reasonableness of management’s estimates and assumptions related to excess and obsolete inventories.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1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296,601</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2,899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44,548</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48,864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48,154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12,954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454,020</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431,733</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Deferred income tax assets, noncurrent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20,459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13,682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13,883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10,144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4,331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2,957</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519,476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accounts payable</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4,805</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Legal settlement liability, current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2,163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21,126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7,960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12,986</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49,040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 liability, noncurrent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15,596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13,124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12,312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Long term debt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1,587</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6"/>
        </w:trPr>
        <w:tc>
          <w:tcPr>
            <w:tcW w:w="710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93,930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19)</w:t>
            </w:r>
          </w:p>
        </w:tc>
        <w:tc>
          <w:tcPr>
            <w:tcW w:w="1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w w:val="90"/>
              </w:rPr>
              <w:t>Common stock, $0.001 par value; 1,000,000,000 authorized shares as of December 31, 2022 and</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w w:val="90"/>
              </w:rPr>
              <w:t>December 31, 2021, respectively; 135,365,381 and 133,749,663 issued and outstanding shares as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of December 31, 2022 and December 31, 2021, respectively.</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442,887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423,625</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(17,030 )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(19,606 )</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(697 )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Noncontrolling interest in consolidated subsidiary</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425,546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405,385</w:t>
            </w:r>
          </w:p>
        </w:tc>
        <w:tc>
          <w:tcPr>
            <w:tcW w:w="0" w:type="dxa"/>
            <w:vAlign w:val="bottom"/>
          </w:tcPr>
          <w:p>
            <w:pPr>
              <w:spacing w:after="0"/>
              <w:rPr>
                <w:sz w:val="1"/>
                <w:szCs w:val="1"/>
                <w:color w:val="auto"/>
              </w:rPr>
            </w:pPr>
          </w:p>
        </w:tc>
      </w:tr>
      <w:tr>
        <w:trPr>
          <w:trHeight w:val="283"/>
        </w:trPr>
        <w:tc>
          <w:tcPr>
            <w:tcW w:w="71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519,476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-4079875</wp:posOffset>
            </wp:positionV>
            <wp:extent cx="10287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-2811145</wp:posOffset>
            </wp:positionV>
            <wp:extent cx="10287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-1876425</wp:posOffset>
            </wp:positionV>
            <wp:extent cx="1028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-351155</wp:posOffset>
            </wp:positionV>
            <wp:extent cx="1028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-24765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-8255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391" w:right="6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5"/>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r>
      <w:tr>
        <w:trPr>
          <w:trHeight w:val="237"/>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Product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148,600</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119,519</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85,283</w:t>
            </w:r>
          </w:p>
        </w:tc>
      </w:tr>
      <w:tr>
        <w:trPr>
          <w:trHeight w:val="24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15,436</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8,431</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7,556</w:t>
            </w:r>
          </w:p>
        </w:tc>
      </w:tr>
      <w:tr>
        <w:trPr>
          <w:trHeight w:val="236"/>
        </w:trPr>
        <w:tc>
          <w:tcPr>
            <w:tcW w:w="6380" w:type="dxa"/>
            <w:vAlign w:val="bottom"/>
          </w:tcPr>
          <w:p>
            <w:pPr>
              <w:ind w:left="200"/>
              <w:spacing w:after="0"/>
              <w:rPr>
                <w:sz w:val="20"/>
                <w:szCs w:val="20"/>
                <w:color w:val="auto"/>
              </w:rPr>
            </w:pPr>
            <w:r>
              <w:rPr>
                <w:rFonts w:ascii="Arial" w:cs="Arial" w:eastAsia="Arial" w:hAnsi="Arial"/>
                <w:sz w:val="18"/>
                <w:szCs w:val="18"/>
                <w:color w:val="auto"/>
              </w:rPr>
              <w:t>Total revenue, net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164,036</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127,950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92,839</w:t>
            </w:r>
          </w:p>
        </w:tc>
      </w:tr>
      <w:tr>
        <w:trPr>
          <w:trHeight w:val="243"/>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49,955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37,377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32,277</w:t>
            </w:r>
          </w:p>
        </w:tc>
      </w:tr>
      <w:tr>
        <w:trPr>
          <w:trHeight w:val="24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11,429</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8,852</w:t>
            </w:r>
          </w:p>
        </w:tc>
      </w:tr>
      <w:tr>
        <w:trPr>
          <w:trHeight w:val="236"/>
        </w:trPr>
        <w:tc>
          <w:tcPr>
            <w:tcW w:w="6380" w:type="dxa"/>
            <w:vAlign w:val="bottom"/>
          </w:tcPr>
          <w:p>
            <w:pPr>
              <w:ind w:left="200"/>
              <w:spacing w:after="0"/>
              <w:rPr>
                <w:sz w:val="20"/>
                <w:szCs w:val="20"/>
                <w:color w:val="auto"/>
              </w:rPr>
            </w:pPr>
            <w:r>
              <w:rPr>
                <w:rFonts w:ascii="Arial" w:cs="Arial" w:eastAsia="Arial" w:hAnsi="Arial"/>
                <w:sz w:val="18"/>
                <w:szCs w:val="18"/>
                <w:color w:val="auto"/>
              </w:rPr>
              <w:t>Total cost of sales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48,806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41,129</w:t>
            </w:r>
          </w:p>
        </w:tc>
      </w:tr>
      <w:tr>
        <w:trPr>
          <w:trHeight w:val="243"/>
        </w:trPr>
        <w:tc>
          <w:tcPr>
            <w:tcW w:w="6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100,974</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79,144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51,710</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34,858</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24,442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13,693</w:t>
            </w: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24,710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14,988</w:t>
            </w:r>
          </w:p>
        </w:tc>
      </w:tr>
      <w:tr>
        <w:trPr>
          <w:trHeight w:val="24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34,690</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20,835</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9,370</w:t>
            </w:r>
          </w:p>
        </w:tc>
      </w:tr>
      <w:tr>
        <w:trPr>
          <w:trHeight w:val="236"/>
        </w:trPr>
        <w:tc>
          <w:tcPr>
            <w:tcW w:w="63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102,778</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69,987</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38,051</w:t>
            </w:r>
          </w:p>
        </w:tc>
      </w:tr>
      <w:tr>
        <w:trPr>
          <w:trHeight w:val="243"/>
        </w:trPr>
        <w:tc>
          <w:tcPr>
            <w:tcW w:w="6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9,157</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13,659</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(333 )</w:t>
            </w:r>
          </w:p>
        </w:tc>
      </w:tr>
      <w:tr>
        <w:trPr>
          <w:trHeight w:val="237"/>
        </w:trPr>
        <w:tc>
          <w:tcPr>
            <w:tcW w:w="63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4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994</w:t>
            </w:r>
          </w:p>
        </w:tc>
      </w:tr>
      <w:tr>
        <w:trPr>
          <w:trHeight w:val="236"/>
        </w:trPr>
        <w:tc>
          <w:tcPr>
            <w:tcW w:w="638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(3,219 )</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r>
      <w:tr>
        <w:trPr>
          <w:trHeight w:val="243"/>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14,430</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(1,224 )</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(4,981 )</w:t>
            </w:r>
          </w:p>
        </w:tc>
      </w:tr>
      <w:tr>
        <w:trPr>
          <w:trHeight w:val="28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3,027</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19,411</w:t>
            </w:r>
          </w:p>
        </w:tc>
      </w:tr>
      <w:tr>
        <w:trPr>
          <w:trHeight w:val="217"/>
        </w:trPr>
        <w:tc>
          <w:tcPr>
            <w:tcW w:w="6380" w:type="dxa"/>
            <w:vAlign w:val="bottom"/>
          </w:tcPr>
          <w:p>
            <w:pPr>
              <w:ind w:left="20"/>
              <w:spacing w:after="0"/>
              <w:rPr>
                <w:sz w:val="20"/>
                <w:szCs w:val="20"/>
                <w:color w:val="auto"/>
              </w:rPr>
            </w:pPr>
            <w:r>
              <w:rPr>
                <w:rFonts w:ascii="Arial" w:cs="Arial" w:eastAsia="Arial" w:hAnsi="Arial"/>
                <w:sz w:val="18"/>
                <w:szCs w:val="18"/>
                <w:color w:val="auto"/>
              </w:rPr>
              <w:t>Less: net loss (income) allocated to noncontrolling interests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(3,001 )</w:t>
            </w:r>
          </w:p>
        </w:tc>
        <w:tc>
          <w:tcPr>
            <w:tcW w:w="1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(16,195 )</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basic and diluted</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3,216</w:t>
            </w:r>
          </w:p>
        </w:tc>
      </w:tr>
      <w:tr>
        <w:trPr>
          <w:trHeight w:val="20"/>
        </w:trPr>
        <w:tc>
          <w:tcPr>
            <w:tcW w:w="6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64"/>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common stockholders per share, basic</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0.11</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per share, diluted</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0.10</w:t>
            </w: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shares used in calculating net income per share, basic</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134,510,831</w:t>
            </w:r>
          </w:p>
        </w:tc>
        <w:tc>
          <w:tcPr>
            <w:tcW w:w="4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76,741,858</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29,126,792</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shares used in calculating net income per share, diluted</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138,562,111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81,542,729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32,599,847</w:t>
            </w: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2,484</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3,027</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19,411</w:t>
            </w:r>
          </w:p>
        </w:tc>
      </w:tr>
      <w:tr>
        <w:trPr>
          <w:trHeight w:val="24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Unrealized gain (loss) on marketable securities</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83"/>
        </w:trPr>
        <w:tc>
          <w:tcPr>
            <w:tcW w:w="6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comprehensive income</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3,859</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-5211445</wp:posOffset>
            </wp:positionV>
            <wp:extent cx="7683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-5211445</wp:posOffset>
            </wp:positionV>
            <wp:extent cx="939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-4577080</wp:posOffset>
            </wp:positionV>
            <wp:extent cx="7683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-4577080</wp:posOffset>
            </wp:positionV>
            <wp:extent cx="939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-3634105</wp:posOffset>
            </wp:positionV>
            <wp:extent cx="768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-3634105</wp:posOffset>
            </wp:positionV>
            <wp:extent cx="939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-2691130</wp:posOffset>
            </wp:positionV>
            <wp:extent cx="7683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-2691130</wp:posOffset>
            </wp:positionV>
            <wp:extent cx="939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-2047875</wp:posOffset>
            </wp:positionV>
            <wp:extent cx="111442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4425" cy="1803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-1713865</wp:posOffset>
            </wp:positionV>
            <wp:extent cx="7683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-1370965</wp:posOffset>
            </wp:positionV>
            <wp:extent cx="111442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4425" cy="2057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-1010920</wp:posOffset>
            </wp:positionV>
            <wp:extent cx="111442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4425" cy="2057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93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Cytek Biosciences, Inc</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Redeemable Convertible</w:t>
      </w:r>
    </w:p>
    <w:p>
      <w:pPr>
        <w:jc w:val="center"/>
        <w:spacing w:after="0"/>
        <w:rPr>
          <w:sz w:val="20"/>
          <w:szCs w:val="20"/>
          <w:color w:val="auto"/>
        </w:rPr>
      </w:pPr>
      <w:r>
        <w:rPr>
          <w:rFonts w:ascii="Arial" w:cs="Arial" w:eastAsia="Arial" w:hAnsi="Arial"/>
          <w:sz w:val="14"/>
          <w:szCs w:val="14"/>
          <w:b w:val="1"/>
          <w:bCs w:val="1"/>
          <w:color w:val="auto"/>
        </w:rPr>
        <w:t>Preferred Stock and Stockholders’ Equity (Deficit)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Accumula</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2160" w:type="dxa"/>
            <w:vAlign w:val="bottom"/>
            <w:tcBorders>
              <w:right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Redeemable convertible</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ted other</w:t>
            </w:r>
          </w:p>
        </w:tc>
        <w:tc>
          <w:tcPr>
            <w:tcW w:w="120" w:type="dxa"/>
            <w:vAlign w:val="bottom"/>
          </w:tcPr>
          <w:p>
            <w:pPr>
              <w:spacing w:after="0"/>
              <w:rPr>
                <w:sz w:val="14"/>
                <w:szCs w:val="14"/>
                <w:color w:val="auto"/>
              </w:rPr>
            </w:pPr>
          </w:p>
        </w:tc>
        <w:tc>
          <w:tcPr>
            <w:tcW w:w="1460" w:type="dxa"/>
            <w:vAlign w:val="bottom"/>
          </w:tcPr>
          <w:p>
            <w:pPr>
              <w:jc w:val="center"/>
              <w:ind w:right="117"/>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4"/>
                <w:szCs w:val="14"/>
                <w:color w:val="auto"/>
              </w:rPr>
            </w:pPr>
          </w:p>
        </w:tc>
        <w:tc>
          <w:tcPr>
            <w:tcW w:w="92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2160" w:type="dxa"/>
            <w:vAlign w:val="bottom"/>
            <w:gridSpan w:val="3"/>
            <w:vMerge w:val="restart"/>
          </w:tcPr>
          <w:p>
            <w:pPr>
              <w:jc w:val="right"/>
              <w:ind w:right="677"/>
              <w:spacing w:after="0"/>
              <w:rPr>
                <w:sz w:val="20"/>
                <w:szCs w:val="20"/>
                <w:color w:val="auto"/>
              </w:rPr>
            </w:pPr>
            <w:r>
              <w:rPr>
                <w:rFonts w:ascii="Arial" w:cs="Arial" w:eastAsia="Arial" w:hAnsi="Arial"/>
                <w:sz w:val="13"/>
                <w:szCs w:val="13"/>
                <w:b w:val="1"/>
                <w:bCs w:val="1"/>
                <w:color w:val="auto"/>
              </w:rPr>
              <w:t>preferred stock</w:t>
            </w:r>
          </w:p>
        </w:tc>
        <w:tc>
          <w:tcPr>
            <w:tcW w:w="142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Accumulate</w:t>
            </w:r>
          </w:p>
        </w:tc>
        <w:tc>
          <w:tcPr>
            <w:tcW w:w="7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comprehe</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160" w:type="dxa"/>
            <w:vAlign w:val="bottom"/>
            <w:gridSpan w:val="3"/>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3"/>
                <w:szCs w:val="13"/>
                <w:color w:val="auto"/>
              </w:rPr>
            </w:pPr>
          </w:p>
        </w:tc>
        <w:tc>
          <w:tcPr>
            <w:tcW w:w="660" w:type="dxa"/>
            <w:vAlign w:val="bottom"/>
          </w:tcPr>
          <w:p>
            <w:pPr>
              <w:jc w:val="right"/>
              <w:ind w:right="337"/>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3"/>
                <w:szCs w:val="13"/>
                <w:color w:val="auto"/>
              </w:rPr>
            </w:pPr>
          </w:p>
        </w:tc>
        <w:tc>
          <w:tcPr>
            <w:tcW w:w="600" w:type="dxa"/>
            <w:vAlign w:val="bottom"/>
          </w:tcPr>
          <w:p>
            <w:pPr>
              <w:jc w:val="center"/>
              <w:ind w:right="117"/>
              <w:spacing w:after="0"/>
              <w:rPr>
                <w:sz w:val="20"/>
                <w:szCs w:val="20"/>
                <w:color w:val="auto"/>
              </w:rPr>
            </w:pPr>
            <w:r>
              <w:rPr>
                <w:rFonts w:ascii="Arial" w:cs="Arial" w:eastAsia="Arial" w:hAnsi="Arial"/>
                <w:sz w:val="13"/>
                <w:szCs w:val="13"/>
                <w:b w:val="1"/>
                <w:bCs w:val="1"/>
                <w:color w:val="auto"/>
                <w:w w:val="78"/>
              </w:rPr>
              <w:t>nsive</w:t>
            </w:r>
          </w:p>
        </w:tc>
        <w:tc>
          <w:tcPr>
            <w:tcW w:w="120" w:type="dxa"/>
            <w:vAlign w:val="bottom"/>
          </w:tcPr>
          <w:p>
            <w:pPr>
              <w:spacing w:after="0"/>
              <w:rPr>
                <w:sz w:val="13"/>
                <w:szCs w:val="13"/>
                <w:color w:val="auto"/>
              </w:rPr>
            </w:pPr>
          </w:p>
        </w:tc>
        <w:tc>
          <w:tcPr>
            <w:tcW w:w="1460" w:type="dxa"/>
            <w:vAlign w:val="bottom"/>
          </w:tcPr>
          <w:p>
            <w:pPr>
              <w:jc w:val="center"/>
              <w:ind w:right="117"/>
              <w:spacing w:after="0"/>
              <w:rPr>
                <w:sz w:val="20"/>
                <w:szCs w:val="20"/>
                <w:color w:val="auto"/>
              </w:rPr>
            </w:pPr>
            <w:r>
              <w:rPr>
                <w:rFonts w:ascii="Arial" w:cs="Arial" w:eastAsia="Arial" w:hAnsi="Arial"/>
                <w:sz w:val="13"/>
                <w:szCs w:val="13"/>
                <w:b w:val="1"/>
                <w:bCs w:val="1"/>
                <w:color w:val="auto"/>
                <w:w w:val="84"/>
              </w:rPr>
              <w:t>interest in consolidated</w:t>
            </w:r>
          </w:p>
        </w:tc>
        <w:tc>
          <w:tcPr>
            <w:tcW w:w="100" w:type="dxa"/>
            <w:vAlign w:val="bottom"/>
          </w:tcPr>
          <w:p>
            <w:pPr>
              <w:spacing w:after="0"/>
              <w:rPr>
                <w:sz w:val="13"/>
                <w:szCs w:val="13"/>
                <w:color w:val="auto"/>
              </w:rPr>
            </w:pPr>
          </w:p>
        </w:tc>
        <w:tc>
          <w:tcPr>
            <w:tcW w:w="920" w:type="dxa"/>
            <w:vAlign w:val="bottom"/>
          </w:tcPr>
          <w:p>
            <w:pPr>
              <w:jc w:val="center"/>
              <w:ind w:right="13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57"/>
              <w:spacing w:after="0" w:line="124" w:lineRule="exact"/>
              <w:rPr>
                <w:sz w:val="20"/>
                <w:szCs w:val="20"/>
                <w:color w:val="auto"/>
              </w:rPr>
            </w:pPr>
            <w:r>
              <w:rPr>
                <w:rFonts w:ascii="Arial" w:cs="Arial" w:eastAsia="Arial" w:hAnsi="Arial"/>
                <w:sz w:val="13"/>
                <w:szCs w:val="13"/>
                <w:b w:val="1"/>
                <w:bCs w:val="1"/>
                <w:color w:val="auto"/>
                <w:w w:val="78"/>
              </w:rPr>
              <w:t>income</w:t>
            </w: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w w:val="96"/>
              </w:rPr>
              <w:t>(In thousands, except share data)</w:t>
            </w: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3"/>
                <w:szCs w:val="13"/>
                <w:b w:val="1"/>
                <w:bCs w:val="1"/>
                <w:color w:val="auto"/>
                <w:w w:val="97"/>
              </w:rPr>
              <w:t>Amount</w:t>
            </w: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9"/>
              </w:rPr>
              <w:t>deficit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0"/>
              </w:rPr>
              <w:t>(loss)</w:t>
            </w: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subsidiary</w:t>
            </w:r>
          </w:p>
        </w:tc>
        <w:tc>
          <w:tcPr>
            <w:tcW w:w="102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rPr>
                <w:sz w:val="20"/>
                <w:szCs w:val="20"/>
                <w:color w:val="auto"/>
              </w:rPr>
            </w:pPr>
            <w:r>
              <w:rPr>
                <w:rFonts w:ascii="Arial" w:cs="Arial" w:eastAsia="Arial" w:hAnsi="Arial"/>
                <w:sz w:val="13"/>
                <w:szCs w:val="13"/>
                <w:color w:val="auto"/>
              </w:rPr>
              <w:t>Balances at December 31, 2019</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69,516,626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74,653</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28,397,955</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443</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(42,018 )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(147 )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(41,701 )</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Series D redeemable</w:t>
            </w: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convertible preferred stock, net of issuance</w:t>
            </w: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costs of $334</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17,752,068</w:t>
            </w: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119666</w:t>
            </w: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756,416</w:t>
            </w:r>
          </w:p>
        </w:tc>
        <w:tc>
          <w:tcPr>
            <w:tcW w:w="26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194</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611</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Stock issuance for litigation settlement</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2,087,545</w:t>
            </w:r>
          </w:p>
        </w:tc>
        <w:tc>
          <w:tcPr>
            <w:tcW w:w="26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5,243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5,244</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Foreign currency translation adjustment, net</w:t>
            </w: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tax</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19,411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19,411</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December 31, 2020</w:t>
            </w: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87,268,694</w:t>
            </w: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right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rPr>
              <w:t>194,319</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31,241,916</w:t>
            </w: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6,491</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(22,607 )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(16,028 )</w:t>
            </w: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Arial" w:cs="Arial" w:eastAsia="Arial" w:hAnsi="Arial"/>
                <w:sz w:val="13"/>
                <w:szCs w:val="13"/>
                <w:color w:val="auto"/>
              </w:rPr>
              <w:t>Exercise of stock options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1,289,652</w:t>
            </w:r>
          </w:p>
        </w:tc>
        <w:tc>
          <w:tcPr>
            <w:tcW w:w="260" w:type="dxa"/>
            <w:vAlign w:val="bottom"/>
          </w:tcPr>
          <w:p>
            <w:pPr>
              <w:spacing w:after="0"/>
              <w:rPr>
                <w:sz w:val="12"/>
                <w:szCs w:val="12"/>
                <w:color w:val="auto"/>
              </w:rPr>
            </w:pPr>
          </w:p>
        </w:tc>
        <w:tc>
          <w:tcPr>
            <w:tcW w:w="44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760" w:type="dxa"/>
            <w:vAlign w:val="bottom"/>
          </w:tcPr>
          <w:p>
            <w:pPr>
              <w:jc w:val="right"/>
              <w:ind w:right="37"/>
              <w:spacing w:after="0" w:line="142" w:lineRule="exact"/>
              <w:rPr>
                <w:sz w:val="20"/>
                <w:szCs w:val="20"/>
                <w:color w:val="auto"/>
              </w:rPr>
            </w:pPr>
            <w:r>
              <w:rPr>
                <w:rFonts w:ascii="Arial" w:cs="Arial" w:eastAsia="Arial" w:hAnsi="Arial"/>
                <w:sz w:val="13"/>
                <w:szCs w:val="13"/>
                <w:color w:val="auto"/>
              </w:rPr>
              <w:t>642</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6,586</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6,586</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 upon initial</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Arial" w:cs="Arial" w:eastAsia="Arial" w:hAnsi="Arial"/>
                <w:sz w:val="13"/>
                <w:szCs w:val="13"/>
                <w:color w:val="auto"/>
              </w:rPr>
              <w:t>public offering, net of underwriting</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Arial" w:cs="Arial" w:eastAsia="Arial" w:hAnsi="Arial"/>
                <w:sz w:val="13"/>
                <w:szCs w:val="13"/>
                <w:color w:val="auto"/>
              </w:rPr>
              <w:t>discounts and commissions and other</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60" w:type="dxa"/>
            <w:vAlign w:val="bottom"/>
          </w:tcPr>
          <w:p>
            <w:pPr>
              <w:ind w:left="20"/>
              <w:spacing w:after="0"/>
              <w:rPr>
                <w:sz w:val="20"/>
                <w:szCs w:val="20"/>
                <w:color w:val="auto"/>
              </w:rPr>
            </w:pPr>
            <w:r>
              <w:rPr>
                <w:rFonts w:ascii="Arial" w:cs="Arial" w:eastAsia="Arial" w:hAnsi="Arial"/>
                <w:sz w:val="13"/>
                <w:szCs w:val="13"/>
                <w:color w:val="auto"/>
              </w:rPr>
              <w:t>offering costs</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13,949,401</w:t>
            </w:r>
          </w:p>
        </w:tc>
        <w:tc>
          <w:tcPr>
            <w:tcW w:w="260" w:type="dxa"/>
            <w:vAlign w:val="bottom"/>
          </w:tcPr>
          <w:p>
            <w:pPr>
              <w:spacing w:after="0"/>
              <w:rPr>
                <w:sz w:val="13"/>
                <w:szCs w:val="13"/>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215,675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line="137" w:lineRule="exact"/>
              <w:rPr>
                <w:sz w:val="20"/>
                <w:szCs w:val="20"/>
                <w:color w:val="auto"/>
              </w:rPr>
            </w:pPr>
            <w:r>
              <w:rPr>
                <w:rFonts w:ascii="Arial" w:cs="Arial" w:eastAsia="Arial" w:hAnsi="Arial"/>
                <w:sz w:val="13"/>
                <w:szCs w:val="13"/>
                <w:color w:val="auto"/>
              </w:rPr>
              <w:t>Conversion of redeemable convertible</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Arial" w:cs="Arial" w:eastAsia="Arial" w:hAnsi="Arial"/>
                <w:sz w:val="13"/>
                <w:szCs w:val="13"/>
                <w:color w:val="auto"/>
              </w:rPr>
              <w:t>preferred stock to common stock upon</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260" w:type="dxa"/>
            <w:vAlign w:val="bottom"/>
          </w:tcPr>
          <w:p>
            <w:pPr>
              <w:ind w:left="20"/>
              <w:spacing w:after="0"/>
              <w:rPr>
                <w:sz w:val="20"/>
                <w:szCs w:val="20"/>
                <w:color w:val="auto"/>
              </w:rPr>
            </w:pPr>
            <w:r>
              <w:rPr>
                <w:rFonts w:ascii="Arial" w:cs="Arial" w:eastAsia="Arial" w:hAnsi="Arial"/>
                <w:sz w:val="13"/>
                <w:szCs w:val="13"/>
                <w:color w:val="auto"/>
              </w:rPr>
              <w:t>initial public offering</w:t>
            </w:r>
          </w:p>
        </w:tc>
        <w:tc>
          <w:tcPr>
            <w:tcW w:w="1140" w:type="dxa"/>
            <w:vAlign w:val="bottom"/>
          </w:tcPr>
          <w:p>
            <w:pPr>
              <w:jc w:val="right"/>
              <w:spacing w:after="0"/>
              <w:rPr>
                <w:sz w:val="20"/>
                <w:szCs w:val="20"/>
                <w:color w:val="auto"/>
              </w:rPr>
            </w:pPr>
            <w:r>
              <w:rPr>
                <w:rFonts w:ascii="Arial" w:cs="Arial" w:eastAsia="Arial" w:hAnsi="Arial"/>
                <w:sz w:val="13"/>
                <w:szCs w:val="13"/>
                <w:color w:val="auto"/>
              </w:rPr>
              <w:t>(87,268,694 )</w:t>
            </w:r>
          </w:p>
        </w:tc>
        <w:tc>
          <w:tcPr>
            <w:tcW w:w="160" w:type="dxa"/>
            <w:vAlign w:val="bottom"/>
          </w:tcPr>
          <w:p>
            <w:pPr>
              <w:spacing w:after="0"/>
              <w:rPr>
                <w:sz w:val="13"/>
                <w:szCs w:val="13"/>
                <w:color w:val="auto"/>
              </w:rPr>
            </w:pPr>
          </w:p>
        </w:tc>
        <w:tc>
          <w:tcPr>
            <w:tcW w:w="8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(194,319 )</w:t>
            </w: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87,268,694</w:t>
            </w:r>
          </w:p>
        </w:tc>
        <w:tc>
          <w:tcPr>
            <w:tcW w:w="260" w:type="dxa"/>
            <w:vAlign w:val="bottom"/>
          </w:tcPr>
          <w:p>
            <w:pPr>
              <w:spacing w:after="0"/>
              <w:rPr>
                <w:sz w:val="13"/>
                <w:szCs w:val="13"/>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194,231</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194,318</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line="137" w:lineRule="exact"/>
              <w:rPr>
                <w:sz w:val="20"/>
                <w:szCs w:val="20"/>
                <w:color w:val="auto"/>
              </w:rPr>
            </w:pPr>
            <w:r>
              <w:rPr>
                <w:rFonts w:ascii="Arial" w:cs="Arial" w:eastAsia="Arial" w:hAnsi="Arial"/>
                <w:sz w:val="13"/>
                <w:szCs w:val="13"/>
                <w:color w:val="auto"/>
                <w:w w:val="87"/>
              </w:rPr>
              <w:t>Foreign currency translation adjustment, net</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of tax</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832</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3,001</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3,027</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December 31, 2021</w:t>
            </w: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133,749,663</w:t>
            </w: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126</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423,625</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(19,606 )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897</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343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405,385</w:t>
            </w:r>
          </w:p>
        </w:tc>
        <w:tc>
          <w:tcPr>
            <w:tcW w:w="0" w:type="dxa"/>
            <w:vAlign w:val="bottom"/>
          </w:tcPr>
          <w:p>
            <w:pPr>
              <w:spacing w:after="0"/>
              <w:rPr>
                <w:sz w:val="1"/>
                <w:szCs w:val="1"/>
                <w:color w:val="auto"/>
              </w:rPr>
            </w:pPr>
          </w:p>
        </w:tc>
      </w:tr>
      <w:tr>
        <w:trPr>
          <w:trHeight w:val="115"/>
        </w:trPr>
        <w:tc>
          <w:tcPr>
            <w:tcW w:w="2260" w:type="dxa"/>
            <w:vAlign w:val="bottom"/>
          </w:tcPr>
          <w:p>
            <w:pPr>
              <w:ind w:left="20"/>
              <w:spacing w:after="0" w:line="115" w:lineRule="exact"/>
              <w:rPr>
                <w:sz w:val="20"/>
                <w:szCs w:val="20"/>
                <w:color w:val="auto"/>
              </w:rPr>
            </w:pPr>
            <w:r>
              <w:rPr>
                <w:rFonts w:ascii="Arial" w:cs="Arial" w:eastAsia="Arial" w:hAnsi="Arial"/>
                <w:sz w:val="13"/>
                <w:szCs w:val="13"/>
                <w:color w:val="auto"/>
                <w:w w:val="89"/>
              </w:rPr>
              <w:t>Shares issued in connection with employee</w:t>
            </w: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stock plans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1,632,467</w:t>
            </w:r>
          </w:p>
        </w:tc>
        <w:tc>
          <w:tcPr>
            <w:tcW w:w="26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2,876</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2,885</w:t>
            </w: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Arial" w:cs="Arial" w:eastAsia="Arial" w:hAnsi="Arial"/>
                <w:sz w:val="13"/>
                <w:szCs w:val="13"/>
                <w:color w:val="auto"/>
                <w:w w:val="91"/>
              </w:rPr>
              <w:t>Shares of Common Stock withheld related</w:t>
            </w: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 net share settlement</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(16,749 )</w:t>
            </w: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(209 )</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(209 )</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16,595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16,595</w:t>
            </w: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Unrealized gain (loss) on marketable</w:t>
            </w: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securities</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line="134" w:lineRule="exact"/>
              <w:rPr>
                <w:sz w:val="20"/>
                <w:szCs w:val="20"/>
                <w:color w:val="auto"/>
              </w:rPr>
            </w:pPr>
            <w:r>
              <w:rPr>
                <w:rFonts w:ascii="Arial" w:cs="Arial" w:eastAsia="Arial" w:hAnsi="Arial"/>
                <w:sz w:val="13"/>
                <w:szCs w:val="13"/>
                <w:color w:val="auto"/>
                <w:w w:val="87"/>
              </w:rPr>
              <w:t>Foreign currency translation adjustment, net</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of tax</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(1,611 )</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(1,611 )</w:t>
            </w:r>
          </w:p>
        </w:tc>
        <w:tc>
          <w:tcPr>
            <w:tcW w:w="0" w:type="dxa"/>
            <w:vAlign w:val="bottom"/>
          </w:tcPr>
          <w:p>
            <w:pPr>
              <w:spacing w:after="0"/>
              <w:rPr>
                <w:sz w:val="1"/>
                <w:szCs w:val="1"/>
                <w:color w:val="auto"/>
              </w:rPr>
            </w:pPr>
          </w:p>
        </w:tc>
      </w:tr>
      <w:tr>
        <w:trPr>
          <w:trHeight w:val="163"/>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2,576</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2,576</w:t>
            </w:r>
          </w:p>
        </w:tc>
        <w:tc>
          <w:tcPr>
            <w:tcW w:w="0" w:type="dxa"/>
            <w:vAlign w:val="bottom"/>
          </w:tcPr>
          <w:p>
            <w:pPr>
              <w:spacing w:after="0"/>
              <w:rPr>
                <w:sz w:val="1"/>
                <w:szCs w:val="1"/>
                <w:color w:val="auto"/>
              </w:rPr>
            </w:pPr>
          </w:p>
        </w:tc>
      </w:tr>
      <w:tr>
        <w:trPr>
          <w:trHeight w:val="161"/>
        </w:trPr>
        <w:tc>
          <w:tcPr>
            <w:tcW w:w="226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(92 )</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December 31, 2022</w:t>
            </w: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135,365,381</w:t>
            </w: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135</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442,887</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(17,030 )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(697 )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425,546</w:t>
            </w: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-4186555</wp:posOffset>
            </wp:positionV>
            <wp:extent cx="5700395" cy="398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0395" cy="398780"/>
                    </a:xfrm>
                    <a:prstGeom prst="rect">
                      <a:avLst/>
                    </a:prstGeom>
                    <a:noFill/>
                  </pic:spPr>
                </pic:pic>
              </a:graphicData>
            </a:graphic>
          </wp:anchor>
        </w:drawing>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2"/>
              </w:rPr>
              <w:t>Year ended December 31,</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6"/>
        </w:trPr>
        <w:tc>
          <w:tcPr>
            <w:tcW w:w="67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3"/>
                <w:szCs w:val="13"/>
                <w:color w:val="auto"/>
              </w:rPr>
            </w:pPr>
          </w:p>
        </w:tc>
        <w:tc>
          <w:tcPr>
            <w:tcW w:w="1120" w:type="dxa"/>
            <w:vAlign w:val="bottom"/>
          </w:tcPr>
          <w:p>
            <w:pPr>
              <w:jc w:val="right"/>
              <w:ind w:right="568"/>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548"/>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568"/>
              <w:spacing w:after="0"/>
              <w:rPr>
                <w:sz w:val="20"/>
                <w:szCs w:val="20"/>
                <w:color w:val="auto"/>
              </w:rPr>
            </w:pPr>
            <w:r>
              <w:rPr>
                <w:rFonts w:ascii="Arial" w:cs="Arial" w:eastAsia="Arial" w:hAnsi="Arial"/>
                <w:sz w:val="13"/>
                <w:szCs w:val="13"/>
                <w:b w:val="1"/>
                <w:bCs w:val="1"/>
                <w:color w:val="auto"/>
              </w:rPr>
              <w:t>2020</w:t>
            </w:r>
          </w:p>
        </w:tc>
      </w:tr>
      <w:tr>
        <w:trPr>
          <w:trHeight w:val="169"/>
        </w:trPr>
        <w:tc>
          <w:tcPr>
            <w:tcW w:w="6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r>
      <w:tr>
        <w:trPr>
          <w:trHeight w:val="175"/>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2,484</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3,027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19,411</w:t>
            </w:r>
          </w:p>
        </w:tc>
      </w:tr>
      <w:tr>
        <w:trPr>
          <w:trHeight w:val="176"/>
        </w:trPr>
        <w:tc>
          <w:tcPr>
            <w:tcW w:w="6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2,492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603</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Amortization of operating lease-right-of use assets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3,167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175</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16,595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6,586</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611</w:t>
            </w: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Gain on equity method investment</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Loss on lease exit cost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1,569</w:t>
            </w:r>
          </w:p>
        </w:tc>
      </w:tr>
      <w:tr>
        <w:trPr>
          <w:trHeight w:val="176"/>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Loss (gain) on investments, accretion, and amortization, net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Interest expenses for accretion of the legal settlement liabilities</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2,178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1,690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323</w:t>
            </w:r>
          </w:p>
        </w:tc>
      </w:tr>
      <w:tr>
        <w:trPr>
          <w:trHeight w:val="176"/>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380"/>
              <w:spacing w:after="0"/>
              <w:rPr>
                <w:sz w:val="20"/>
                <w:szCs w:val="20"/>
                <w:color w:val="auto"/>
              </w:rPr>
            </w:pPr>
            <w:r>
              <w:rPr>
                <w:rFonts w:ascii="Arial" w:cs="Arial" w:eastAsia="Arial" w:hAnsi="Arial"/>
                <w:sz w:val="14"/>
                <w:szCs w:val="14"/>
                <w:color w:val="auto"/>
              </w:rPr>
              <w:t>Trade accounts receivable</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(19,744 )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(12,367 )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334</w:t>
            </w:r>
          </w:p>
        </w:tc>
      </w:tr>
      <w:tr>
        <w:trPr>
          <w:trHeight w:val="176"/>
        </w:trPr>
        <w:tc>
          <w:tcPr>
            <w:tcW w:w="67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(17,653 )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(7,068 )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(5,704 )</w:t>
            </w:r>
          </w:p>
        </w:tc>
      </w:tr>
      <w:tr>
        <w:trPr>
          <w:trHeight w:val="176"/>
        </w:trPr>
        <w:tc>
          <w:tcPr>
            <w:tcW w:w="6720" w:type="dxa"/>
            <w:vAlign w:val="bottom"/>
            <w:gridSpan w:val="2"/>
          </w:tcPr>
          <w:p>
            <w:pPr>
              <w:ind w:left="38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(19,362 )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(6,252 )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(8,216 )</w:t>
            </w:r>
          </w:p>
        </w:tc>
      </w:tr>
      <w:tr>
        <w:trPr>
          <w:trHeight w:val="175"/>
        </w:trPr>
        <w:tc>
          <w:tcPr>
            <w:tcW w:w="67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Trade accounts payable</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1,862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(55 )</w:t>
            </w:r>
          </w:p>
        </w:tc>
      </w:tr>
      <w:tr>
        <w:trPr>
          <w:trHeight w:val="176"/>
        </w:trPr>
        <w:tc>
          <w:tcPr>
            <w:tcW w:w="672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7,470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10,978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3,269</w:t>
            </w:r>
          </w:p>
        </w:tc>
      </w:tr>
      <w:tr>
        <w:trPr>
          <w:trHeight w:val="175"/>
        </w:trPr>
        <w:tc>
          <w:tcPr>
            <w:tcW w:w="67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Legal settlement liabilities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373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(3,693 )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458</w:t>
            </w:r>
          </w:p>
        </w:tc>
      </w:tr>
      <w:tr>
        <w:trPr>
          <w:trHeight w:val="176"/>
        </w:trPr>
        <w:tc>
          <w:tcPr>
            <w:tcW w:w="6720" w:type="dxa"/>
            <w:vAlign w:val="bottom"/>
            <w:gridSpan w:val="2"/>
          </w:tcPr>
          <w:p>
            <w:pPr>
              <w:ind w:left="38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9,411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10,012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2,378</w:t>
            </w:r>
          </w:p>
        </w:tc>
      </w:tr>
      <w:tr>
        <w:trPr>
          <w:trHeight w:val="176"/>
        </w:trPr>
        <w:tc>
          <w:tcPr>
            <w:tcW w:w="67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4"/>
                <w:szCs w:val="14"/>
                <w:color w:val="auto"/>
              </w:rPr>
              <w:t>Lease liabilities</w:t>
            </w: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(2,285 )</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6720" w:type="dxa"/>
            <w:vAlign w:val="bottom"/>
            <w:gridSpan w:val="2"/>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(12,231 )</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4,630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15,156</w:t>
            </w:r>
          </w:p>
        </w:tc>
      </w:tr>
      <w:tr>
        <w:trPr>
          <w:trHeight w:val="169"/>
        </w:trPr>
        <w:tc>
          <w:tcPr>
            <w:tcW w:w="67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(44,454 )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(9,748 )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(4,364 )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(1,547 )</w:t>
            </w: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Acquisition of business</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(17,000 )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Purchase of intangible assets (patents)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Payment for investment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(1,587 )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color w:val="auto"/>
              </w:rPr>
              <w:t>Payment for additional investment in Cytek Japan, net of cash acquired</w:t>
            </w: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371</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6720" w:type="dxa"/>
            <w:vAlign w:val="bottom"/>
            <w:gridSpan w:val="2"/>
          </w:tcPr>
          <w:p>
            <w:pPr>
              <w:ind w:left="56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(55,909 )</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(20,993 )</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(1,547 )</w:t>
            </w:r>
          </w:p>
        </w:tc>
      </w:tr>
      <w:tr>
        <w:trPr>
          <w:trHeight w:val="169"/>
        </w:trPr>
        <w:tc>
          <w:tcPr>
            <w:tcW w:w="67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Proceeds from Paycheck Protection Program loan</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4,082</w:t>
            </w:r>
          </w:p>
        </w:tc>
      </w:tr>
      <w:tr>
        <w:trPr>
          <w:trHeight w:val="176"/>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Repayment of Paycheck Protection Program loan</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(2,772 )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(1,310 )</w:t>
            </w: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Net proceeds from issuance of Series D redeemable convertible preferred stock</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119,666</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97"/>
              </w:rPr>
              <w:t>Proceeds from initial public offering, net of underwriting discounts and commissions and other offering costs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215,689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Proceeds from loan</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2,983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Repayment of loan</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Proceeds from Employee Stock Purchase Plan</w:t>
            </w:r>
          </w:p>
        </w:tc>
        <w:tc>
          <w:tcPr>
            <w:tcW w:w="30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1,585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1,204</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w:t>
            </w:r>
          </w:p>
        </w:tc>
      </w:tr>
      <w:tr>
        <w:trPr>
          <w:trHeight w:val="169"/>
        </w:trPr>
        <w:tc>
          <w:tcPr>
            <w:tcW w:w="6720" w:type="dxa"/>
            <w:vAlign w:val="bottom"/>
            <w:tcBorders>
              <w:bottom w:val="single" w:sz="8" w:color="CFF0FC"/>
            </w:tcBorders>
            <w:gridSpan w:val="2"/>
            <w:shd w:val="clear" w:color="auto" w:fill="CFF0FC"/>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5,513</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213,559</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122,607</w:t>
            </w:r>
          </w:p>
        </w:tc>
      </w:tr>
      <w:tr>
        <w:trPr>
          <w:trHeight w:val="169"/>
        </w:trPr>
        <w:tc>
          <w:tcPr>
            <w:tcW w:w="67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(2,491 )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1,303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(587 )</w:t>
            </w:r>
          </w:p>
        </w:tc>
      </w:tr>
      <w:tr>
        <w:trPr>
          <w:trHeight w:val="175"/>
        </w:trPr>
        <w:tc>
          <w:tcPr>
            <w:tcW w:w="6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(65,118 )</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198,499</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135,629</w:t>
            </w:r>
          </w:p>
        </w:tc>
      </w:tr>
      <w:tr>
        <w:trPr>
          <w:trHeight w:val="169"/>
        </w:trPr>
        <w:tc>
          <w:tcPr>
            <w:tcW w:w="6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364,618</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166,119</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30,490</w:t>
            </w:r>
          </w:p>
        </w:tc>
      </w:tr>
      <w:tr>
        <w:trPr>
          <w:trHeight w:val="169"/>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299,500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364,618</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166,119</w:t>
            </w:r>
          </w:p>
        </w:tc>
      </w:tr>
      <w:tr>
        <w:trPr>
          <w:trHeight w:val="20"/>
        </w:trPr>
        <w:tc>
          <w:tcPr>
            <w:tcW w:w="67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720" w:type="dxa"/>
            <w:vAlign w:val="bottom"/>
            <w:gridSpan w:val="2"/>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75"/>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Cash paid for taxes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10,390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2,863</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2,073</w:t>
            </w:r>
          </w:p>
        </w:tc>
      </w:tr>
      <w:tr>
        <w:trPr>
          <w:trHeight w:val="20"/>
        </w:trPr>
        <w:tc>
          <w:tcPr>
            <w:tcW w:w="67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720" w:type="dxa"/>
            <w:vAlign w:val="bottom"/>
            <w:tcBorders>
              <w:bottom w:val="single" w:sz="8" w:color="CFF0FC"/>
            </w:tcBorders>
            <w:gridSpan w:val="2"/>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Non-cash investing and financing activities:</w:t>
            </w:r>
          </w:p>
        </w:tc>
        <w:tc>
          <w:tcPr>
            <w:tcW w:w="3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r>
      <w:tr>
        <w:trPr>
          <w:trHeight w:val="169"/>
        </w:trPr>
        <w:tc>
          <w:tcPr>
            <w:tcW w:w="6720" w:type="dxa"/>
            <w:vAlign w:val="bottom"/>
            <w:gridSpan w:val="2"/>
          </w:tcPr>
          <w:p>
            <w:pPr>
              <w:ind w:left="200"/>
              <w:spacing w:after="0"/>
              <w:rPr>
                <w:sz w:val="20"/>
                <w:szCs w:val="20"/>
                <w:color w:val="auto"/>
              </w:rPr>
            </w:pPr>
            <w:r>
              <w:rPr>
                <w:rFonts w:ascii="Arial" w:cs="Arial" w:eastAsia="Arial" w:hAnsi="Arial"/>
                <w:sz w:val="14"/>
                <w:szCs w:val="14"/>
                <w:color w:val="auto"/>
              </w:rPr>
              <w:t>Fixed asset purchases in accounts payable at period end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6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720" w:type="dxa"/>
            <w:vAlign w:val="bottom"/>
            <w:tcBorders>
              <w:bottom w:val="single" w:sz="8" w:color="CFF0FC"/>
            </w:tcBorders>
            <w:gridSpan w:val="2"/>
            <w:shd w:val="clear" w:color="auto" w:fill="CFF0FC"/>
          </w:tcPr>
          <w:p>
            <w:pPr>
              <w:ind w:left="200"/>
              <w:spacing w:after="0" w:line="156" w:lineRule="exact"/>
              <w:rPr>
                <w:sz w:val="20"/>
                <w:szCs w:val="20"/>
                <w:color w:val="auto"/>
              </w:rPr>
            </w:pPr>
            <w:r>
              <w:rPr>
                <w:rFonts w:ascii="Arial" w:cs="Arial" w:eastAsia="Arial" w:hAnsi="Arial"/>
                <w:sz w:val="14"/>
                <w:szCs w:val="14"/>
                <w:color w:val="auto"/>
              </w:rPr>
              <w:t>Intangible asset in accrued expenses at period end</w:t>
            </w: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93</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r>
      <w:tr>
        <w:trPr>
          <w:trHeight w:val="156"/>
        </w:trPr>
        <w:tc>
          <w:tcPr>
            <w:tcW w:w="6720" w:type="dxa"/>
            <w:vAlign w:val="bottom"/>
            <w:gridSpan w:val="2"/>
          </w:tcPr>
          <w:p>
            <w:pPr>
              <w:ind w:left="200"/>
              <w:spacing w:after="0" w:line="156" w:lineRule="exact"/>
              <w:rPr>
                <w:sz w:val="20"/>
                <w:szCs w:val="20"/>
                <w:color w:val="auto"/>
              </w:rPr>
            </w:pPr>
            <w:r>
              <w:rPr>
                <w:rFonts w:ascii="Arial" w:cs="Arial" w:eastAsia="Arial" w:hAnsi="Arial"/>
                <w:sz w:val="14"/>
                <w:szCs w:val="14"/>
                <w:color w:val="auto"/>
              </w:rPr>
              <w:t>Stock option exercise in other receivables at period end</w:t>
            </w:r>
          </w:p>
        </w:tc>
        <w:tc>
          <w:tcPr>
            <w:tcW w:w="30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w:t>
            </w:r>
          </w:p>
        </w:tc>
      </w:tr>
      <w:tr>
        <w:trPr>
          <w:trHeight w:val="20"/>
        </w:trPr>
        <w:tc>
          <w:tcPr>
            <w:tcW w:w="6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720" w:type="dxa"/>
            <w:vAlign w:val="bottom"/>
            <w:tcBorders>
              <w:bottom w:val="single" w:sz="8" w:color="CFF0FC"/>
            </w:tcBorders>
            <w:gridSpan w:val="2"/>
            <w:shd w:val="clear" w:color="auto" w:fill="CFF0FC"/>
          </w:tcPr>
          <w:p>
            <w:pPr>
              <w:ind w:left="200"/>
              <w:spacing w:after="0" w:line="156" w:lineRule="exact"/>
              <w:rPr>
                <w:sz w:val="20"/>
                <w:szCs w:val="20"/>
                <w:color w:val="auto"/>
              </w:rPr>
            </w:pPr>
            <w:r>
              <w:rPr>
                <w:rFonts w:ascii="Arial" w:cs="Arial" w:eastAsia="Arial" w:hAnsi="Arial"/>
                <w:sz w:val="14"/>
                <w:szCs w:val="14"/>
                <w:color w:val="auto"/>
              </w:rPr>
              <w:t>Common stock issuance for legal settlement</w:t>
            </w: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5,244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-3796665</wp:posOffset>
            </wp:positionV>
            <wp:extent cx="102870" cy="128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-3796665</wp:posOffset>
            </wp:positionV>
            <wp:extent cx="93980"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-2887980</wp:posOffset>
            </wp:positionV>
            <wp:extent cx="10287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-2887980</wp:posOffset>
            </wp:positionV>
            <wp:extent cx="9398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-1525270</wp:posOffset>
            </wp:positionV>
            <wp:extent cx="10287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-1525270</wp:posOffset>
            </wp:positionV>
            <wp:extent cx="9398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-1062355</wp:posOffset>
            </wp:positionV>
            <wp:extent cx="10287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-1062355</wp:posOffset>
            </wp:positionV>
            <wp:extent cx="9398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-556895</wp:posOffset>
            </wp:positionV>
            <wp:extent cx="10287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-556895</wp:posOffset>
            </wp:positionV>
            <wp:extent cx="9398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-299720</wp:posOffset>
            </wp:positionV>
            <wp:extent cx="10718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18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8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in connection with the completion of the IPO on July 27, 2021, all outstanding shares of convertible preferred stock (see Note 11)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 shares of convertible preferred stock outstanding</w:t>
      </w:r>
      <w:r>
        <w:rPr>
          <w:rFonts w:ascii="Arial" w:cs="Arial" w:eastAsia="Arial" w:hAnsi="Arial"/>
          <w:sz w:val="21"/>
          <w:szCs w:val="21"/>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 and At-the-Market Offering</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2022, the Company has not made any sales of common stock pursuant to the 2022 Sales Agreement.</w:t>
      </w:r>
    </w:p>
    <w:p>
      <w:pPr>
        <w:spacing w:after="0" w:line="59"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has prepared the accompanying consolidated financial statements in accordance with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in the consolidated balance sheets and consolidated statements of redeemable convertible preferred stock and stockholders’ equity (deficit). All intercompany accounts and transactions have been eliminated in consolidation.</w:t>
      </w:r>
    </w:p>
    <w:p>
      <w:pPr>
        <w:spacing w:after="0" w:line="5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1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consolidated statements of operations and comprehensive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6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Company’s cash and cash equivalents consist of money held in demand depositary accounts and money market funds. The carrying amount of cash and cash equivalents was $296.6 million and $364.6 million as of December 31, 2022 and 2021,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December 31, 2022 and 2021.</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classifies restricted cash as current on the accompanying consolidated balance sheets based upon the term of the remaining restrictions.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color w:val="auto"/>
        </w:rPr>
        <w:t>The following is a summary of cash, cash equivalents and restricted cash on the consolidated balance sheets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5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123,371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32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29,930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345,679</w:t>
            </w:r>
          </w:p>
        </w:tc>
        <w:tc>
          <w:tcPr>
            <w:tcW w:w="0" w:type="dxa"/>
            <w:vAlign w:val="bottom"/>
          </w:tcPr>
          <w:p>
            <w:pPr>
              <w:spacing w:after="0"/>
              <w:rPr>
                <w:sz w:val="1"/>
                <w:szCs w:val="1"/>
                <w:color w:val="auto"/>
              </w:rPr>
            </w:pPr>
          </w:p>
        </w:tc>
      </w:tr>
      <w:tr>
        <w:trPr>
          <w:trHeight w:val="24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agency securities</w:t>
            </w: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19,908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117,437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2,899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as presented on the</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299,500</w:t>
            </w:r>
          </w:p>
        </w:tc>
        <w:tc>
          <w:tcPr>
            <w:tcW w:w="16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consolidated statements of cash flows</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70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6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i w:val="1"/>
          <w:iCs w:val="1"/>
          <w:color w:val="auto"/>
        </w:rPr>
        <w:t xml:space="preserve">Available-for-sale investments. </w:t>
      </w:r>
      <w:r>
        <w:rPr>
          <w:rFonts w:ascii="Arial" w:cs="Arial" w:eastAsia="Arial" w:hAnsi="Arial"/>
          <w:sz w:val="18"/>
          <w:szCs w:val="18"/>
          <w:color w:val="auto"/>
        </w:rPr>
        <w:t>The Company's investments may consist of U.S. treasury and U.S. government agency securities, corporate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bonds, commercial paper, and money market funds. The Company has designated all investments as available-for-sale and, therefore, such investments are reported at fair value, with unrealized gains and losses recorded in accumulated other comprehensive income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Income.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i w:val="1"/>
          <w:iCs w:val="1"/>
          <w:color w:val="auto"/>
        </w:rPr>
        <w:t xml:space="preserve">Equity Investment. </w:t>
      </w:r>
      <w:r>
        <w:rPr>
          <w:rFonts w:ascii="Arial" w:cs="Arial" w:eastAsia="Arial" w:hAnsi="Arial"/>
          <w:sz w:val="17"/>
          <w:szCs w:val="17"/>
          <w:color w:val="auto"/>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are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accounts receivable consists principally of amounts due related to product sales of instrument systems and accessories, as well as installation and repair services. These receivables are generally due within 30 to 45 days of the period in which the corresponding sales occur and do not bear interest are classified as trade accounts receivable, net on the consolidated balance sheets. Trade accounts receivable are reported at their estimated net realizable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receivables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adopted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is not party to any off-balance sheet arrangements that would require an allowance for credit losses in accordance with this accounting standard.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allowance for uncollectible receivables for the year ended December 31, 2022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47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5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Cumulative effect adjustment upon adoption of ASU 2016-13</w:t>
            </w:r>
          </w:p>
        </w:tc>
        <w:tc>
          <w:tcPr>
            <w:tcW w:w="37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5100" w:type="dxa"/>
            <w:vAlign w:val="bottom"/>
          </w:tcPr>
          <w:p>
            <w:pPr>
              <w:ind w:left="20"/>
              <w:spacing w:after="0"/>
              <w:rPr>
                <w:sz w:val="20"/>
                <w:szCs w:val="20"/>
                <w:color w:val="auto"/>
              </w:rPr>
            </w:pPr>
            <w:r>
              <w:rPr>
                <w:rFonts w:ascii="Arial" w:cs="Arial" w:eastAsia="Arial" w:hAnsi="Arial"/>
                <w:sz w:val="18"/>
                <w:szCs w:val="18"/>
                <w:color w:val="auto"/>
              </w:rPr>
              <w:t>Balance at January 1, 2022</w:t>
            </w:r>
          </w:p>
        </w:tc>
        <w:tc>
          <w:tcPr>
            <w:tcW w:w="3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49"/>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Utilization of allowance for doubtful accounts</w:t>
            </w:r>
          </w:p>
        </w:tc>
        <w:tc>
          <w:tcPr>
            <w:tcW w:w="37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37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r>
      <w:tr>
        <w:trPr>
          <w:trHeight w:val="28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37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r>
        <w:trPr>
          <w:trHeight w:val="561"/>
        </w:trPr>
        <w:tc>
          <w:tcPr>
            <w:tcW w:w="5100" w:type="dxa"/>
            <w:vAlign w:val="bottom"/>
          </w:tcPr>
          <w:p>
            <w:pPr>
              <w:spacing w:after="0"/>
              <w:rPr>
                <w:sz w:val="24"/>
                <w:szCs w:val="24"/>
                <w:color w:val="auto"/>
              </w:rPr>
            </w:pPr>
          </w:p>
        </w:tc>
        <w:tc>
          <w:tcPr>
            <w:tcW w:w="3700" w:type="dxa"/>
            <w:vAlign w:val="bottom"/>
          </w:tcPr>
          <w:p>
            <w:pPr>
              <w:jc w:val="right"/>
              <w:ind w:right="2990"/>
              <w:spacing w:after="0"/>
              <w:rPr>
                <w:sz w:val="20"/>
                <w:szCs w:val="20"/>
                <w:color w:val="auto"/>
              </w:rPr>
            </w:pPr>
            <w:r>
              <w:rPr>
                <w:rFonts w:ascii="Arial" w:cs="Arial" w:eastAsia="Arial" w:hAnsi="Arial"/>
                <w:sz w:val="18"/>
                <w:szCs w:val="18"/>
                <w:color w:val="auto"/>
              </w:rPr>
              <w:t>83</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Estimated Useful Lives</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Building</w:t>
            </w:r>
          </w:p>
        </w:tc>
        <w:tc>
          <w:tcPr>
            <w:tcW w:w="3300" w:type="dxa"/>
            <w:vAlign w:val="bottom"/>
          </w:tcPr>
          <w:p>
            <w:pPr>
              <w:spacing w:after="0"/>
              <w:rPr>
                <w:sz w:val="23"/>
                <w:szCs w:val="23"/>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 years</w:t>
            </w:r>
          </w:p>
        </w:tc>
        <w:tc>
          <w:tcPr>
            <w:tcW w:w="1640" w:type="dxa"/>
            <w:vAlign w:val="bottom"/>
          </w:tcPr>
          <w:p>
            <w:pPr>
              <w:spacing w:after="0"/>
              <w:rPr>
                <w:sz w:val="23"/>
                <w:szCs w:val="23"/>
                <w:color w:val="auto"/>
              </w:rPr>
            </w:pPr>
          </w:p>
        </w:tc>
      </w:tr>
      <w:tr>
        <w:trPr>
          <w:trHeight w:val="25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30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300" w:type="dxa"/>
            <w:vAlign w:val="bottom"/>
          </w:tcPr>
          <w:p>
            <w:pPr>
              <w:spacing w:after="0"/>
              <w:rPr>
                <w:sz w:val="20"/>
                <w:szCs w:val="20"/>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and computer equipment</w:t>
            </w:r>
          </w:p>
        </w:tc>
        <w:tc>
          <w:tcPr>
            <w:tcW w:w="3300" w:type="dxa"/>
            <w:vAlign w:val="bottom"/>
            <w:shd w:val="clear" w:color="auto" w:fill="CFF0FC"/>
          </w:tcPr>
          <w:p>
            <w:pPr>
              <w:spacing w:after="0"/>
              <w:rPr>
                <w:sz w:val="21"/>
                <w:szCs w:val="21"/>
                <w:color w:val="auto"/>
              </w:rPr>
            </w:pP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3 years</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700" w:type="dxa"/>
            <w:vAlign w:val="bottom"/>
            <w:gridSpan w:val="3"/>
          </w:tcPr>
          <w:p>
            <w:pPr>
              <w:jc w:val="center"/>
              <w:ind w:left="1570"/>
              <w:spacing w:after="0"/>
              <w:rPr>
                <w:sz w:val="20"/>
                <w:szCs w:val="20"/>
                <w:color w:val="auto"/>
              </w:rPr>
            </w:pPr>
            <w:r>
              <w:rPr>
                <w:rFonts w:ascii="Arial" w:cs="Arial" w:eastAsia="Arial" w:hAnsi="Arial"/>
                <w:sz w:val="18"/>
                <w:szCs w:val="18"/>
                <w:color w:val="auto"/>
                <w:w w:val="89"/>
              </w:rPr>
              <w:t>Shorter of expected lease term or estimated useful life</w:t>
            </w:r>
          </w:p>
        </w:tc>
      </w:tr>
    </w:tbl>
    <w:p>
      <w:pPr>
        <w:spacing w:after="0" w:line="10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 The addition of goodwill in 2021 is discussed in Note 9,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8"/>
                <w:szCs w:val="18"/>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Estimated Useful Lives</w:t>
            </w:r>
          </w:p>
        </w:tc>
      </w:tr>
      <w:tr>
        <w:trPr>
          <w:trHeight w:val="34"/>
        </w:trPr>
        <w:tc>
          <w:tcPr>
            <w:tcW w:w="784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6"/>
              </w:rPr>
              <w:t>20 years</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6"/>
              </w:rPr>
              <w:t>10 years</w:t>
            </w: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4 years</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4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Reagent licenses</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IP license</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carrying amounts reflected in the consolidated balance sheets for cash and cash equivalents, trade accounts receivable, net, trade accounts payable and accrued expenses approximate their fair values.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instrument is transferred to the customer.</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7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7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As of December 31, 2022, the Company recorded $12.1 million of revenue under bill-and-hold arrangements. As of December 31,</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jc w:val="both"/>
        <w:ind w:right="20"/>
        <w:spacing w:after="0" w:line="277" w:lineRule="auto"/>
        <w:rPr>
          <w:sz w:val="20"/>
          <w:szCs w:val="20"/>
          <w:color w:val="auto"/>
        </w:rPr>
      </w:pPr>
      <w:r>
        <w:rPr>
          <w:rFonts w:ascii="Arial" w:cs="Arial" w:eastAsia="Arial" w:hAnsi="Arial"/>
          <w:sz w:val="18"/>
          <w:szCs w:val="18"/>
          <w:color w:val="auto"/>
        </w:rPr>
        <w:t>2021, revenue recorded under bill-and-hold arrangements was immaterial. At December 31, 2022, $5.9 million was included in revenue for products that had not shipped.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6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consolidated balance sheet. Accordingly, there were no deferred offering costs related to the IPO as of December 31, 2022 and December 31,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cost of advertising, marketing and media is expensed as incurred. For the year ended December 31, 2022 and 2021, advertising, marketing and media expenses were $2.5 million and $1.8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jc w:val="both"/>
        <w:ind w:right="20" w:firstLine="509"/>
        <w:spacing w:after="0" w:line="277" w:lineRule="auto"/>
        <w:rPr>
          <w:sz w:val="20"/>
          <w:szCs w:val="20"/>
          <w:color w:val="auto"/>
        </w:rPr>
      </w:pPr>
      <w:r>
        <w:rPr>
          <w:rFonts w:ascii="Arial" w:cs="Arial" w:eastAsia="Arial" w:hAnsi="Arial"/>
          <w:sz w:val="18"/>
          <w:szCs w:val="18"/>
          <w:color w:val="auto"/>
        </w:rPr>
        <w:t>Expected Term—Expected term represents the period that the Company's stock-based awards are expected to be outstanding and is determined using the simplified method.</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Dividend Yield— The expected dividend yield is zero as the Company has never declared or paid cash dividends and has no current plans to do so in the foreseeable future.</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Company intends to reinvest its undistributed earnings of its foreign operations. Following enactment of the Tax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common stockholders per share</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Basic net income attributable to common stockholders per share and diluted net income attributable to common stockholders per share are computed using the weighted-average number of shares of common stock outstanding for the period. Net income per share attributable to common stockholders is calculated using the two-class method, which is an earnings allocation formula that determines net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per share in the periods in which net income is recorded.</w:t>
      </w:r>
    </w:p>
    <w:p>
      <w:pPr>
        <w:spacing w:after="0" w:line="5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Diluted net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Common stock equivalents are excluded from the computation of diluted net income attributable to common stockholders per share if their effect is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 xml:space="preserve">The Company uses the acquisition method of accounting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jc w:val="both"/>
        <w:ind w:firstLine="509"/>
        <w:spacing w:after="0" w:line="257"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customer relationships, trade names, and reagent licenses.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 treatment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5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spacing w:after="0" w:line="6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spacing w:after="0" w:line="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Adoption of Topic 842 resulted in the recording of ROU assets and lease liabilities related to the Company’s operating leases of approximately $14.6 million and $15.2 million, respectively, on January 1, 2022. The adoption of the new lease standard did not materially impact the Company's consolidated net income or consolidated cash flows and did not result in a cumulative-effect adjustment to the opening balance of retained earnings. Refer to Note 16 for additional disclosures.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which requires entities to estimate all expected credit losses for financial assets measured at amortized cost basis, including trade receivables, held at the reporting date based on historical experience, current conditions and reasonable and supportable forecasts. The Company adopted this guidance using the modified retrospective adoption method on December 31, 2022, which was retroactively applied as of the first day of fiscal year 2022. The adoption of this accounting standard did not have a material impact to the Company’s consolidated financial statements.</w:t>
      </w:r>
    </w:p>
    <w:p>
      <w:pPr>
        <w:spacing w:after="0" w:line="76"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other risks and uncertainties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depicts the disaggregation of revenue by sales channel mix and customer mix as defined by the nature of workflows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200"/>
              <w:spacing w:after="0"/>
              <w:rPr>
                <w:sz w:val="20"/>
                <w:szCs w:val="20"/>
                <w:color w:val="auto"/>
              </w:rPr>
            </w:pPr>
            <w:r>
              <w:rPr>
                <w:rFonts w:ascii="Arial" w:cs="Arial" w:eastAsia="Arial" w:hAnsi="Arial"/>
                <w:sz w:val="18"/>
                <w:szCs w:val="18"/>
                <w:color w:val="auto"/>
              </w:rPr>
              <w:t>Direct sales channel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129,098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110,520</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77,106</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Distributor channel</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34,938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17,430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164,036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127,950</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Customer mix</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Academia and government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73,706</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59,415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15"/>
        </w:trPr>
        <w:tc>
          <w:tcPr>
            <w:tcW w:w="6680" w:type="dxa"/>
            <w:vAlign w:val="bottom"/>
          </w:tcPr>
          <w:p>
            <w:pPr>
              <w:ind w:left="200"/>
              <w:spacing w:after="0"/>
              <w:rPr>
                <w:sz w:val="20"/>
                <w:szCs w:val="20"/>
                <w:color w:val="auto"/>
              </w:rPr>
            </w:pPr>
            <w:r>
              <w:rPr>
                <w:rFonts w:ascii="Arial" w:cs="Arial" w:eastAsia="Arial" w:hAnsi="Arial"/>
                <w:sz w:val="18"/>
                <w:szCs w:val="18"/>
                <w:color w:val="auto"/>
              </w:rPr>
              <w:t>Biotechnology, pharmaceutical, distributor and contract research</w:t>
            </w:r>
          </w:p>
        </w:tc>
        <w:tc>
          <w:tcPr>
            <w:tcW w:w="300" w:type="dxa"/>
            <w:vAlign w:val="bottom"/>
          </w:tcPr>
          <w:p>
            <w:pPr>
              <w:spacing w:after="0"/>
              <w:rPr>
                <w:sz w:val="18"/>
                <w:szCs w:val="18"/>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90,330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68,535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30"/>
        </w:trPr>
        <w:tc>
          <w:tcPr>
            <w:tcW w:w="6680" w:type="dxa"/>
            <w:vAlign w:val="bottom"/>
          </w:tcPr>
          <w:p>
            <w:pPr>
              <w:ind w:left="340"/>
              <w:spacing w:after="0"/>
              <w:rPr>
                <w:sz w:val="20"/>
                <w:szCs w:val="20"/>
                <w:color w:val="auto"/>
              </w:rPr>
            </w:pPr>
            <w:r>
              <w:rPr>
                <w:rFonts w:ascii="Arial" w:cs="Arial" w:eastAsia="Arial" w:hAnsi="Arial"/>
                <w:sz w:val="18"/>
                <w:szCs w:val="18"/>
                <w:color w:val="auto"/>
              </w:rPr>
              <w:t>organizations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164,036</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127,950</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-1122045</wp:posOffset>
            </wp:positionV>
            <wp:extent cx="939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-1122045</wp:posOffset>
            </wp:positionV>
            <wp:extent cx="939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939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93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Revenue by geographical markets is presented in Note 23,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December 31, 2022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2"/>
              </w:rPr>
              <w:t>Less than 1 year</w:t>
            </w:r>
          </w:p>
        </w:tc>
        <w:tc>
          <w:tcPr>
            <w:tcW w:w="16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7"/>
              </w:rPr>
              <w:t>Greater than 1 year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3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199</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12,787</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13,124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25,911</w:t>
            </w:r>
          </w:p>
        </w:tc>
      </w:tr>
      <w:tr>
        <w:trPr>
          <w:trHeight w:val="276"/>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12,986</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13,124</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102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02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5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Customer deposits, which are included in 'Other current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8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contract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27,665</w:t>
            </w:r>
          </w:p>
        </w:tc>
        <w:tc>
          <w:tcPr>
            <w:tcW w:w="1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305"/>
        </w:trPr>
        <w:tc>
          <w:tcPr>
            <w:tcW w:w="7660" w:type="dxa"/>
            <w:vAlign w:val="bottom"/>
          </w:tcPr>
          <w:p>
            <w:pPr>
              <w:ind w:left="520"/>
              <w:spacing w:after="0"/>
              <w:rPr>
                <w:sz w:val="20"/>
                <w:szCs w:val="20"/>
                <w:color w:val="auto"/>
              </w:rPr>
            </w:pPr>
            <w:r>
              <w:rPr>
                <w:rFonts w:ascii="Arial" w:cs="Arial" w:eastAsia="Arial" w:hAnsi="Arial"/>
                <w:sz w:val="18"/>
                <w:szCs w:val="18"/>
                <w:color w:val="auto"/>
              </w:rPr>
              <w:t>The following provides a roll-forward of the contract liabilities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(10,678 )</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Revenue deferred</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 recognized</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(15,008 )</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25,152</w:t>
            </w: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(24,686 )</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Revenue deferred</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34,462</w:t>
            </w: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Balance at December 31, 2022</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27,665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4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-2459355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-2442210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Balance sheet details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4"/>
        </w:trPr>
        <w:tc>
          <w:tcPr>
            <w:tcW w:w="34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37"/>
        </w:trPr>
        <w:tc>
          <w:tcPr>
            <w:tcW w:w="7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26,925</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17,260</w:t>
            </w:r>
          </w:p>
        </w:tc>
      </w:tr>
      <w:tr>
        <w:trPr>
          <w:trHeight w:val="237"/>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20"/>
                <w:szCs w:val="20"/>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4,897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2,297</w:t>
            </w:r>
          </w:p>
        </w:tc>
      </w:tr>
      <w:tr>
        <w:trPr>
          <w:trHeight w:val="243"/>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16,332</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12,614</w:t>
            </w:r>
          </w:p>
        </w:tc>
      </w:tr>
      <w:tr>
        <w:trPr>
          <w:trHeight w:val="237"/>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48,154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32,171</w:t>
            </w:r>
          </w:p>
        </w:tc>
      </w:tr>
      <w:tr>
        <w:trPr>
          <w:trHeight w:val="20"/>
        </w:trPr>
        <w:tc>
          <w:tcPr>
            <w:tcW w:w="3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Prepaid inventory</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Prepaid insurance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income tax</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Tax refund receivable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12,954</w:t>
            </w:r>
          </w:p>
        </w:tc>
        <w:tc>
          <w:tcPr>
            <w:tcW w:w="40" w:type="dxa"/>
            <w:vAlign w:val="bottom"/>
          </w:tcPr>
          <w:p>
            <w:pPr>
              <w:spacing w:after="0"/>
              <w:rPr>
                <w:sz w:val="21"/>
                <w:szCs w:val="21"/>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accrued expenses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13,911</w:t>
            </w:r>
          </w:p>
        </w:tc>
        <w:tc>
          <w:tcPr>
            <w:tcW w:w="4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service fees</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1,276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2,457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2,126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8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auto"/>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21,126</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305"/>
        </w:trPr>
        <w:tc>
          <w:tcPr>
            <w:tcW w:w="7660" w:type="dxa"/>
            <w:vAlign w:val="bottom"/>
          </w:tcPr>
          <w:p>
            <w:pPr>
              <w:ind w:left="520"/>
              <w:spacing w:after="0"/>
              <w:rPr>
                <w:sz w:val="20"/>
                <w:szCs w:val="20"/>
                <w:color w:val="auto"/>
              </w:rPr>
            </w:pPr>
            <w:r>
              <w:rPr>
                <w:rFonts w:ascii="Arial" w:cs="Arial" w:eastAsia="Arial" w:hAnsi="Arial"/>
                <w:sz w:val="18"/>
                <w:szCs w:val="18"/>
                <w:color w:val="auto"/>
              </w:rPr>
              <w:t>For the product warranty analysis refer to Note 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other current liabilities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1,555</w:t>
            </w:r>
          </w:p>
        </w:tc>
        <w:tc>
          <w:tcPr>
            <w:tcW w:w="4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Sales and use tax payable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1,421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 current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2,931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Current portion of loan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1,227</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7,960</w:t>
            </w:r>
          </w:p>
        </w:tc>
        <w:tc>
          <w:tcPr>
            <w:tcW w:w="40" w:type="dxa"/>
            <w:vAlign w:val="bottom"/>
          </w:tcPr>
          <w:p>
            <w:pPr>
              <w:spacing w:after="0"/>
              <w:rPr>
                <w:sz w:val="21"/>
                <w:szCs w:val="21"/>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-4165600</wp:posOffset>
            </wp:positionV>
            <wp:extent cx="939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-2193925</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-2176780</wp:posOffset>
            </wp:positionV>
            <wp:extent cx="1200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is based on the lowest level of input that is significant to the fair value measurement. The following table sets forth the fair value of the Company’s financial assets and liabilities by level within the fair value hierarchy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Quoted prices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markets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139"/>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1)</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37"/>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345,679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345,679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5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345,679</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345,679</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Quoted prices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markets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9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5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9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42"/>
        </w:trPr>
        <w:tc>
          <w:tcPr>
            <w:tcW w:w="55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(level 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97"/>
              <w:spacing w:after="0"/>
              <w:rPr>
                <w:sz w:val="20"/>
                <w:szCs w:val="20"/>
                <w:color w:val="auto"/>
              </w:rPr>
            </w:pPr>
            <w:r>
              <w:rPr>
                <w:rFonts w:ascii="Arial" w:cs="Arial" w:eastAsia="Arial" w:hAnsi="Arial"/>
                <w:sz w:val="14"/>
                <w:szCs w:val="14"/>
                <w:b w:val="1"/>
                <w:bCs w:val="1"/>
                <w:color w:val="auto"/>
                <w:w w:val="95"/>
              </w:rPr>
              <w:t>(level 3)</w:t>
            </w:r>
          </w:p>
        </w:tc>
        <w:tc>
          <w:tcPr>
            <w:tcW w:w="0" w:type="dxa"/>
            <w:vAlign w:val="bottom"/>
          </w:tcPr>
          <w:p>
            <w:pPr>
              <w:spacing w:after="0"/>
              <w:rPr>
                <w:sz w:val="1"/>
                <w:szCs w:val="1"/>
                <w:color w:val="auto"/>
              </w:rPr>
            </w:pPr>
          </w:p>
        </w:tc>
      </w:tr>
      <w:tr>
        <w:trPr>
          <w:trHeight w:val="236"/>
        </w:trPr>
        <w:tc>
          <w:tcPr>
            <w:tcW w:w="5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U.S. Treasury</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29,930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29,930</w:t>
            </w:r>
          </w:p>
        </w:tc>
        <w:tc>
          <w:tcPr>
            <w:tcW w:w="12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Federal agency securities</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19,908</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5,955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117,437</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117,437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U.S. Treasury</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9,786</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Federal agency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11,626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23,136</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23,136</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217,778</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157,153</w:t>
            </w:r>
          </w:p>
        </w:tc>
        <w:tc>
          <w:tcPr>
            <w:tcW w:w="12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60,625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-2459990</wp:posOffset>
            </wp:positionV>
            <wp:extent cx="94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-2442210</wp:posOffset>
            </wp:positionV>
            <wp:extent cx="94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-2459990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-2442210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-2459990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-2442210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-187960</wp:posOffset>
            </wp:positionV>
            <wp:extent cx="857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7683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-187960</wp:posOffset>
            </wp:positionV>
            <wp:extent cx="768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table above does not include the Company's investments in privately held equity securities. Non-marketable equity investments of $1.6 million are included within Other noncurrent assets on the consolidated balance sheet as of December 31, 2022.</w:t>
      </w:r>
    </w:p>
    <w:p>
      <w:pPr>
        <w:spacing w:after="0" w:line="58"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tables summarize the Company's investments in available-for-sale securities by significant investment category reported as short-term as of December 31, 2022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December 31 2022</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w w:val="97"/>
              </w:rPr>
              <w:t>Gross Unrealized Gains</w:t>
            </w: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4"/>
              </w:rPr>
              <w:t>Gross Unrealized Loss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180" w:type="dxa"/>
            <w:vAlign w:val="bottom"/>
          </w:tcPr>
          <w:p>
            <w:pPr>
              <w:spacing w:after="0"/>
              <w:rPr>
                <w:sz w:val="20"/>
                <w:szCs w:val="20"/>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9,783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9,786</w:t>
            </w: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agency securities</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11,613</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11,627</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23,136</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23,136</w:t>
            </w:r>
          </w:p>
        </w:tc>
      </w:tr>
      <w:tr>
        <w:trPr>
          <w:trHeight w:val="27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available-for-sale investments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44,532</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-25400</wp:posOffset>
            </wp:positionV>
            <wp:extent cx="1631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1631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797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1797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contractual maturities of the Company's available-for-sale securities at December 31, 2022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 2022</w:t>
            </w:r>
          </w:p>
        </w:tc>
        <w:tc>
          <w:tcPr>
            <w:tcW w:w="2040" w:type="dxa"/>
            <w:vAlign w:val="bottom"/>
            <w:tcBorders>
              <w:bottom w:val="single" w:sz="8" w:color="auto"/>
            </w:tcBorders>
          </w:tcPr>
          <w:p>
            <w:pPr>
              <w:spacing w:after="0"/>
              <w:rPr>
                <w:sz w:val="16"/>
                <w:szCs w:val="16"/>
                <w:color w:val="auto"/>
              </w:rPr>
            </w:pPr>
          </w:p>
        </w:tc>
      </w:tr>
      <w:tr>
        <w:trPr>
          <w:trHeight w:val="181"/>
        </w:trPr>
        <w:tc>
          <w:tcPr>
            <w:tcW w:w="5480" w:type="dxa"/>
            <w:vAlign w:val="bottom"/>
          </w:tcPr>
          <w:p>
            <w:pPr>
              <w:spacing w:after="0"/>
              <w:rPr>
                <w:sz w:val="15"/>
                <w:szCs w:val="15"/>
                <w:color w:val="auto"/>
              </w:rPr>
            </w:pPr>
          </w:p>
        </w:tc>
        <w:tc>
          <w:tcPr>
            <w:tcW w:w="2040" w:type="dxa"/>
            <w:vAlign w:val="bottom"/>
          </w:tcPr>
          <w:p>
            <w:pPr>
              <w:jc w:val="right"/>
              <w:ind w:right="96"/>
              <w:spacing w:after="0"/>
              <w:rPr>
                <w:sz w:val="20"/>
                <w:szCs w:val="20"/>
                <w:color w:val="auto"/>
              </w:rPr>
            </w:pPr>
            <w:r>
              <w:rPr>
                <w:rFonts w:ascii="Arial" w:cs="Arial" w:eastAsia="Arial" w:hAnsi="Arial"/>
                <w:sz w:val="14"/>
                <w:szCs w:val="14"/>
                <w:b w:val="1"/>
                <w:bCs w:val="1"/>
                <w:color w:val="auto"/>
              </w:rPr>
              <w:t>Amortized Cost</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40" w:type="dxa"/>
            <w:vAlign w:val="bottom"/>
          </w:tcPr>
          <w:p>
            <w:pPr>
              <w:jc w:val="right"/>
              <w:ind w:right="996"/>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Mature in less than one year</w:t>
            </w:r>
          </w:p>
        </w:tc>
        <w:tc>
          <w:tcPr>
            <w:tcW w:w="20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44,532</w:t>
            </w:r>
          </w:p>
        </w:tc>
        <w:tc>
          <w:tcPr>
            <w:tcW w:w="2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44,549</w:t>
            </w: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ind w:right="18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44,532</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6"/>
              <w:spacing w:after="0"/>
              <w:rPr>
                <w:sz w:val="20"/>
                <w:szCs w:val="20"/>
                <w:color w:val="auto"/>
              </w:rPr>
            </w:pPr>
            <w:r>
              <w:rPr>
                <w:rFonts w:ascii="Arial" w:cs="Arial" w:eastAsia="Arial" w:hAnsi="Arial"/>
                <w:sz w:val="18"/>
                <w:szCs w:val="18"/>
                <w:color w:val="auto"/>
              </w:rPr>
              <w:t>44,549</w:t>
            </w:r>
          </w:p>
        </w:tc>
      </w:tr>
      <w:tr>
        <w:trPr>
          <w:trHeight w:val="20"/>
        </w:trPr>
        <w:tc>
          <w:tcPr>
            <w:tcW w:w="54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5480" w:type="dxa"/>
            <w:vAlign w:val="bottom"/>
          </w:tcPr>
          <w:p>
            <w:pPr>
              <w:spacing w:after="0"/>
              <w:rPr>
                <w:sz w:val="24"/>
                <w:szCs w:val="24"/>
                <w:color w:val="auto"/>
              </w:rPr>
            </w:pPr>
          </w:p>
        </w:tc>
        <w:tc>
          <w:tcPr>
            <w:tcW w:w="2040" w:type="dxa"/>
            <w:vAlign w:val="bottom"/>
          </w:tcPr>
          <w:p>
            <w:pPr>
              <w:jc w:val="right"/>
              <w:ind w:right="1716"/>
              <w:spacing w:after="0"/>
              <w:rPr>
                <w:sz w:val="20"/>
                <w:szCs w:val="20"/>
                <w:color w:val="auto"/>
              </w:rPr>
            </w:pPr>
            <w:r>
              <w:rPr>
                <w:rFonts w:ascii="Arial" w:cs="Arial" w:eastAsia="Arial" w:hAnsi="Arial"/>
                <w:sz w:val="18"/>
                <w:szCs w:val="18"/>
                <w:color w:val="auto"/>
              </w:rPr>
              <w:t>91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-641985</wp:posOffset>
            </wp:positionV>
            <wp:extent cx="14605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components of property and equipment, net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3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4,777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2,410</w:t>
            </w: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3,481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3,021</w:t>
            </w: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 and land</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344</w:t>
            </w: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and computer equipment</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673</w:t>
            </w: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1,263</w:t>
            </w: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16,841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7,711</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(1,860 )</w:t>
            </w:r>
          </w:p>
        </w:tc>
      </w:tr>
      <w:tr>
        <w:trPr>
          <w:trHeight w:val="277"/>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13,682</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depreciation expense for the year ended December 31, 2022, 2021, and 2020 were $1.7 million, $0.9 million and $0.5 million, respectively.</w:t>
      </w:r>
    </w:p>
    <w:p>
      <w:pPr>
        <w:spacing w:after="0" w:line="393"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November 2, 2021, the Company completed the acquisition of the reagents business of Tonbo Biotechnologies Corporation ("Tonbo") for an aggregate cash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acquisition was accounted for as a business combination in accordance with ASC 805. The tangible and intangible assets acquired were recorded at fair value on the acquisition date. The purchase price allocation is based upon preliminary valuations and estimates and assumptions which are subject to change within the purchase price allocation period, generally one year from the acquisition date. The following table represents the allocation of the purchase price to the assets acquired by the Company as part of the acquisition included in the Company’s consolidated balance sheets, and is reconciled to the purchase price.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751"/>
              <w:spacing w:after="0"/>
              <w:rPr>
                <w:sz w:val="20"/>
                <w:szCs w:val="20"/>
                <w:color w:val="auto"/>
              </w:rPr>
            </w:pPr>
            <w:r>
              <w:rPr>
                <w:rFonts w:ascii="Arial" w:cs="Arial" w:eastAsia="Arial" w:hAnsi="Arial"/>
                <w:sz w:val="18"/>
                <w:szCs w:val="18"/>
                <w:b w:val="1"/>
                <w:bCs w:val="1"/>
                <w:color w:val="auto"/>
              </w:rPr>
              <w:t>Tonbo</w:t>
            </w:r>
          </w:p>
        </w:tc>
      </w:tr>
      <w:tr>
        <w:trPr>
          <w:trHeight w:val="223"/>
        </w:trPr>
        <w:tc>
          <w:tcPr>
            <w:tcW w:w="9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531"/>
              <w:spacing w:after="0"/>
              <w:rPr>
                <w:sz w:val="20"/>
                <w:szCs w:val="20"/>
                <w:color w:val="auto"/>
              </w:rPr>
            </w:pPr>
            <w:r>
              <w:rPr>
                <w:rFonts w:ascii="Arial" w:cs="Arial" w:eastAsia="Arial" w:hAnsi="Arial"/>
                <w:sz w:val="16"/>
                <w:szCs w:val="16"/>
                <w:color w:val="auto"/>
              </w:rPr>
              <w:t>(in thousands)</w:t>
            </w:r>
          </w:p>
        </w:tc>
      </w:tr>
      <w:tr>
        <w:trPr>
          <w:trHeight w:val="33"/>
        </w:trPr>
        <w:tc>
          <w:tcPr>
            <w:tcW w:w="9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2,549</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0"/>
                <w:szCs w:val="20"/>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Reagent licenses</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1,800</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20"/>
                <w:szCs w:val="20"/>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700</w:t>
            </w:r>
          </w:p>
        </w:tc>
      </w:tr>
      <w:tr>
        <w:trPr>
          <w:trHeight w:val="249"/>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2,200</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Total identifiable net assets acquired</w:t>
            </w:r>
          </w:p>
        </w:tc>
        <w:tc>
          <w:tcPr>
            <w:tcW w:w="300" w:type="dxa"/>
            <w:vAlign w:val="bottom"/>
          </w:tcPr>
          <w:p>
            <w:pPr>
              <w:spacing w:after="0"/>
              <w:rPr>
                <w:sz w:val="20"/>
                <w:szCs w:val="20"/>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7,332</w:t>
            </w:r>
          </w:p>
        </w:tc>
      </w:tr>
      <w:tr>
        <w:trPr>
          <w:trHeight w:val="249"/>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9,668</w:t>
            </w:r>
          </w:p>
        </w:tc>
      </w:tr>
      <w:tr>
        <w:trPr>
          <w:trHeight w:val="236"/>
        </w:trPr>
        <w:tc>
          <w:tcPr>
            <w:tcW w:w="918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17,000</w:t>
            </w:r>
          </w:p>
        </w:tc>
      </w:tr>
      <w:tr>
        <w:trPr>
          <w:trHeight w:val="20"/>
        </w:trPr>
        <w:tc>
          <w:tcPr>
            <w:tcW w:w="9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$9.7 million of goodwill arising from the Tonbo acquisition is primarily attributed to significant time-to-market advantages, as the Company gained immediate access to Tonbo’s products, existing relationships and business infrastructure and Tonbo’s knowledgeable and experienced workforce. The goodwill is expected to be deductible for tax purposes.</w:t>
      </w:r>
    </w:p>
    <w:p>
      <w:pPr>
        <w:spacing w:after="0" w:line="7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2"/>
          </w:tcPr>
          <w:p>
            <w:pPr>
              <w:jc w:val="center"/>
              <w:ind w:right="2750"/>
              <w:spacing w:after="0"/>
              <w:rPr>
                <w:sz w:val="20"/>
                <w:szCs w:val="20"/>
                <w:color w:val="auto"/>
              </w:rPr>
            </w:pPr>
            <w:r>
              <w:rPr>
                <w:rFonts w:ascii="Arial" w:cs="Arial" w:eastAsia="Arial" w:hAnsi="Arial"/>
                <w:sz w:val="18"/>
                <w:szCs w:val="18"/>
                <w:b w:val="1"/>
                <w:bCs w:val="1"/>
                <w:color w:val="auto"/>
                <w:w w:val="87"/>
              </w:rPr>
              <w:t>Tonbo</w:t>
            </w:r>
          </w:p>
        </w:tc>
      </w:tr>
      <w:tr>
        <w:trPr>
          <w:trHeight w:val="239"/>
        </w:trPr>
        <w:tc>
          <w:tcPr>
            <w:tcW w:w="4660" w:type="dxa"/>
            <w:vAlign w:val="bottom"/>
          </w:tcPr>
          <w:p>
            <w:pPr>
              <w:spacing w:after="0"/>
              <w:rPr>
                <w:sz w:val="20"/>
                <w:szCs w:val="20"/>
                <w:color w:val="auto"/>
              </w:rPr>
            </w:pPr>
          </w:p>
        </w:tc>
        <w:tc>
          <w:tcPr>
            <w:tcW w:w="2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Useful life (years)</w:t>
            </w:r>
          </w:p>
        </w:tc>
      </w:tr>
      <w:tr>
        <w:trPr>
          <w:trHeight w:val="218"/>
        </w:trPr>
        <w:tc>
          <w:tcPr>
            <w:tcW w:w="4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gridSpan w:val="3"/>
          </w:tcPr>
          <w:p>
            <w:pPr>
              <w:jc w:val="center"/>
              <w:ind w:right="1930"/>
              <w:spacing w:after="0"/>
              <w:rPr>
                <w:sz w:val="20"/>
                <w:szCs w:val="20"/>
                <w:color w:val="auto"/>
              </w:rPr>
            </w:pPr>
            <w:r>
              <w:rPr>
                <w:rFonts w:ascii="Arial" w:cs="Arial" w:eastAsia="Arial" w:hAnsi="Arial"/>
                <w:sz w:val="16"/>
                <w:szCs w:val="16"/>
                <w:color w:val="auto"/>
                <w:w w:val="91"/>
              </w:rPr>
              <w:t>(In thousands, except for years)</w:t>
            </w:r>
          </w:p>
        </w:tc>
      </w:tr>
      <w:tr>
        <w:trPr>
          <w:trHeight w:val="25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020" w:type="dxa"/>
            <w:vAlign w:val="bottom"/>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2,200</w:t>
            </w:r>
          </w:p>
        </w:tc>
        <w:tc>
          <w:tcPr>
            <w:tcW w:w="3720" w:type="dxa"/>
            <w:vAlign w:val="bottom"/>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7</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Reagent licenses</w:t>
            </w:r>
          </w:p>
        </w:tc>
        <w:tc>
          <w:tcPr>
            <w:tcW w:w="20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3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7</w:t>
            </w: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20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700</w:t>
            </w:r>
          </w:p>
        </w:tc>
        <w:tc>
          <w:tcPr>
            <w:tcW w:w="3720" w:type="dxa"/>
            <w:vAlign w:val="bottom"/>
            <w:tcBorders>
              <w:bottom w:val="single" w:sz="8" w:color="CFF0FC"/>
            </w:tcBorders>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4</w:t>
            </w:r>
          </w:p>
        </w:tc>
      </w:tr>
      <w:tr>
        <w:trPr>
          <w:trHeight w:val="236"/>
        </w:trPr>
        <w:tc>
          <w:tcPr>
            <w:tcW w:w="4660" w:type="dxa"/>
            <w:vAlign w:val="bottom"/>
          </w:tcPr>
          <w:p>
            <w:pPr>
              <w:ind w:left="2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4,700</w:t>
            </w:r>
          </w:p>
        </w:tc>
        <w:tc>
          <w:tcPr>
            <w:tcW w:w="3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23114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1140" cy="18859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customer relationships intangible asset represents the fair value of the underlying relationships with Tonbo’s customers. The tradename intangible asset represents the fair value of brand and name recognition associated with the marketing of Tonbo's reagents. The reagent license intangible asset represents the fair value of access to certain antibodies to manufacture reagents.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3" w:name="page94"/>
    <w:bookmarkEnd w:id="93"/>
    <w:p>
      <w:pPr>
        <w:jc w:val="both"/>
        <w:ind w:firstLine="509"/>
        <w:spacing w:after="0" w:line="257" w:lineRule="auto"/>
        <w:rPr>
          <w:sz w:val="20"/>
          <w:szCs w:val="20"/>
          <w:color w:val="auto"/>
        </w:rPr>
      </w:pPr>
      <w:r>
        <w:rPr>
          <w:rFonts w:ascii="Arial" w:cs="Arial" w:eastAsia="Arial" w:hAnsi="Arial"/>
          <w:sz w:val="18"/>
          <w:szCs w:val="18"/>
          <w:color w:val="auto"/>
        </w:rPr>
        <w:t>The fair value of the customer relationships intangible asset was determined based on the excess earnings method; the fair values of the tradename intangible assets were determined based on the relief-from-royalty method; and the fair value of the reagent license intangible asset was determined based on the cost approach method. The key assumptions used in estimating the fair values of intangible assets included forecasted financial information; customer retention rates; royalty rate of 2.0% for the tradename intangible assets; discount rate of 13.0% for all intangible assets; and certain other assumptions.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results of operations for the acquisition are included in the consolidated financial statements of the Company from the date of the acquisition and net revenues and operating loss are not material. The Company has not included pro forma financial information related to the acquisition as the overall impact to the financial statements was not material. Transaction costs incurred by the Company related to the acquisition totaled approximately $230,000 for the year ended December 31, 2021, which were expensed and recorded as a component of general and administrative expenses in the consolidated statement of operations.</w:t>
      </w:r>
    </w:p>
    <w:p>
      <w:pPr>
        <w:spacing w:after="0" w:line="76"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addition of goodwill for the year ended December 31, 2021 is discussed in Note 9. There were no changes in goodwill for the year ended December 31,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 and trademarks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387</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700</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IP license</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2,200</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Reagent license</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1,800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1,800</w:t>
            </w:r>
          </w:p>
        </w:tc>
      </w:tr>
      <w:tr>
        <w:trPr>
          <w:trHeight w:val="230"/>
        </w:trPr>
        <w:tc>
          <w:tcPr>
            <w:tcW w:w="768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5,710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5,563</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4,331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4,739</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-504825</wp:posOffset>
            </wp:positionV>
            <wp:extent cx="11112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11112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74"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Total amortization expense for the year ended December 31, 2022, 2021, and 2020 were approximately $835,000, $334,000 and $71,000, respectively.</w:t>
      </w:r>
    </w:p>
    <w:p>
      <w:pPr>
        <w:spacing w:after="0" w:line="58"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2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6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patents in question were determined to have an average useful life of 18 months. Accordingly, beginning the second quarter of 2022, the remaining contractual payments will be classified as operating expenses as they are considered to be represented of deferred litigation settlement. The Company recorded $0.6 million, $3.3 million, and $2.5 million product cost of sales related to royalty expense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8"/>
          <w:szCs w:val="18"/>
          <w:color w:val="auto"/>
        </w:rPr>
        <w:t>for the year ended December 31, 2022, 2021, and 2020, respectively. The Company recorded $2.2 million, $1.7 million, and $0.3 million of interest expense for the year ended December 31, 2022, 2021, and 2020,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$17.8 million and $15.2 million as of December 31, 2022 and December 31, 2021, respectively, and will record licensing expense in future periods.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2,163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1,463</w:t>
            </w: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15,596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13,745</w:t>
            </w:r>
          </w:p>
        </w:tc>
      </w:tr>
      <w:tr>
        <w:trPr>
          <w:trHeight w:val="28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legal settlement liability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17,759</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15,208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1028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8" w:lineRule="exact"/>
        <w:rPr>
          <w:sz w:val="20"/>
          <w:szCs w:val="20"/>
          <w:color w:val="auto"/>
        </w:rPr>
      </w:pPr>
    </w:p>
    <w:p>
      <w:pPr>
        <w:jc w:val="both"/>
        <w:ind w:firstLine="563"/>
        <w:spacing w:after="0" w:line="275" w:lineRule="auto"/>
        <w:rPr>
          <w:sz w:val="20"/>
          <w:szCs w:val="20"/>
          <w:color w:val="auto"/>
        </w:rPr>
      </w:pPr>
      <w:r>
        <w:rPr>
          <w:rFonts w:ascii="Arial" w:cs="Arial" w:eastAsia="Arial" w:hAnsi="Arial"/>
          <w:sz w:val="17"/>
          <w:szCs w:val="17"/>
          <w:color w:val="auto"/>
        </w:rPr>
        <w:t>On November 7, 2022, Cytek (Wuxi) Biosciences Co., Ltd, the Company’s China subsidiary (“Cytek Wuxi”), entered a fixed asset loan agreement with Bank of Communications, China. The loan is denominated in Chinese renminbi and collateralized by Cytek Wuxi's cash deposit to the bank. The deposit is in a separate account with Cytek Wuxi's name, but the use of such account is restricted. The Company considered the deposit as restricted cash and are presented on the consolidated Balance Sheets. Total loan amount is $2.9 million and the loan term is five years. The current portion of the loan, $580,000, is included in other current liabilities. The fixed interest rate on the loan was 4.5% as of December 31, 2022.</w:t>
      </w:r>
    </w:p>
    <w:p>
      <w:pPr>
        <w:spacing w:after="0" w:line="64"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to 30,213,574 from 32,665,849.</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July 2021, all of the then-outstanding shares of Preferred Stock automatically converted into 87,268,694 shares of common stock immediately upon the closing of Company’s IPO.</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classified its Preferred Stock as temporary equity in the accompanying consolidated balance sheets due to terms that allow for redemption of the shares upon certain change in control events that are outside of the Company’s control, including sale or transfer of control of the Company, as holders of the Preferred Stock could cause redemption of the shares in these situations.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20" w:firstLine="509"/>
        <w:spacing w:after="0" w:line="257" w:lineRule="auto"/>
        <w:rPr>
          <w:sz w:val="20"/>
          <w:szCs w:val="20"/>
          <w:color w:val="auto"/>
        </w:rPr>
      </w:pPr>
      <w:r>
        <w:rPr>
          <w:rFonts w:ascii="Arial" w:cs="Arial" w:eastAsia="Arial" w:hAnsi="Arial"/>
          <w:sz w:val="18"/>
          <w:szCs w:val="18"/>
          <w:color w:val="auto"/>
        </w:rPr>
        <w:t>As of December 31, 2022,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3" w:lineRule="exact"/>
        <w:rPr>
          <w:sz w:val="20"/>
          <w:szCs w:val="20"/>
          <w:color w:val="auto"/>
        </w:rPr>
      </w:pPr>
    </w:p>
    <w:p>
      <w:pPr>
        <w:jc w:val="both"/>
        <w:ind w:left="20" w:firstLine="509"/>
        <w:spacing w:after="0" w:line="250" w:lineRule="auto"/>
        <w:rPr>
          <w:sz w:val="20"/>
          <w:szCs w:val="20"/>
          <w:color w:val="auto"/>
        </w:rPr>
      </w:pPr>
      <w:r>
        <w:rPr>
          <w:rFonts w:ascii="Arial" w:cs="Arial" w:eastAsia="Arial" w:hAnsi="Arial"/>
          <w:sz w:val="22"/>
          <w:szCs w:val="22"/>
          <w:color w:val="auto"/>
        </w:rPr>
        <w:t>O</w:t>
      </w:r>
      <w:r>
        <w:rPr>
          <w:rFonts w:ascii="Arial" w:cs="Arial" w:eastAsia="Arial" w:hAnsi="Arial"/>
          <w:sz w:val="17"/>
          <w:szCs w:val="17"/>
          <w:color w:val="auto"/>
        </w:rPr>
        <w:t>n July 16, 2021, the Board and the Company’s stockholders approved an amendment and restatement of the Company’s certificate of</w:t>
      </w:r>
      <w:r>
        <w:rPr>
          <w:rFonts w:ascii="Arial" w:cs="Arial" w:eastAsia="Arial" w:hAnsi="Arial"/>
          <w:sz w:val="22"/>
          <w:szCs w:val="22"/>
          <w:color w:val="auto"/>
        </w:rPr>
        <w:t xml:space="preserve"> </w:t>
      </w:r>
      <w:r>
        <w:rPr>
          <w:rFonts w:ascii="Arial" w:cs="Arial" w:eastAsia="Arial" w:hAnsi="Arial"/>
          <w:sz w:val="17"/>
          <w:szCs w:val="17"/>
          <w:color w:val="auto"/>
        </w:rPr>
        <w:t>incorporation to effect the Stock Split, which became effective upon filing with the Secretary of State of the State of Delaware on July 16, 2021</w:t>
      </w:r>
      <w:r>
        <w:rPr>
          <w:rFonts w:ascii="Arial" w:cs="Arial" w:eastAsia="Arial" w:hAnsi="Arial"/>
          <w:sz w:val="21"/>
          <w:szCs w:val="21"/>
          <w:color w:val="auto"/>
        </w:rPr>
        <w:t>.</w:t>
      </w:r>
    </w:p>
    <w:p>
      <w:pPr>
        <w:spacing w:after="0" w:line="74" w:lineRule="exact"/>
        <w:rPr>
          <w:sz w:val="20"/>
          <w:szCs w:val="20"/>
          <w:color w:val="auto"/>
        </w:rPr>
      </w:pPr>
    </w:p>
    <w:p>
      <w:pPr>
        <w:jc w:val="both"/>
        <w:ind w:left="20" w:firstLine="509"/>
        <w:spacing w:after="0" w:line="263"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76" w:lineRule="exact"/>
        <w:rPr>
          <w:sz w:val="20"/>
          <w:szCs w:val="20"/>
          <w:color w:val="auto"/>
        </w:rPr>
      </w:pPr>
    </w:p>
    <w:p>
      <w:pPr>
        <w:jc w:val="both"/>
        <w:ind w:left="20" w:firstLine="509"/>
        <w:spacing w:after="0" w:line="263" w:lineRule="auto"/>
        <w:rPr>
          <w:sz w:val="20"/>
          <w:szCs w:val="20"/>
          <w:color w:val="auto"/>
        </w:rPr>
      </w:pPr>
      <w:r>
        <w:rPr>
          <w:rFonts w:ascii="Arial" w:cs="Arial" w:eastAsia="Arial" w:hAnsi="Arial"/>
          <w:sz w:val="18"/>
          <w:szCs w:val="18"/>
          <w:color w:val="auto"/>
        </w:rPr>
        <w:t>On August 26, 2022, the Company filed a Registration Statement with the SEC. In connection with the filing of the Registration Statement, the Company also entered into the “2022 Sales Agreement” with Piper as sales agent to sell from time to time up to $150 million of the Company’s common stock through an “at-the-market” offering program as defined in Rule 415 promulgated under the Securities Act.</w:t>
      </w:r>
    </w:p>
    <w:p>
      <w:pPr>
        <w:spacing w:after="0" w:line="76" w:lineRule="exact"/>
        <w:rPr>
          <w:sz w:val="20"/>
          <w:szCs w:val="20"/>
          <w:color w:val="auto"/>
        </w:rPr>
      </w:pPr>
    </w:p>
    <w:p>
      <w:pPr>
        <w:jc w:val="both"/>
        <w:ind w:left="20" w:firstLine="509"/>
        <w:spacing w:after="0" w:line="279"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2022, the Company has not made any sales of common stock pursuant to the 2022 Sales Agreement.</w:t>
      </w:r>
    </w:p>
    <w:p>
      <w:pPr>
        <w:spacing w:after="0" w:line="59"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2022, the Company had three stock-based compensation plans (the “Plans”) which are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jc w:val="both"/>
        <w:ind w:left="20" w:firstLine="509"/>
        <w:spacing w:after="0" w:line="259"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17" w:lineRule="exact"/>
        <w:rPr>
          <w:sz w:val="20"/>
          <w:szCs w:val="20"/>
          <w:color w:val="auto"/>
        </w:rPr>
      </w:pPr>
    </w:p>
    <w:p>
      <w:pPr>
        <w:jc w:val="both"/>
        <w:ind w:left="20" w:firstLine="509"/>
        <w:spacing w:after="0" w:line="290" w:lineRule="auto"/>
        <w:rPr>
          <w:sz w:val="20"/>
          <w:szCs w:val="20"/>
          <w:color w:val="auto"/>
        </w:rPr>
      </w:pPr>
      <w:r>
        <w:rPr>
          <w:rFonts w:ascii="Arial" w:cs="Arial" w:eastAsia="Arial" w:hAnsi="Arial"/>
          <w:sz w:val="16"/>
          <w:szCs w:val="16"/>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December 31, 2022, the total number of shares of common stock available for issuance under the 2021 Plan was 18,785,426 shares.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jc w:val="both"/>
        <w:ind w:left="20" w:firstLine="509"/>
        <w:spacing w:after="0" w:line="293" w:lineRule="auto"/>
        <w:rPr>
          <w:sz w:val="20"/>
          <w:szCs w:val="20"/>
          <w:color w:val="auto"/>
        </w:rPr>
      </w:pPr>
      <w:r>
        <w:rPr>
          <w:rFonts w:ascii="Arial" w:cs="Arial" w:eastAsia="Arial" w:hAnsi="Arial"/>
          <w:sz w:val="16"/>
          <w:szCs w:val="16"/>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year ended December 31, 2022, 192,470 shares were issued pursuant to purchases under the ESPP.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 assumptions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6" w:name="page97"/>
    <w:bookmarkEnd w:id="96"/>
    <w:p>
      <w:pPr>
        <w:jc w:val="both"/>
        <w:spacing w:after="0" w:line="301" w:lineRule="auto"/>
        <w:rPr>
          <w:sz w:val="20"/>
          <w:szCs w:val="20"/>
          <w:color w:val="auto"/>
        </w:rPr>
      </w:pPr>
      <w:r>
        <w:rPr>
          <w:rFonts w:ascii="Arial" w:cs="Arial" w:eastAsia="Arial" w:hAnsi="Arial"/>
          <w:sz w:val="16"/>
          <w:szCs w:val="16"/>
          <w:color w:val="auto"/>
        </w:rPr>
        <w:t>(the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4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7"/>
              </w:rPr>
              <w:t>Number of options</w:t>
            </w:r>
          </w:p>
        </w:tc>
        <w:tc>
          <w:tcPr>
            <w:tcW w:w="160" w:type="dxa"/>
            <w:vAlign w:val="bottom"/>
          </w:tcPr>
          <w:p>
            <w:pPr>
              <w:spacing w:after="0"/>
              <w:rPr>
                <w:sz w:val="12"/>
                <w:szCs w:val="12"/>
                <w:color w:val="auto"/>
              </w:rPr>
            </w:pPr>
          </w:p>
        </w:tc>
        <w:tc>
          <w:tcPr>
            <w:tcW w:w="1460" w:type="dxa"/>
            <w:vAlign w:val="bottom"/>
            <w:gridSpan w:val="2"/>
            <w:vMerge w:val="restart"/>
          </w:tcPr>
          <w:p>
            <w:pPr>
              <w:jc w:val="right"/>
              <w:ind w:right="151"/>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2"/>
                <w:szCs w:val="12"/>
                <w:color w:val="auto"/>
              </w:rPr>
            </w:pPr>
          </w:p>
        </w:tc>
        <w:tc>
          <w:tcPr>
            <w:tcW w:w="14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460" w:type="dxa"/>
            <w:vAlign w:val="bottom"/>
            <w:gridSpan w:val="2"/>
            <w:vMerge w:val="restart"/>
          </w:tcPr>
          <w:p>
            <w:pPr>
              <w:jc w:val="right"/>
              <w:ind w:right="134"/>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exercise price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6,174,778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4,344,187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(1,289,652 )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(417,797 )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Options expired</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8,805,850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540" w:type="dxa"/>
            <w:vAlign w:val="bottom"/>
            <w:gridSpan w:val="2"/>
          </w:tcPr>
          <w:p>
            <w:pPr>
              <w:jc w:val="right"/>
              <w:ind w:right="42"/>
              <w:spacing w:after="0"/>
              <w:rPr>
                <w:sz w:val="20"/>
                <w:szCs w:val="20"/>
                <w:color w:val="auto"/>
              </w:rPr>
            </w:pPr>
            <w:r>
              <w:rPr>
                <w:rFonts w:ascii="Arial" w:cs="Arial" w:eastAsia="Arial" w:hAnsi="Arial"/>
                <w:sz w:val="18"/>
                <w:szCs w:val="18"/>
                <w:color w:val="auto"/>
              </w:rPr>
              <w:t>8.03</w:t>
            </w:r>
          </w:p>
        </w:tc>
        <w:tc>
          <w:tcPr>
            <w:tcW w:w="44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147,623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4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715,352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(1,224,564 )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forfeited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(641,036 )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Options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(76,967 )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7,578,635</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7.42</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4,219,843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540" w:type="dxa"/>
            <w:vAlign w:val="bottom"/>
            <w:gridSpan w:val="2"/>
          </w:tcPr>
          <w:p>
            <w:pPr>
              <w:jc w:val="right"/>
              <w:ind w:right="42"/>
              <w:spacing w:after="0"/>
              <w:rPr>
                <w:sz w:val="20"/>
                <w:szCs w:val="20"/>
                <w:color w:val="auto"/>
              </w:rPr>
            </w:pPr>
            <w:r>
              <w:rPr>
                <w:rFonts w:ascii="Arial" w:cs="Arial" w:eastAsia="Arial" w:hAnsi="Arial"/>
                <w:sz w:val="18"/>
                <w:szCs w:val="18"/>
                <w:color w:val="auto"/>
              </w:rPr>
              <w:t>6.64</w:t>
            </w:r>
          </w:p>
        </w:tc>
        <w:tc>
          <w:tcPr>
            <w:tcW w:w="44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28,852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-1173480</wp:posOffset>
            </wp:positionV>
            <wp:extent cx="10287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-1173480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-1173480</wp:posOffset>
            </wp:positionV>
            <wp:extent cx="939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-205105</wp:posOffset>
            </wp:positionV>
            <wp:extent cx="209169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91690" cy="205740"/>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weighted-average grant date fair value of options granted during the year ended December 31, 2022, 2021, and 2020 were $8.21, $10.42, and $0.97 per share, respectively.</w:t>
      </w:r>
    </w:p>
    <w:p>
      <w:pPr>
        <w:spacing w:after="0" w:line="62" w:lineRule="exact"/>
        <w:rPr>
          <w:sz w:val="20"/>
          <w:szCs w:val="20"/>
          <w:color w:val="auto"/>
        </w:rPr>
      </w:pPr>
    </w:p>
    <w:p>
      <w:pPr>
        <w:jc w:val="both"/>
        <w:ind w:right="20" w:firstLine="574"/>
        <w:spacing w:after="0" w:line="308" w:lineRule="auto"/>
        <w:rPr>
          <w:sz w:val="20"/>
          <w:szCs w:val="20"/>
          <w:color w:val="auto"/>
        </w:rPr>
      </w:pPr>
      <w:r>
        <w:rPr>
          <w:rFonts w:ascii="Arial" w:cs="Arial" w:eastAsia="Arial" w:hAnsi="Arial"/>
          <w:sz w:val="17"/>
          <w:szCs w:val="17"/>
          <w:color w:val="auto"/>
        </w:rPr>
        <w:t>There was $28.1 million of unrecognized stock-based compensation expense related to unvested stock options as of December 31, 2022. The unrecognized stock-based compensation expense is estimated to be recognized over a period of 2.23 years as of December 31, 2022.</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currently uses authorized and unissued shares to satisfy option exercises</w:t>
      </w:r>
      <w:r>
        <w:rPr>
          <w:rFonts w:ascii="Arial" w:cs="Arial" w:eastAsia="Arial" w:hAnsi="Arial"/>
          <w:sz w:val="21"/>
          <w:szCs w:val="21"/>
          <w:color w:val="auto"/>
        </w:rPr>
        <w:t>.</w:t>
      </w:r>
    </w:p>
    <w:p>
      <w:pPr>
        <w:spacing w:after="0" w:line="144" w:lineRule="exact"/>
        <w:rPr>
          <w:sz w:val="20"/>
          <w:szCs w:val="20"/>
          <w:color w:val="auto"/>
        </w:rPr>
      </w:pPr>
    </w:p>
    <w:p>
      <w:pPr>
        <w:jc w:val="both"/>
        <w:ind w:firstLine="563"/>
        <w:spacing w:after="0" w:line="274"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December 31, 2022</w:t>
      </w:r>
      <w:r>
        <w:rPr>
          <w:rFonts w:ascii="Arial" w:cs="Arial" w:eastAsia="Arial" w:hAnsi="Arial"/>
          <w:sz w:val="21"/>
          <w:szCs w:val="21"/>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RSU awards activity during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85"/>
        </w:trPr>
        <w:tc>
          <w:tcPr>
            <w:tcW w:w="77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date fair value per share</w:t>
            </w: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2020</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104,876</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2021</w:t>
            </w:r>
          </w:p>
        </w:tc>
        <w:tc>
          <w:tcPr>
            <w:tcW w:w="16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104,876</w:t>
            </w:r>
          </w:p>
        </w:tc>
        <w:tc>
          <w:tcPr>
            <w:tcW w:w="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7"/>
        </w:trPr>
        <w:tc>
          <w:tcPr>
            <w:tcW w:w="77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1,361,133</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(215,433 )</w:t>
            </w:r>
          </w:p>
        </w:tc>
        <w:tc>
          <w:tcPr>
            <w:tcW w:w="8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tcPr>
          <w:p>
            <w:pPr>
              <w:jc w:val="right"/>
              <w:spacing w:after="0"/>
              <w:rPr>
                <w:sz w:val="20"/>
                <w:szCs w:val="20"/>
                <w:color w:val="auto"/>
              </w:rPr>
            </w:pPr>
            <w:r>
              <w:rPr>
                <w:rFonts w:ascii="Arial" w:cs="Arial" w:eastAsia="Arial" w:hAnsi="Arial"/>
                <w:sz w:val="18"/>
                <w:szCs w:val="18"/>
                <w:color w:val="auto"/>
              </w:rPr>
              <w:t>(81,068 )</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8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2022</w:t>
            </w:r>
          </w:p>
        </w:tc>
        <w:tc>
          <w:tcPr>
            <w:tcW w:w="16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1,169,508</w:t>
            </w:r>
          </w:p>
        </w:tc>
        <w:tc>
          <w:tcPr>
            <w:tcW w:w="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-676275</wp:posOffset>
            </wp:positionV>
            <wp:extent cx="11112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There was $14.5 million of unrecognized stock-based compensation expense related to unvested RSU awards as of December 31, 2022. The unrecognized stock-based compensation expense is estimated to be recognized over a period of 3.22 years as of December 31,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3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1,508</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232</w:t>
            </w: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1,877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w:t>
            </w:r>
          </w:p>
        </w:tc>
      </w:tr>
      <w:tr>
        <w:trPr>
          <w:trHeight w:val="277"/>
        </w:trPr>
        <w:tc>
          <w:tcPr>
            <w:tcW w:w="6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16,595</w:t>
            </w:r>
          </w:p>
        </w:tc>
        <w:tc>
          <w:tcPr>
            <w:tcW w:w="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6,586</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93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weighted-average valuation assumptions used in determining the fair value of employee stock options:</w:t>
      </w:r>
    </w:p>
    <w:p>
      <w:pPr>
        <w:spacing w:after="0" w:line="122"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9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0"/>
                <w:szCs w:val="20"/>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c>
          <w:tcPr>
            <w:tcW w:w="9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83 %</w:t>
            </w:r>
          </w:p>
        </w:tc>
      </w:tr>
      <w:tr>
        <w:trPr>
          <w:trHeight w:val="242"/>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9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8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 ESPP for the current offering period using the Black-Scholes option-pricing model: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77 %</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w w:val="87"/>
              </w:rPr>
              <w:t>— %</w:t>
            </w:r>
          </w:p>
        </w:tc>
      </w:tr>
      <w:tr>
        <w:trPr>
          <w:trHeight w:val="242"/>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w w:val="87"/>
              </w:rPr>
              <w:t>— %</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5126990</wp:posOffset>
            </wp:positionH>
            <wp:positionV relativeFrom="paragraph">
              <wp:posOffset>-749300</wp:posOffset>
            </wp:positionV>
            <wp:extent cx="200977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097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17"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$1,045,000, $770,000, and $584,000 for the year ended December 31, 2022, 2021, and 2020, respectively.</w:t>
      </w:r>
    </w:p>
    <w:p>
      <w:pPr>
        <w:spacing w:after="0" w:line="53"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For the years ended December 31, 2022, 2021, and 2020, income from continuing operations before taxes consisted of amounts related to U.S. operations and income associated with the Company’s foreign operations. The geographical breakdown of the Company’s income (loss) before provision for (benefit from) income taxes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r>
      <w:tr>
        <w:trPr>
          <w:trHeight w:val="237"/>
        </w:trPr>
        <w:tc>
          <w:tcPr>
            <w:tcW w:w="4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Domestic</w:t>
            </w:r>
          </w:p>
        </w:tc>
        <w:tc>
          <w:tcPr>
            <w:tcW w:w="20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(1,347 )</w:t>
            </w:r>
          </w:p>
        </w:tc>
        <w:tc>
          <w:tcPr>
            <w:tcW w:w="26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(1,870 )</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14,136</w:t>
            </w:r>
          </w:p>
        </w:tc>
        <w:tc>
          <w:tcPr>
            <w:tcW w:w="180" w:type="dxa"/>
            <w:vAlign w:val="bottom"/>
          </w:tcPr>
          <w:p>
            <w:pPr>
              <w:spacing w:after="0"/>
              <w:rPr>
                <w:sz w:val="20"/>
                <w:szCs w:val="20"/>
                <w:color w:val="auto"/>
              </w:rPr>
            </w:pPr>
          </w:p>
        </w:tc>
      </w:tr>
      <w:tr>
        <w:trPr>
          <w:trHeight w:val="243"/>
        </w:trPr>
        <w:tc>
          <w:tcPr>
            <w:tcW w:w="4280" w:type="dxa"/>
            <w:vAlign w:val="bottom"/>
          </w:tcPr>
          <w:p>
            <w:pPr>
              <w:ind w:left="6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2,607</w:t>
            </w:r>
          </w:p>
        </w:tc>
        <w:tc>
          <w:tcPr>
            <w:tcW w:w="2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7,808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1"/>
                <w:szCs w:val="21"/>
                <w:color w:val="auto"/>
              </w:rPr>
            </w:pPr>
          </w:p>
        </w:tc>
      </w:tr>
      <w:tr>
        <w:trPr>
          <w:trHeight w:val="276"/>
        </w:trPr>
        <w:tc>
          <w:tcPr>
            <w:tcW w:w="42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Profits before provision for income taxes</w:t>
            </w:r>
          </w:p>
        </w:tc>
        <w:tc>
          <w:tcPr>
            <w:tcW w:w="20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5,938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14,430</w:t>
            </w:r>
          </w:p>
        </w:tc>
        <w:tc>
          <w:tcPr>
            <w:tcW w:w="180" w:type="dxa"/>
            <w:vAlign w:val="bottom"/>
          </w:tcPr>
          <w:p>
            <w:pPr>
              <w:spacing w:after="0"/>
              <w:rPr>
                <w:sz w:val="24"/>
                <w:szCs w:val="24"/>
                <w:color w:val="auto"/>
              </w:rPr>
            </w:pPr>
          </w:p>
        </w:tc>
      </w:tr>
      <w:tr>
        <w:trPr>
          <w:trHeight w:val="561"/>
        </w:trPr>
        <w:tc>
          <w:tcPr>
            <w:tcW w:w="4280" w:type="dxa"/>
            <w:vAlign w:val="bottom"/>
          </w:tcPr>
          <w:p>
            <w:pPr>
              <w:spacing w:after="0"/>
              <w:rPr>
                <w:sz w:val="24"/>
                <w:szCs w:val="24"/>
                <w:color w:val="auto"/>
              </w:rPr>
            </w:pPr>
          </w:p>
        </w:tc>
        <w:tc>
          <w:tcPr>
            <w:tcW w:w="2060" w:type="dxa"/>
            <w:vAlign w:val="bottom"/>
          </w:tcPr>
          <w:p>
            <w:pPr>
              <w:jc w:val="right"/>
              <w:ind w:right="539"/>
              <w:spacing w:after="0"/>
              <w:rPr>
                <w:sz w:val="20"/>
                <w:szCs w:val="20"/>
                <w:color w:val="auto"/>
              </w:rPr>
            </w:pPr>
            <w:r>
              <w:rPr>
                <w:rFonts w:ascii="Arial" w:cs="Arial" w:eastAsia="Arial" w:hAnsi="Arial"/>
                <w:sz w:val="18"/>
                <w:szCs w:val="18"/>
                <w:color w:val="auto"/>
              </w:rPr>
              <w:t>97</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8"/>
        </w:trPr>
        <w:tc>
          <w:tcPr>
            <w:tcW w:w="428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-462280</wp:posOffset>
            </wp:positionV>
            <wp:extent cx="1714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-445135</wp:posOffset>
            </wp:positionV>
            <wp:extent cx="1714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-462280</wp:posOffset>
            </wp:positionV>
            <wp:extent cx="1714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-445135</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6" w:right="279" w:bottom="1440" w:gutter="0" w:footer="0" w:header="0"/>
        </w:sectPr>
      </w:pPr>
    </w:p>
    <w:bookmarkStart w:id="98" w:name="page99"/>
    <w:bookmarkEnd w:id="98"/>
    <w:p>
      <w:pPr>
        <w:ind w:left="520"/>
        <w:spacing w:after="0"/>
        <w:rPr>
          <w:sz w:val="20"/>
          <w:szCs w:val="20"/>
          <w:color w:val="auto"/>
        </w:rPr>
      </w:pPr>
      <w:r>
        <w:rPr>
          <w:rFonts w:ascii="Arial" w:cs="Arial" w:eastAsia="Arial" w:hAnsi="Arial"/>
          <w:sz w:val="18"/>
          <w:szCs w:val="18"/>
          <w:color w:val="auto"/>
        </w:rPr>
        <w:t>Income tax expense attributable to income from continuing operations consists of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37"/>
        </w:trPr>
        <w:tc>
          <w:tcPr>
            <w:tcW w:w="6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Current provisions for income taxes: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37"/>
        </w:trPr>
        <w:tc>
          <w:tcPr>
            <w:tcW w:w="63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7,280</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3,666</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1,108</w:t>
            </w:r>
          </w:p>
        </w:tc>
      </w:tr>
      <w:tr>
        <w:trPr>
          <w:trHeight w:val="249"/>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580</w:t>
            </w: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1,442</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709</w:t>
            </w:r>
          </w:p>
        </w:tc>
      </w:tr>
      <w:tr>
        <w:trPr>
          <w:trHeight w:val="237"/>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current</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10,061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4,707</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2,397</w:t>
            </w:r>
          </w:p>
        </w:tc>
      </w:tr>
      <w:tr>
        <w:trPr>
          <w:trHeight w:val="473"/>
        </w:trPr>
        <w:tc>
          <w:tcPr>
            <w:tcW w:w="6340" w:type="dxa"/>
            <w:vAlign w:val="bottom"/>
          </w:tcPr>
          <w:p>
            <w:pPr>
              <w:ind w:left="60"/>
              <w:spacing w:after="0"/>
              <w:rPr>
                <w:sz w:val="20"/>
                <w:szCs w:val="20"/>
                <w:color w:val="auto"/>
              </w:rPr>
            </w:pPr>
            <w:r>
              <w:rPr>
                <w:rFonts w:ascii="Arial" w:cs="Arial" w:eastAsia="Arial" w:hAnsi="Arial"/>
                <w:sz w:val="18"/>
                <w:szCs w:val="18"/>
                <w:color w:val="auto"/>
              </w:rPr>
              <w:t>Deferred tax expense (benefit):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(9,164 )</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(2,529 )</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(4,956 )</w:t>
            </w:r>
          </w:p>
        </w:tc>
      </w:tr>
      <w:tr>
        <w:trPr>
          <w:trHeight w:val="237"/>
        </w:trPr>
        <w:tc>
          <w:tcPr>
            <w:tcW w:w="6340" w:type="dxa"/>
            <w:vAlign w:val="bottom"/>
          </w:tcPr>
          <w:p>
            <w:pPr>
              <w:ind w:left="2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(1,910 )</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(579 )</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(1,086 )</w:t>
            </w:r>
          </w:p>
        </w:tc>
      </w:tr>
      <w:tr>
        <w:trPr>
          <w:trHeight w:val="249"/>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(211 )</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(1,336 )</w:t>
            </w:r>
          </w:p>
        </w:tc>
      </w:tr>
      <w:tr>
        <w:trPr>
          <w:trHeight w:val="236"/>
        </w:trPr>
        <w:tc>
          <w:tcPr>
            <w:tcW w:w="6340" w:type="dxa"/>
            <w:vAlign w:val="bottom"/>
          </w:tcPr>
          <w:p>
            <w:pPr>
              <w:ind w:left="60"/>
              <w:spacing w:after="0"/>
              <w:rPr>
                <w:sz w:val="20"/>
                <w:szCs w:val="20"/>
                <w:color w:val="auto"/>
              </w:rPr>
            </w:pPr>
            <w:r>
              <w:rPr>
                <w:rFonts w:ascii="Arial" w:cs="Arial" w:eastAsia="Arial" w:hAnsi="Arial"/>
                <w:sz w:val="18"/>
                <w:szCs w:val="18"/>
                <w:color w:val="auto"/>
              </w:rPr>
              <w:t>Total deferred tax expense (benefit)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(11,285 )</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(1,796 )</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(7,378 )</w:t>
            </w:r>
          </w:p>
        </w:tc>
      </w:tr>
      <w:tr>
        <w:trPr>
          <w:trHeight w:val="237"/>
        </w:trPr>
        <w:tc>
          <w:tcPr>
            <w:tcW w:w="6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r>
      <w:tr>
        <w:trPr>
          <w:trHeight w:val="277"/>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provision for (benefit from) income taxes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(1,224 )</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2,911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(4,981 )</w:t>
            </w:r>
          </w:p>
        </w:tc>
      </w:tr>
      <w:tr>
        <w:trPr>
          <w:trHeight w:val="413"/>
        </w:trPr>
        <w:tc>
          <w:tcPr>
            <w:tcW w:w="6340" w:type="dxa"/>
            <w:vAlign w:val="bottom"/>
          </w:tcPr>
          <w:p>
            <w:pPr>
              <w:spacing w:after="0"/>
              <w:rPr>
                <w:sz w:val="20"/>
                <w:szCs w:val="20"/>
                <w:color w:val="auto"/>
              </w:rPr>
            </w:pPr>
            <w:r>
              <w:rPr>
                <w:rFonts w:ascii="Arial" w:cs="Arial" w:eastAsia="Arial" w:hAnsi="Arial"/>
                <w:sz w:val="18"/>
                <w:szCs w:val="18"/>
                <w:i w:val="1"/>
                <w:iCs w:val="1"/>
                <w:color w:val="auto"/>
              </w:rPr>
              <w:t>Tax rate reconciliation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-1567815</wp:posOffset>
            </wp:positionV>
            <wp:extent cx="171450" cy="316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31686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-1567815</wp:posOffset>
            </wp:positionV>
            <wp:extent cx="171450" cy="316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31686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-788035</wp:posOffset>
            </wp:positionV>
            <wp:extent cx="171450" cy="3340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33401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-788035</wp:posOffset>
            </wp:positionV>
            <wp:extent cx="171450" cy="3340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0" cy="33401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-299720</wp:posOffset>
            </wp:positionV>
            <wp:extent cx="1714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-282575</wp:posOffset>
            </wp:positionV>
            <wp:extent cx="1714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714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-282575</wp:posOffset>
            </wp:positionV>
            <wp:extent cx="1714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federal statutory rate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20" w:type="dxa"/>
            <w:vAlign w:val="bottom"/>
            <w:gridSpan w:val="2"/>
          </w:tcPr>
          <w:p>
            <w:pPr>
              <w:ind w:left="6920"/>
              <w:spacing w:after="0"/>
              <w:rPr>
                <w:sz w:val="20"/>
                <w:szCs w:val="20"/>
                <w:color w:val="auto"/>
              </w:rPr>
            </w:pPr>
            <w:r>
              <w:rPr>
                <w:rFonts w:ascii="Arial" w:cs="Arial" w:eastAsia="Arial" w:hAnsi="Arial"/>
                <w:sz w:val="14"/>
                <w:szCs w:val="14"/>
                <w:b w:val="1"/>
                <w:bCs w:val="1"/>
                <w:color w:val="auto"/>
                <w:w w:val="89"/>
              </w:rPr>
              <w:t>2022</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r>
      <w:tr>
        <w:trPr>
          <w:trHeight w:val="236"/>
        </w:trPr>
        <w:tc>
          <w:tcPr>
            <w:tcW w:w="6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U.S. federal tax benefit at statutory rate</w:t>
            </w:r>
          </w:p>
        </w:tc>
        <w:tc>
          <w:tcPr>
            <w:tcW w:w="8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(60.0 )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Foreign income taxed at different rates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(37.9 )</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(9.6 )</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8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Foreign-derived intangible income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(39.2 )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Research and development credits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(146.4 )</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(6.6 )</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Tax impact of foreign earnings and losses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Subpart F</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Other permanent adjustments</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18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Prior year true up due to tax rate change</w:t>
            </w:r>
          </w:p>
        </w:tc>
        <w:tc>
          <w:tcPr>
            <w:tcW w:w="620" w:type="dxa"/>
            <w:vAlign w:val="bottom"/>
          </w:tcPr>
          <w:p>
            <w:pPr>
              <w:jc w:val="right"/>
              <w:spacing w:after="0"/>
              <w:rPr>
                <w:sz w:val="20"/>
                <w:szCs w:val="20"/>
                <w:color w:val="auto"/>
              </w:rPr>
            </w:pPr>
            <w:r>
              <w:rPr>
                <w:rFonts w:ascii="Arial" w:cs="Arial" w:eastAsia="Arial" w:hAnsi="Arial"/>
                <w:sz w:val="18"/>
                <w:szCs w:val="18"/>
                <w:color w:val="auto"/>
              </w:rPr>
              <w:t>(47.1 )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(0.6 )</w:t>
            </w:r>
          </w:p>
        </w:tc>
        <w:tc>
          <w:tcPr>
            <w:tcW w:w="22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Change in valuation allowance, net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(53.4 )</w:t>
            </w:r>
          </w:p>
        </w:tc>
        <w:tc>
          <w:tcPr>
            <w:tcW w:w="18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162M Compensation</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Foreign Tax Credit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(19.6 )</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6400" w:type="dxa"/>
            <w:vAlign w:val="bottom"/>
          </w:tcPr>
          <w:p>
            <w:pPr>
              <w:ind w:left="6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21"/>
                <w:szCs w:val="21"/>
                <w:color w:val="auto"/>
              </w:rPr>
            </w:pPr>
          </w:p>
        </w:tc>
      </w:tr>
      <w:tr>
        <w:trPr>
          <w:trHeight w:val="276"/>
        </w:trPr>
        <w:tc>
          <w:tcPr>
            <w:tcW w:w="7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Effective tax rate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w:t>
            </w:r>
          </w:p>
        </w:tc>
      </w:tr>
      <w:tr>
        <w:trPr>
          <w:trHeight w:val="561"/>
        </w:trPr>
        <w:tc>
          <w:tcPr>
            <w:tcW w:w="6400" w:type="dxa"/>
            <w:vAlign w:val="bottom"/>
            <w:tcBorders>
              <w:top w:val="single" w:sz="8" w:color="CFF0FC"/>
            </w:tcBorders>
          </w:tcPr>
          <w:p>
            <w:pPr>
              <w:ind w:left="5540"/>
              <w:spacing w:after="0"/>
              <w:rPr>
                <w:sz w:val="20"/>
                <w:szCs w:val="20"/>
                <w:color w:val="auto"/>
              </w:rPr>
            </w:pPr>
            <w:r>
              <w:rPr>
                <w:rFonts w:ascii="Arial" w:cs="Arial" w:eastAsia="Arial" w:hAnsi="Arial"/>
                <w:sz w:val="18"/>
                <w:szCs w:val="18"/>
                <w:color w:val="auto"/>
              </w:rPr>
              <w:t>98</w:t>
            </w:r>
          </w:p>
        </w:tc>
        <w:tc>
          <w:tcPr>
            <w:tcW w:w="8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88"/>
        </w:trPr>
        <w:tc>
          <w:tcPr>
            <w:tcW w:w="6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-462280</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-445135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-445135</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-462280</wp:posOffset>
            </wp:positionV>
            <wp:extent cx="1200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-445135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Significant components of deferred taxes</w:t>
      </w:r>
    </w:p>
    <w:p>
      <w:pPr>
        <w:spacing w:after="0" w:line="200" w:lineRule="exact"/>
        <w:rPr>
          <w:sz w:val="20"/>
          <w:szCs w:val="20"/>
          <w:color w:val="auto"/>
        </w:rPr>
      </w:pPr>
    </w:p>
    <w:p>
      <w:pPr>
        <w:spacing w:after="0" w:line="24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and deferred tax liabilities at December 31, 2022 and 2021 are presented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37"/>
        </w:trPr>
        <w:tc>
          <w:tcPr>
            <w:tcW w:w="7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632</w:t>
            </w: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Tax Credit Carryforward</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430</w:t>
            </w: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Research and Development Credit Carryforward</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155</w:t>
            </w: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1,578</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Legal Settlement</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4,050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3,544</w:t>
            </w: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4,415</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2,595</w:t>
            </w: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Research and Development Capitalization</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4,948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Reserve</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881</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792</w:t>
            </w: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Accrued bonus</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776</w:t>
            </w: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Liability</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3,388</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240"/>
              <w:spacing w:after="0"/>
              <w:rPr>
                <w:sz w:val="20"/>
                <w:szCs w:val="20"/>
                <w:color w:val="auto"/>
              </w:rPr>
            </w:pPr>
            <w:r>
              <w:rPr>
                <w:rFonts w:ascii="Arial" w:cs="Arial" w:eastAsia="Arial" w:hAnsi="Arial"/>
                <w:sz w:val="18"/>
                <w:szCs w:val="18"/>
                <w:color w:val="auto"/>
              </w:rPr>
              <w:t>Other accruals</w:t>
            </w: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3,108</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1,510</w:t>
            </w:r>
          </w:p>
        </w:tc>
      </w:tr>
      <w:tr>
        <w:trPr>
          <w:trHeight w:val="237"/>
        </w:trPr>
        <w:tc>
          <w:tcPr>
            <w:tcW w:w="7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Gross deferred tax assets</w:t>
            </w: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25,755</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10,434</w:t>
            </w:r>
          </w:p>
        </w:tc>
      </w:tr>
      <w:tr>
        <w:trPr>
          <w:trHeight w:val="243"/>
        </w:trPr>
        <w:tc>
          <w:tcPr>
            <w:tcW w:w="7600" w:type="dxa"/>
            <w:vAlign w:val="bottom"/>
          </w:tcPr>
          <w:p>
            <w:pPr>
              <w:ind w:left="6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(1,248 )</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(483 )</w:t>
            </w:r>
          </w:p>
        </w:tc>
      </w:tr>
      <w:tr>
        <w:trPr>
          <w:trHeight w:val="236"/>
        </w:trPr>
        <w:tc>
          <w:tcPr>
            <w:tcW w:w="7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24,507</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9,951</w:t>
            </w:r>
          </w:p>
        </w:tc>
      </w:tr>
      <w:tr>
        <w:trPr>
          <w:trHeight w:val="479"/>
        </w:trPr>
        <w:tc>
          <w:tcPr>
            <w:tcW w:w="7600" w:type="dxa"/>
            <w:vAlign w:val="bottom"/>
          </w:tcPr>
          <w:p>
            <w:pPr>
              <w:ind w:left="60"/>
              <w:spacing w:after="0"/>
              <w:rPr>
                <w:sz w:val="20"/>
                <w:szCs w:val="20"/>
                <w:color w:val="auto"/>
              </w:rPr>
            </w:pPr>
            <w:r>
              <w:rPr>
                <w:rFonts w:ascii="Arial" w:cs="Arial" w:eastAsia="Arial" w:hAnsi="Arial"/>
                <w:sz w:val="18"/>
                <w:szCs w:val="18"/>
                <w:color w:val="auto"/>
              </w:rPr>
              <w:t>Deferred tax liabilities</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Accounting method change</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(196 )</w:t>
            </w: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ROU assets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(3,053 )</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(995 )</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(581 )</w:t>
            </w:r>
          </w:p>
        </w:tc>
      </w:tr>
      <w:tr>
        <w:trPr>
          <w:trHeight w:val="224"/>
        </w:trPr>
        <w:tc>
          <w:tcPr>
            <w:tcW w:w="7600" w:type="dxa"/>
            <w:vAlign w:val="bottom"/>
          </w:tcPr>
          <w:p>
            <w:pPr>
              <w:ind w:left="60"/>
              <w:spacing w:after="0"/>
              <w:rPr>
                <w:sz w:val="20"/>
                <w:szCs w:val="20"/>
                <w:color w:val="auto"/>
              </w:rPr>
            </w:pPr>
            <w:r>
              <w:rPr>
                <w:rFonts w:ascii="Arial" w:cs="Arial" w:eastAsia="Arial" w:hAnsi="Arial"/>
                <w:sz w:val="18"/>
                <w:szCs w:val="18"/>
                <w:color w:val="auto"/>
              </w:rPr>
              <w:t>Net deferred tax liabilities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(4,048 )</w:t>
            </w: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(777 )</w:t>
            </w:r>
          </w:p>
        </w:tc>
      </w:tr>
      <w:tr>
        <w:trPr>
          <w:trHeight w:val="256"/>
        </w:trPr>
        <w:tc>
          <w:tcPr>
            <w:tcW w:w="7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76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Net deferred tax assets (liabilities)</w:t>
            </w:r>
          </w:p>
        </w:tc>
        <w:tc>
          <w:tcPr>
            <w:tcW w:w="98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20,459</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-505460</wp:posOffset>
            </wp:positionV>
            <wp:extent cx="205740" cy="3257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5740" cy="3257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2057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2057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7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 assesses the available positive and negative evidence to estimate if sufficient future taxable income will be generated to utilize the existing deferred tax assets. During 2020 the Company released the valuation allowance on its U.S. deferred tax assets. The Company believes its deferred tax assets are more likely than not to be realized except for one entity in China which is expected to incur tax losses due to research and development deductions available.</w:t>
      </w:r>
    </w:p>
    <w:p>
      <w:pPr>
        <w:spacing w:after="0" w:line="79"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As of December 31, 2022, the Company maintained a valuation allowance with respect to one of its foreign subsidiary’s net operating loss that it believes is not more likely than not to be realized. The Company will continue to reassess the valuation allowance annually and if future evidence allows for a partial or full release of the valuation allowance, a tax benefit will be recorded accordingly.</w:t>
      </w:r>
    </w:p>
    <w:p>
      <w:pPr>
        <w:spacing w:after="0" w:line="29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As of December 31, 2022, the Company does not have state net operating loss carryforwards. As of December 31, 2021, the Company had state net operating loss carryforwards of $2.1 million, to reduce future taxable income. The state net operating loss begins to expire in 2036 if not utilized. As of December 31, 2022 and 2021, the Company had state tax credit carryforwards of $1.8 million and $0.8 million, respectively, to offset future tax liability. The credit carryforwards are not subject to expiration. As of December 31, 2022, the Company had foreign tax credit for Cytek (Shanghai) Bio Sciences Co., Ltd of $0.5 million which expires in 2027 if not utilized.</w:t>
      </w:r>
    </w:p>
    <w:p>
      <w:pPr>
        <w:spacing w:after="0" w:line="29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Internal Revenue Code Section 382 places a limitation on the amount of taxable income that can be offset by net operating loss carryforwards and tax credit carryforwards after a greater than 50% change in control in ownership. California has similar rules. The Company had performed a Section 382 analysis and determined that its capitalization have resulted in such a change in prior year and current year. Utilization of the net operating loss carryforwards and tax credit carryforwards had been subject to the annual limitations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ind w:right="180"/>
        <w:spacing w:after="0" w:line="277" w:lineRule="auto"/>
        <w:rPr>
          <w:sz w:val="20"/>
          <w:szCs w:val="20"/>
          <w:color w:val="auto"/>
        </w:rPr>
      </w:pPr>
      <w:r>
        <w:rPr>
          <w:rFonts w:ascii="Arial" w:cs="Arial" w:eastAsia="Arial" w:hAnsi="Arial"/>
          <w:sz w:val="18"/>
          <w:szCs w:val="18"/>
          <w:color w:val="auto"/>
        </w:rPr>
        <w:t>under IRC Section 382 and similar state provisions. The annual limitation may result in the expiration of the state net operating loss carryforwards before utilization.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tabular reconciliation of the total amounts of unrecognized tax benefits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37"/>
        </w:trPr>
        <w:tc>
          <w:tcPr>
            <w:tcW w:w="6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Unrecognized tax benefits as of the beginning of the year</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1,321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w:t>
            </w:r>
          </w:p>
        </w:tc>
      </w:tr>
      <w:tr>
        <w:trPr>
          <w:trHeight w:val="237"/>
        </w:trPr>
        <w:tc>
          <w:tcPr>
            <w:tcW w:w="6360" w:type="dxa"/>
            <w:vAlign w:val="bottom"/>
          </w:tcPr>
          <w:p>
            <w:pPr>
              <w:ind w:left="60"/>
              <w:spacing w:after="0"/>
              <w:rPr>
                <w:sz w:val="20"/>
                <w:szCs w:val="20"/>
                <w:color w:val="auto"/>
              </w:rPr>
            </w:pPr>
            <w:r>
              <w:rPr>
                <w:rFonts w:ascii="Arial" w:cs="Arial" w:eastAsia="Arial" w:hAnsi="Arial"/>
                <w:sz w:val="18"/>
                <w:szCs w:val="18"/>
                <w:color w:val="auto"/>
              </w:rPr>
              <w:t>Increases related to prior year tax provisions</w:t>
            </w:r>
          </w:p>
        </w:tc>
        <w:tc>
          <w:tcPr>
            <w:tcW w:w="8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77</w:t>
            </w:r>
          </w:p>
        </w:tc>
      </w:tr>
      <w:tr>
        <w:trPr>
          <w:trHeight w:val="249"/>
        </w:trPr>
        <w:tc>
          <w:tcPr>
            <w:tcW w:w="63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Increase related to current year tax provisions</w:t>
            </w:r>
          </w:p>
        </w:tc>
        <w:tc>
          <w:tcPr>
            <w:tcW w:w="8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426</w:t>
            </w:r>
          </w:p>
        </w:tc>
      </w:tr>
      <w:tr>
        <w:trPr>
          <w:trHeight w:val="237"/>
        </w:trPr>
        <w:tc>
          <w:tcPr>
            <w:tcW w:w="6360" w:type="dxa"/>
            <w:vAlign w:val="bottom"/>
          </w:tcPr>
          <w:p>
            <w:pPr>
              <w:ind w:left="60"/>
              <w:spacing w:after="0"/>
              <w:rPr>
                <w:sz w:val="20"/>
                <w:szCs w:val="20"/>
                <w:color w:val="auto"/>
              </w:rPr>
            </w:pPr>
            <w:r>
              <w:rPr>
                <w:rFonts w:ascii="Arial" w:cs="Arial" w:eastAsia="Arial" w:hAnsi="Arial"/>
                <w:sz w:val="18"/>
                <w:szCs w:val="18"/>
                <w:color w:val="auto"/>
              </w:rPr>
              <w:t>Unrecognized tax benefits as of the end of the year</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2,235</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1,321</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737</w:t>
            </w:r>
          </w:p>
        </w:tc>
      </w:tr>
      <w:tr>
        <w:trPr>
          <w:trHeight w:val="20"/>
        </w:trPr>
        <w:tc>
          <w:tcPr>
            <w:tcW w:w="6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-187960</wp:posOffset>
            </wp:positionV>
            <wp:extent cx="17145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16256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2560" cy="188595"/>
                    </a:xfrm>
                    <a:prstGeom prst="rect">
                      <a:avLst/>
                    </a:prstGeom>
                    <a:noFill/>
                  </pic:spPr>
                </pic:pic>
              </a:graphicData>
            </a:graphic>
          </wp:anchor>
        </w:drawing>
      </w:r>
    </w:p>
    <w:p>
      <w:pPr>
        <w:spacing w:after="0" w:line="18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Company accounts for uncertain tax positions under ASC 740. As of December 31, 2022, 2021 and 2020, there was approximately $2.2 million, $1.3 million and $0.7 million of unrecognized tax benefits, respectively. Of the unrecognized tax benefits, $2.0 million, $1.1 million and $0.6 million represents the amount that if recognized, would favorably affect the effective income tax rate in 2022, 2021 and 2020, respectively. The Company does not expect a significant change to its unrecognized tax benefits or recorded liabilities over the next twelve months. The unrecognized tax benefits may increase or change during the next year for items that arise in the ordinary course of business.</w:t>
      </w:r>
    </w:p>
    <w:p>
      <w:pPr>
        <w:spacing w:after="0" w:line="28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Company files income tax returns in U.S. federal jurisdiction, various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or foreign income tax purposes.</w:t>
      </w:r>
    </w:p>
    <w:p>
      <w:pPr>
        <w:spacing w:after="0" w:line="29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As of December 31, 2022, the Company’s management is asserting that it is their intent to indefinitely reinvest unremitted foreign earnings for all its foreign entities.</w:t>
      </w:r>
    </w:p>
    <w:p>
      <w:pPr>
        <w:spacing w:after="0" w:line="58"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0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leases office facilities and equipment from unrelated parties under operating lease agreements that have initial terms ranging from one to 7.25 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three years.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lease cost is recognized on a straight-line basis over the lease term. The components of lease expense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Year ended</w:t>
            </w:r>
          </w:p>
        </w:tc>
      </w:tr>
      <w:tr>
        <w:trPr>
          <w:trHeight w:val="185"/>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1"/>
              </w:rPr>
              <w:t>December 31, 2022</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3,539</w:t>
            </w:r>
          </w:p>
        </w:tc>
      </w:tr>
      <w:tr>
        <w:trPr>
          <w:trHeight w:val="237"/>
        </w:trPr>
        <w:tc>
          <w:tcPr>
            <w:tcW w:w="9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48</w:t>
            </w:r>
          </w:p>
        </w:tc>
      </w:tr>
      <w:tr>
        <w:trPr>
          <w:trHeight w:val="276"/>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lease cost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3,587</w:t>
            </w:r>
          </w:p>
        </w:tc>
      </w:tr>
      <w:tr>
        <w:trPr>
          <w:trHeight w:val="311"/>
        </w:trPr>
        <w:tc>
          <w:tcPr>
            <w:tcW w:w="9220" w:type="dxa"/>
            <w:vAlign w:val="bottom"/>
          </w:tcPr>
          <w:p>
            <w:pPr>
              <w:ind w:left="520"/>
              <w:spacing w:after="0"/>
              <w:rPr>
                <w:sz w:val="20"/>
                <w:szCs w:val="20"/>
                <w:color w:val="auto"/>
              </w:rPr>
            </w:pPr>
            <w:r>
              <w:rPr>
                <w:rFonts w:ascii="Arial" w:cs="Arial" w:eastAsia="Arial" w:hAnsi="Arial"/>
                <w:sz w:val="18"/>
                <w:szCs w:val="18"/>
                <w:color w:val="auto"/>
              </w:rPr>
              <w:t>For the year ended December 31, 2022, sublease income was $266,000, recorded as other income.</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922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is as follows (in thousands):</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4"/>
        </w:trPr>
        <w:tc>
          <w:tcPr>
            <w:tcW w:w="9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Year ended</w:t>
            </w:r>
          </w:p>
        </w:tc>
      </w:tr>
      <w:tr>
        <w:trPr>
          <w:trHeight w:val="185"/>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1"/>
              </w:rPr>
              <w:t>December 31, 2022</w:t>
            </w:r>
          </w:p>
        </w:tc>
      </w:tr>
      <w:tr>
        <w:trPr>
          <w:trHeight w:val="23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cash outflows - payments on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8"/>
              <w:spacing w:after="0"/>
              <w:rPr>
                <w:sz w:val="20"/>
                <w:szCs w:val="20"/>
                <w:color w:val="auto"/>
              </w:rPr>
            </w:pPr>
            <w:r>
              <w:rPr>
                <w:rFonts w:ascii="Arial" w:cs="Arial" w:eastAsia="Arial" w:hAnsi="Arial"/>
                <w:sz w:val="18"/>
                <w:szCs w:val="18"/>
                <w:color w:val="auto"/>
              </w:rPr>
              <w:t>2,332</w:t>
            </w:r>
          </w:p>
        </w:tc>
      </w:tr>
      <w:tr>
        <w:trPr>
          <w:trHeight w:val="256"/>
        </w:trPr>
        <w:tc>
          <w:tcPr>
            <w:tcW w:w="9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8"/>
              <w:spacing w:after="0"/>
              <w:rPr>
                <w:sz w:val="20"/>
                <w:szCs w:val="20"/>
                <w:color w:val="auto"/>
              </w:rPr>
            </w:pPr>
            <w:r>
              <w:rPr>
                <w:rFonts w:ascii="Arial" w:cs="Arial" w:eastAsia="Arial" w:hAnsi="Arial"/>
                <w:sz w:val="18"/>
                <w:szCs w:val="18"/>
                <w:color w:val="auto"/>
              </w:rPr>
              <w:t>16,852</w:t>
            </w:r>
          </w:p>
        </w:tc>
      </w:tr>
      <w:tr>
        <w:trPr>
          <w:trHeight w:val="580"/>
        </w:trPr>
        <w:tc>
          <w:tcPr>
            <w:tcW w:w="9220" w:type="dxa"/>
            <w:vAlign w:val="bottom"/>
          </w:tcPr>
          <w:p>
            <w:pPr>
              <w:ind w:left="548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1"/>
        </w:trPr>
        <w:tc>
          <w:tcPr>
            <w:tcW w:w="9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ind w:left="52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13,883</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Included in other current liabilities:</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9"/>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2,931</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12,312</w:t>
            </w:r>
          </w:p>
        </w:tc>
      </w:tr>
      <w:tr>
        <w:trPr>
          <w:trHeight w:val="277"/>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15,243</w:t>
            </w:r>
          </w:p>
        </w:tc>
      </w:tr>
      <w:tr>
        <w:trPr>
          <w:trHeight w:val="203"/>
        </w:trPr>
        <w:tc>
          <w:tcPr>
            <w:tcW w:w="9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rPr>
              <w:t>5.47</w:t>
            </w:r>
          </w:p>
        </w:tc>
      </w:tr>
      <w:tr>
        <w:trPr>
          <w:trHeight w:val="473"/>
        </w:trPr>
        <w:tc>
          <w:tcPr>
            <w:tcW w:w="92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24"/>
                <w:szCs w:val="24"/>
                <w:color w:val="auto"/>
              </w:rPr>
            </w:pPr>
          </w:p>
        </w:tc>
        <w:tc>
          <w:tcPr>
            <w:tcW w:w="1780" w:type="dxa"/>
            <w:vAlign w:val="bottom"/>
          </w:tcPr>
          <w:p>
            <w:pPr>
              <w:jc w:val="right"/>
              <w:ind w:right="733"/>
              <w:spacing w:after="0"/>
              <w:rPr>
                <w:sz w:val="20"/>
                <w:szCs w:val="20"/>
                <w:color w:val="auto"/>
              </w:rPr>
            </w:pPr>
            <w:r>
              <w:rPr>
                <w:rFonts w:ascii="Arial" w:cs="Arial" w:eastAsia="Arial" w:hAnsi="Arial"/>
                <w:sz w:val="18"/>
                <w:szCs w:val="18"/>
                <w:color w:val="auto"/>
              </w:rPr>
              <w:t>2.6%</w:t>
            </w:r>
          </w:p>
        </w:tc>
      </w:tr>
    </w:tbl>
    <w:p>
      <w:pPr>
        <w:spacing w:after="0" w:line="10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Future undiscounted cash flows for each of the next five years and thereafter and reconciliation to the lease liabilities recognized on the balance sheet as of December 31, 2022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3,278</w:t>
            </w: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3,106</w:t>
            </w: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2,683</w:t>
            </w: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7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2,578</w:t>
            </w: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2,315</w:t>
            </w: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2,395</w:t>
            </w: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16,355</w:t>
            </w:r>
          </w:p>
        </w:tc>
      </w:tr>
      <w:tr>
        <w:trPr>
          <w:trHeight w:val="224"/>
        </w:trPr>
        <w:tc>
          <w:tcPr>
            <w:tcW w:w="92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(1,112 )</w:t>
            </w: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present value of lease liabilities</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15,243</w:t>
            </w:r>
          </w:p>
        </w:tc>
      </w:tr>
    </w:tbl>
    <w:p>
      <w:pPr>
        <w:spacing w:after="0" w:line="94"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As of December 31, 2021, a summary of the Company's future minimum lease payments, as determined under Topic 840, for all non-cancelable operating leases, excluding minimum sublease rentals of $0.6 million due in the future under a non-cancelable sublease, was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Operating leases</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2,251</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0"/>
                <w:szCs w:val="20"/>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2,803</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2,417</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20"/>
                <w:szCs w:val="20"/>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2,215</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2,220</w:t>
            </w:r>
          </w:p>
        </w:tc>
      </w:tr>
      <w:tr>
        <w:trPr>
          <w:trHeight w:val="243"/>
        </w:trPr>
        <w:tc>
          <w:tcPr>
            <w:tcW w:w="922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4,571</w:t>
            </w:r>
          </w:p>
        </w:tc>
      </w:tr>
      <w:tr>
        <w:trPr>
          <w:trHeight w:val="27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16,477</w:t>
            </w:r>
          </w:p>
        </w:tc>
      </w:tr>
    </w:tbl>
    <w:p>
      <w:pPr>
        <w:spacing w:after="0" w:line="306"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ind w:firstLine="509"/>
        <w:spacing w:after="0" w:line="277"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58"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Cytek Japan</w:t>
      </w:r>
    </w:p>
    <w:p>
      <w:pPr>
        <w:spacing w:after="0" w:line="20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year ended December 31, 2022.</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unaudited interim consolidated financial statements as of March 31, 2021. The net income attributable to noncontrolling interest was $92,000 for the year ended December 31, 2022 and net loss of $26,000 for the year ended December 31, 2021.</w:t>
      </w:r>
    </w:p>
    <w:p>
      <w:pPr>
        <w:spacing w:after="0" w:line="288"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shows the activity in the product warranty accrual included in accrued expenses on the consolidated balance sheets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the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969</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Accrual for current year warranties</w:t>
            </w:r>
          </w:p>
        </w:tc>
        <w:tc>
          <w:tcPr>
            <w:tcW w:w="24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2,841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3,304</w:t>
            </w: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Warranty cost incurred</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(2,513 )</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2,126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1,760</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-187960</wp:posOffset>
            </wp:positionV>
            <wp:extent cx="11112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394"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attributable to common stockholders per share</w:t>
      </w:r>
    </w:p>
    <w:p>
      <w:pPr>
        <w:spacing w:after="0" w:line="20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attributable to common stockholders per share for the year ended December 31, 2022, 2021, and 2020 (in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Numerator</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2,484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3,027</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19,411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net loss (income) allocated to noncontrolling interests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(3,001 )</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(16,195 )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w w:val="93"/>
              </w:rPr>
              <w:t>Net income attributable to common stockholders, basic and diluted</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2,576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5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0"/>
              </w:rPr>
              <w:t>Weighted-average common shares outstanding, attributable to common</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stockholders, basic</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9"/>
              </w:rPr>
              <w:t>134,510,831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76,741,858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29,126,792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Effect of employee stock plans</w:t>
            </w:r>
          </w:p>
        </w:tc>
        <w:tc>
          <w:tcPr>
            <w:tcW w:w="1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4,051,280</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4,800,871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3,473,055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0"/>
              </w:rPr>
              <w:t>Weighted-average common shares outstanding, attributable to common</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w w:val="99"/>
              </w:rPr>
              <w:t>138,562,111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81,542,729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32,599,847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stockholders, diluted</w:t>
            </w:r>
          </w:p>
        </w:tc>
        <w:tc>
          <w:tcPr>
            <w:tcW w:w="1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per share, basic</w:t>
            </w: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attributable to common stockholders per share, diluted</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vMerge w:val="restart"/>
          </w:tcPr>
          <w:p>
            <w:pPr>
              <w:jc w:val="right"/>
              <w:ind w:right="630"/>
              <w:spacing w:after="0"/>
              <w:rPr>
                <w:sz w:val="20"/>
                <w:szCs w:val="20"/>
                <w:color w:val="auto"/>
              </w:rPr>
            </w:pPr>
            <w:r>
              <w:rPr>
                <w:rFonts w:ascii="Arial" w:cs="Arial" w:eastAsia="Arial" w:hAnsi="Arial"/>
                <w:sz w:val="18"/>
                <w:szCs w:val="18"/>
                <w:color w:val="auto"/>
                <w:w w:val="99"/>
              </w:rPr>
              <w:t>102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-2279650</wp:posOffset>
            </wp:positionV>
            <wp:extent cx="939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-2279650</wp:posOffset>
            </wp:positionV>
            <wp:extent cx="14605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-1045210</wp:posOffset>
            </wp:positionV>
            <wp:extent cx="9398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-1045210</wp:posOffset>
            </wp:positionV>
            <wp:extent cx="146050"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ind w:left="560" w:hanging="552"/>
        <w:spacing w:after="0"/>
        <w:tabs>
          <w:tab w:leader="none" w:pos="5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areas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year ended December 31, 2022, 2021, and 2020 was as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37"/>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94,592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72,724</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55,477</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43,958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36,967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25,912</w:t>
            </w: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APAC</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22,523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16,078</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10,740</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710</w:t>
            </w:r>
          </w:p>
        </w:tc>
      </w:tr>
      <w:tr>
        <w:trPr>
          <w:trHeight w:val="28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164,036</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127,950</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93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939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93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 America.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2022 and 2021, the Company had no major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2022 and December 31, 2021, the Company’s long-lived assets by geographic area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r>
      <w:tr>
        <w:trPr>
          <w:trHeight w:val="237"/>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6,426</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3,801</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APAC</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7,256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2,050</w:t>
            </w: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13,682</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As of December 31, 2022 and December 31, 2021, substantially all of the Company’s long-lived assets were located in the United States and in Wuxi, China.</w:t>
      </w:r>
    </w:p>
    <w:p>
      <w:pPr>
        <w:spacing w:after="0" w:line="58"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The founding managing partner of NLVC served as a member of the Company’s board of directors until June 1, 2022.</w:t>
      </w:r>
    </w:p>
    <w:p>
      <w:pPr>
        <w:spacing w:after="0" w:line="6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In January 2023, the Company purchased all shares of Cytek Japan held by TOMY. As a result of the purchase, Cytek Japan became a wholly-owned subsidiary of the Company.</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February 13, 2023, the Company entered into an Asset Purchase Agreement with Luminex Corporation (“Luminex”), pursuant to which the Company agreed to acquire certain assets relating to the business of manufacturing, marketing, selling, servicing and maintaining Amnis-, CellStream-, Guava- and Muse-branded instruments, and flow cytometry reagent products and services of Luminex for a purchase price of approximately $46.5 million in cash (the “Acquisition”). The Acquisition closed on February 28, 2023.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on Form 10-K.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Management, including our Chief Executive Officer and Chief Financial Officer, is responsible for establishing and maintaining adequate internal control over financial reporting as defined in Rules 13a- 15(f) and 15d-15(f) under the Exchange Act and based upon the criteria established in Internal Control-Integrated Framework (2013) issued by the Committee of Sponsoring Organizations of the Treadway Commission (“the COSO framework”). Our internal control over financial reporting is a process designed to provide reasonable assurance regarding the reliability of our financial reporting and the preparation of our financial statements for external purposes in accordance with U.S. GAAP.</w:t>
      </w:r>
    </w:p>
    <w:p>
      <w:pPr>
        <w:spacing w:after="0" w:line="2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conducted an evaluation of the effectiveness of our internal control over financial reporting based on the COSO framework. Based on evaluation under these criteria, management determined, based upon the existence of the material weaknesses described below, that we did not maintain effective internal control over financial reporting as of December 31, 2022.</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3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identified deficiencies in the control environment and control activities components of the COSO Framework that constitute material weaknesses, either individually or in the aggregate.</w:t>
      </w:r>
    </w:p>
    <w:p>
      <w:pPr>
        <w:spacing w:after="0" w:line="62" w:lineRule="exact"/>
        <w:rPr>
          <w:sz w:val="20"/>
          <w:szCs w:val="20"/>
          <w:color w:val="auto"/>
        </w:rPr>
      </w:pPr>
    </w:p>
    <w:p>
      <w:pPr>
        <w:jc w:val="both"/>
        <w:ind w:left="1020" w:hanging="503"/>
        <w:spacing w:after="0" w:line="296"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53" w:lineRule="exact"/>
        <w:rPr>
          <w:rFonts w:ascii="Arial" w:cs="Arial" w:eastAsia="Arial" w:hAnsi="Arial"/>
          <w:sz w:val="16"/>
          <w:szCs w:val="16"/>
          <w:color w:val="auto"/>
        </w:rPr>
      </w:pPr>
    </w:p>
    <w:p>
      <w:pPr>
        <w:jc w:val="both"/>
        <w:ind w:left="1020" w:hanging="503"/>
        <w:spacing w:after="0" w:line="255"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84" w:lineRule="exact"/>
        <w:rPr>
          <w:rFonts w:ascii="Arial" w:cs="Arial" w:eastAsia="Arial" w:hAnsi="Arial"/>
          <w:sz w:val="18"/>
          <w:szCs w:val="18"/>
          <w:color w:val="auto"/>
        </w:rPr>
      </w:pPr>
    </w:p>
    <w:p>
      <w:pPr>
        <w:jc w:val="both"/>
        <w:ind w:left="1020"/>
        <w:spacing w:after="0" w:line="257" w:lineRule="auto"/>
        <w:rPr>
          <w:rFonts w:ascii="Arial" w:cs="Arial" w:eastAsia="Arial" w:hAnsi="Arial"/>
          <w:sz w:val="18"/>
          <w:szCs w:val="18"/>
          <w:color w:val="auto"/>
        </w:rPr>
      </w:pPr>
      <w:r>
        <w:rPr>
          <w:rFonts w:ascii="Arial" w:cs="Arial" w:eastAsia="Arial" w:hAnsi="Arial"/>
          <w:sz w:val="18"/>
          <w:szCs w:val="18"/>
          <w:color w:val="auto"/>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5" w:name="page106"/>
    <w:bookmarkEnd w:id="105"/>
    <w:p>
      <w:pPr>
        <w:jc w:val="both"/>
        <w:spacing w:after="0" w:line="308" w:lineRule="auto"/>
        <w:rPr>
          <w:sz w:val="20"/>
          <w:szCs w:val="20"/>
          <w:color w:val="auto"/>
        </w:rPr>
      </w:pPr>
      <w:r>
        <w:rPr>
          <w:rFonts w:ascii="Arial" w:cs="Arial" w:eastAsia="Arial" w:hAnsi="Arial"/>
          <w:sz w:val="17"/>
          <w:szCs w:val="17"/>
          <w:color w:val="auto"/>
        </w:rPr>
        <w:t>Deloitte &amp; Touche LLP, our independent registered public accounting firm, has audited the effectiveness of our internal control over financial reporting as of December 31, 2022 and has issued an attestation report on our internal controls over financial reporting, which is included herein</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and Status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are committed to remediating the control deficiencies that constituted the above material weaknesses by implementing changes to our internal control over financial reporting. Management has implemented, and continues to implement, measures designed to ensure that control deficiencies contributing to the material weaknesses are remediated, such that these controls are designed, implemented and operating effectively. During 2022, we executed and we continue to execute the following steps intended to remediate the material weaknesses described above and strengthen our internal control over financial reporting:</w:t>
      </w:r>
    </w:p>
    <w:p>
      <w:pPr>
        <w:spacing w:after="0" w:line="296" w:lineRule="exact"/>
        <w:rPr>
          <w:sz w:val="20"/>
          <w:szCs w:val="20"/>
          <w:color w:val="auto"/>
        </w:rPr>
      </w:pPr>
    </w:p>
    <w:p>
      <w:pPr>
        <w:ind w:left="1020" w:right="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support from external consultants, we will revise and improve the design of our controls, implement reviews and monitor the effectiveness of our system of internal controls, including GITCs.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identify and assign qualified personnel to implement appropriate accountability for the design and operation of internal control over financial reporting and monitor the progress of remediation.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committed to adding qualified personnel within our accounting and information technology functions.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continue to revise and enhance the design of existing controls and implement new controls, update documentation, expand education and training, and strengthen supervisory reviews by our management.</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strengthened, and will continue to strengthen, GITCs related to financial accounting and reporting systems including implementing monitoring controls as appropriate.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continue to automate workflows and enhance oversight over the execution and review of manual journal entry controls and account reconciliations, and will continue to provide training for such enhanced oversight and review.</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December 31, 2022 that materially affected, or were reasonably likely to materially affect, our internal control over financial reporting.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Cytek Biosciences,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Cytek Biosciences, Inc. and subsidiaries (the “Company”)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2022, based on criteria established in Internal Control — Integrated Framework (2013) issued by COSO.</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 and included an explanatory paragraph regarding the Company’s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detected on a timely basis. The following material weaknesses have been identified and included in management’s assessment:</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Control environment </w:t>
      </w:r>
      <w:r>
        <w:rPr>
          <w:rFonts w:ascii="Arial" w:cs="Arial" w:eastAsia="Arial" w:hAnsi="Arial"/>
          <w:sz w:val="18"/>
          <w:szCs w:val="18"/>
          <w:color w:val="auto"/>
        </w:rPr>
        <w:t>– Management did not maintain an effective control environment based on the criteria established in COSO and identified deficiencies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principles associated with the control environment of COSO. Specifically, the Company does not have a sufficient number of qualified resources within its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Control activities </w:t>
      </w:r>
      <w:r>
        <w:rPr>
          <w:rFonts w:ascii="Arial" w:cs="Arial" w:eastAsia="Arial" w:hAnsi="Arial"/>
          <w:sz w:val="17"/>
          <w:szCs w:val="17"/>
          <w:color w:val="auto"/>
        </w:rPr>
        <w:t>– Management did not design and implement effective control activities based on the criteria established in the COSO framework and</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deficiencies in the principles associated with the control activities component of COSO.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material weaknesses were contributing factors: (i) inadequate general information technology controls in the areas of access security and program change-management over certain information technology systems that support the Company’s financial reporting processes. Some of the Company’s business process controls (automated and manual) are dependent on the affected general information technology controls; they too were deemed ineffective because they could have been adversely impacted; and (ii) ineffective design and/or review procedures for journal entries and balance sheet account reconciliations.</w:t>
      </w:r>
    </w:p>
    <w:p>
      <w:pPr>
        <w:spacing w:after="0" w:line="29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material weaknesses were considered in determining the nature, timing, and extent of audit tests applied in our audit of the consolidated financial statements as of and for the year ended December 31, 2022, of the Company, and this report does not affect our report on such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09" w:name="page110"/>
    <w:bookmarkEnd w:id="109"/>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 no later than 120 days after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 no later than 120 days after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 no later than 120 days after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 no later than 120 days after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2023 Annual Meeting of Stockholders, which will be filed with the SEC no later than 120 days after December 31, 2022.</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10" w:name="page111"/>
    <w:bookmarkEnd w:id="110"/>
    <w:p>
      <w:pPr>
        <w:ind w:left="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filed as part of this Annual Report on Form 10-K are included in Part II, Item 8 of this Annual Report on Form 10-K.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(PCAOB ID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777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12820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3096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Redeemable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47542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542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18218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2181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19291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Financial statement schedules have been omitted in this Annual Report on Form 10-K because they are not applicable, not required under the instructions or the information requested is set forth in the financial statements or related notes thereto in Part II, Item 8 of this Annual Report on Form 10-K.</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List of Exhibits required by Item 601 of Regulation S-K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gridSpan w:val="22"/>
          </w:tcPr>
          <w:p>
            <w:pPr>
              <w:ind w:left="80"/>
              <w:spacing w:after="0" w:line="205" w:lineRule="exact"/>
              <w:rPr>
                <w:sz w:val="20"/>
                <w:szCs w:val="20"/>
                <w:color w:val="auto"/>
              </w:rPr>
            </w:pPr>
            <w:r>
              <w:rPr>
                <w:rFonts w:ascii="Arial" w:cs="Arial" w:eastAsia="Arial" w:hAnsi="Arial"/>
                <w:sz w:val="18"/>
                <w:szCs w:val="18"/>
                <w:b w:val="1"/>
                <w:bCs w:val="1"/>
                <w:color w:val="auto"/>
              </w:rPr>
              <w:t>Exhibit Title</w:t>
            </w:r>
          </w:p>
        </w:tc>
        <w:tc>
          <w:tcPr>
            <w:tcW w:w="1160" w:type="dxa"/>
            <w:vAlign w:val="bottom"/>
          </w:tcPr>
          <w:p>
            <w:pPr>
              <w:jc w:val="center"/>
              <w:ind w:right="370"/>
              <w:spacing w:after="0" w:line="205" w:lineRule="exact"/>
              <w:rPr>
                <w:sz w:val="20"/>
                <w:szCs w:val="20"/>
                <w:color w:val="auto"/>
              </w:rPr>
            </w:pPr>
            <w:r>
              <w:rPr>
                <w:rFonts w:ascii="Arial" w:cs="Arial" w:eastAsia="Arial" w:hAnsi="Arial"/>
                <w:sz w:val="18"/>
                <w:szCs w:val="18"/>
                <w:b w:val="1"/>
                <w:bCs w:val="1"/>
                <w:color w:val="auto"/>
                <w:w w:val="93"/>
              </w:rPr>
              <w:t>Form</w:t>
            </w:r>
          </w:p>
        </w:tc>
        <w:tc>
          <w:tcPr>
            <w:tcW w:w="40" w:type="dxa"/>
            <w:vAlign w:val="bottom"/>
          </w:tcPr>
          <w:p>
            <w:pPr>
              <w:spacing w:after="0"/>
              <w:rPr>
                <w:sz w:val="17"/>
                <w:szCs w:val="17"/>
                <w:color w:val="auto"/>
              </w:rPr>
            </w:pPr>
          </w:p>
        </w:tc>
        <w:tc>
          <w:tcPr>
            <w:tcW w:w="1160" w:type="dxa"/>
            <w:vAlign w:val="bottom"/>
            <w:gridSpan w:val="3"/>
          </w:tcPr>
          <w:p>
            <w:pPr>
              <w:jc w:val="center"/>
              <w:ind w:right="400"/>
              <w:spacing w:after="0" w:line="205" w:lineRule="exact"/>
              <w:rPr>
                <w:sz w:val="20"/>
                <w:szCs w:val="20"/>
                <w:color w:val="auto"/>
              </w:rPr>
            </w:pPr>
            <w:r>
              <w:rPr>
                <w:rFonts w:ascii="Arial" w:cs="Arial" w:eastAsia="Arial" w:hAnsi="Arial"/>
                <w:sz w:val="18"/>
                <w:szCs w:val="18"/>
                <w:b w:val="1"/>
                <w:bCs w:val="1"/>
                <w:color w:val="auto"/>
                <w:w w:val="92"/>
              </w:rPr>
              <w:t>File No.</w:t>
            </w:r>
          </w:p>
        </w:tc>
        <w:tc>
          <w:tcPr>
            <w:tcW w:w="1220" w:type="dxa"/>
            <w:vAlign w:val="bottom"/>
            <w:gridSpan w:val="6"/>
          </w:tcPr>
          <w:p>
            <w:pPr>
              <w:jc w:val="center"/>
              <w:spacing w:after="0" w:line="205" w:lineRule="exact"/>
              <w:rPr>
                <w:sz w:val="20"/>
                <w:szCs w:val="20"/>
                <w:color w:val="auto"/>
              </w:rPr>
            </w:pPr>
            <w:r>
              <w:rPr>
                <w:rFonts w:ascii="Arial" w:cs="Arial" w:eastAsia="Arial" w:hAnsi="Arial"/>
                <w:sz w:val="18"/>
                <w:szCs w:val="18"/>
                <w:b w:val="1"/>
                <w:bCs w:val="1"/>
                <w:color w:val="auto"/>
                <w:w w:val="93"/>
              </w:rPr>
              <w:t>Exhibit</w:t>
            </w:r>
          </w:p>
        </w:tc>
        <w:tc>
          <w:tcPr>
            <w:tcW w:w="1160" w:type="dxa"/>
            <w:vAlign w:val="bottom"/>
          </w:tcPr>
          <w:p>
            <w:pPr>
              <w:ind w:left="320"/>
              <w:spacing w:after="0" w:line="205" w:lineRule="exact"/>
              <w:rPr>
                <w:sz w:val="20"/>
                <w:szCs w:val="20"/>
                <w:color w:val="auto"/>
              </w:rPr>
            </w:pPr>
            <w:r>
              <w:rPr>
                <w:rFonts w:ascii="Arial" w:cs="Arial" w:eastAsia="Arial" w:hAnsi="Arial"/>
                <w:sz w:val="18"/>
                <w:szCs w:val="18"/>
                <w:b w:val="1"/>
                <w:bCs w:val="1"/>
                <w:color w:val="auto"/>
              </w:rPr>
              <w:t>Filing</w:t>
            </w:r>
          </w:p>
        </w:tc>
        <w:tc>
          <w:tcPr>
            <w:tcW w:w="10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Filed</w:t>
            </w:r>
          </w:p>
        </w:tc>
      </w:tr>
      <w:tr>
        <w:trPr>
          <w:trHeight w:val="241"/>
        </w:trPr>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7"/>
          </w:tcPr>
          <w:p>
            <w:pPr>
              <w:spacing w:after="0" w:line="189" w:lineRule="exact"/>
              <w:rPr>
                <w:rFonts w:ascii="Arial" w:cs="Arial" w:eastAsia="Arial" w:hAnsi="Arial"/>
                <w:sz w:val="18"/>
                <w:szCs w:val="18"/>
                <w:color w:val="0000FF"/>
              </w:rPr>
            </w:pPr>
            <w:hyperlink r:id="rId293">
              <w:r>
                <w:rPr>
                  <w:rFonts w:ascii="Arial" w:cs="Arial" w:eastAsia="Arial" w:hAnsi="Arial"/>
                  <w:sz w:val="18"/>
                  <w:szCs w:val="18"/>
                  <w:color w:val="0000FF"/>
                </w:rPr>
                <w:t>Amended and Restated Certificate of Incorporation</w:t>
              </w:r>
            </w:hyperlink>
          </w:p>
        </w:tc>
        <w:tc>
          <w:tcPr>
            <w:tcW w:w="100" w:type="dxa"/>
            <w:vAlign w:val="bottom"/>
          </w:tcPr>
          <w:p>
            <w:pPr>
              <w:spacing w:after="0"/>
              <w:rPr>
                <w:sz w:val="16"/>
                <w:szCs w:val="16"/>
                <w:color w:val="auto"/>
              </w:rPr>
            </w:pPr>
          </w:p>
        </w:tc>
        <w:tc>
          <w:tcPr>
            <w:tcW w:w="1160" w:type="dxa"/>
            <w:vAlign w:val="bottom"/>
          </w:tcPr>
          <w:p>
            <w:pPr>
              <w:jc w:val="center"/>
              <w:ind w:right="390"/>
              <w:spacing w:after="0" w:line="189" w:lineRule="exact"/>
              <w:rPr>
                <w:sz w:val="20"/>
                <w:szCs w:val="20"/>
                <w:color w:val="auto"/>
              </w:rPr>
            </w:pPr>
            <w:r>
              <w:rPr>
                <w:rFonts w:ascii="Arial" w:cs="Arial" w:eastAsia="Arial" w:hAnsi="Arial"/>
                <w:sz w:val="18"/>
                <w:szCs w:val="18"/>
                <w:color w:val="auto"/>
                <w:w w:val="99"/>
              </w:rPr>
              <w:t>8-K</w:t>
            </w:r>
          </w:p>
        </w:tc>
        <w:tc>
          <w:tcPr>
            <w:tcW w:w="860" w:type="dxa"/>
            <w:vAlign w:val="bottom"/>
            <w:gridSpan w:val="3"/>
          </w:tcPr>
          <w:p>
            <w:pPr>
              <w:jc w:val="center"/>
              <w:spacing w:after="0" w:line="189" w:lineRule="exact"/>
              <w:rPr>
                <w:rFonts w:ascii="Arial" w:cs="Arial" w:eastAsia="Arial" w:hAnsi="Arial"/>
                <w:sz w:val="18"/>
                <w:szCs w:val="18"/>
                <w:color w:val="0000FF"/>
                <w:w w:val="90"/>
              </w:rPr>
            </w:pPr>
            <w:hyperlink r:id="rId293">
              <w:r>
                <w:rPr>
                  <w:rFonts w:ascii="Arial" w:cs="Arial" w:eastAsia="Arial" w:hAnsi="Arial"/>
                  <w:sz w:val="18"/>
                  <w:szCs w:val="18"/>
                  <w:color w:val="0000FF"/>
                  <w:w w:val="90"/>
                </w:rPr>
                <w:t>001-40632</w:t>
              </w:r>
            </w:hyperlink>
          </w:p>
        </w:tc>
        <w:tc>
          <w:tcPr>
            <w:tcW w:w="340" w:type="dxa"/>
            <w:vAlign w:val="bottom"/>
          </w:tcPr>
          <w:p>
            <w:pPr>
              <w:spacing w:after="0"/>
              <w:rPr>
                <w:sz w:val="16"/>
                <w:szCs w:val="16"/>
                <w:color w:val="auto"/>
              </w:rPr>
            </w:pPr>
          </w:p>
        </w:tc>
        <w:tc>
          <w:tcPr>
            <w:tcW w:w="800" w:type="dxa"/>
            <w:vAlign w:val="bottom"/>
            <w:gridSpan w:val="5"/>
          </w:tcPr>
          <w:p>
            <w:pPr>
              <w:jc w:val="center"/>
              <w:ind w:left="390"/>
              <w:spacing w:after="0" w:line="189" w:lineRule="exact"/>
              <w:rPr>
                <w:rFonts w:ascii="Arial" w:cs="Arial" w:eastAsia="Arial" w:hAnsi="Arial"/>
                <w:sz w:val="18"/>
                <w:szCs w:val="18"/>
                <w:color w:val="0000FF"/>
                <w:w w:val="95"/>
              </w:rPr>
            </w:pPr>
            <w:hyperlink r:id="rId29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420" w:type="dxa"/>
            <w:vAlign w:val="bottom"/>
          </w:tcPr>
          <w:p>
            <w:pPr>
              <w:spacing w:after="0"/>
              <w:rPr>
                <w:sz w:val="16"/>
                <w:szCs w:val="16"/>
                <w:color w:val="auto"/>
              </w:rPr>
            </w:pPr>
          </w:p>
        </w:tc>
        <w:tc>
          <w:tcPr>
            <w:tcW w:w="1160" w:type="dxa"/>
            <w:vAlign w:val="bottom"/>
          </w:tcPr>
          <w:p>
            <w:pPr>
              <w:ind w:left="340"/>
              <w:spacing w:after="0" w:line="189"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13"/>
          </w:tcPr>
          <w:p>
            <w:pPr>
              <w:spacing w:after="0"/>
              <w:rPr>
                <w:rFonts w:ascii="Arial" w:cs="Arial" w:eastAsia="Arial" w:hAnsi="Arial"/>
                <w:sz w:val="18"/>
                <w:szCs w:val="18"/>
                <w:color w:val="0000FF"/>
              </w:rPr>
            </w:pPr>
            <w:hyperlink r:id="rId294">
              <w:r>
                <w:rPr>
                  <w:rFonts w:ascii="Arial" w:cs="Arial" w:eastAsia="Arial" w:hAnsi="Arial"/>
                  <w:sz w:val="18"/>
                  <w:szCs w:val="18"/>
                  <w:color w:val="0000FF"/>
                </w:rPr>
                <w:t>Amended and Restated Bylaws</w:t>
              </w:r>
            </w:hyperlink>
          </w:p>
        </w:tc>
        <w:tc>
          <w:tcPr>
            <w:tcW w:w="840" w:type="dxa"/>
            <w:vAlign w:val="bottom"/>
            <w:gridSpan w:val="15"/>
          </w:tcPr>
          <w:p>
            <w:pPr>
              <w:spacing w:after="0"/>
              <w:rPr>
                <w:sz w:val="19"/>
                <w:szCs w:val="19"/>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color w:val="auto"/>
                <w:w w:val="99"/>
              </w:rPr>
              <w:t>8-K</w:t>
            </w:r>
          </w:p>
        </w:tc>
        <w:tc>
          <w:tcPr>
            <w:tcW w:w="40" w:type="dxa"/>
            <w:vAlign w:val="bottom"/>
          </w:tcPr>
          <w:p>
            <w:pPr>
              <w:spacing w:after="0"/>
              <w:rPr>
                <w:sz w:val="19"/>
                <w:szCs w:val="19"/>
                <w:color w:val="auto"/>
              </w:rPr>
            </w:pPr>
          </w:p>
        </w:tc>
        <w:tc>
          <w:tcPr>
            <w:tcW w:w="820" w:type="dxa"/>
            <w:vAlign w:val="bottom"/>
            <w:gridSpan w:val="2"/>
          </w:tcPr>
          <w:p>
            <w:pPr>
              <w:jc w:val="center"/>
              <w:spacing w:after="0"/>
              <w:rPr>
                <w:rFonts w:ascii="Arial" w:cs="Arial" w:eastAsia="Arial" w:hAnsi="Arial"/>
                <w:sz w:val="18"/>
                <w:szCs w:val="18"/>
                <w:color w:val="0000FF"/>
                <w:w w:val="90"/>
              </w:rPr>
            </w:pPr>
            <w:hyperlink r:id="rId294">
              <w:r>
                <w:rPr>
                  <w:rFonts w:ascii="Arial" w:cs="Arial" w:eastAsia="Arial" w:hAnsi="Arial"/>
                  <w:sz w:val="18"/>
                  <w:szCs w:val="18"/>
                  <w:color w:val="0000FF"/>
                  <w:w w:val="90"/>
                </w:rPr>
                <w:t>001-40632</w:t>
              </w:r>
            </w:hyperlink>
          </w:p>
        </w:tc>
        <w:tc>
          <w:tcPr>
            <w:tcW w:w="340" w:type="dxa"/>
            <w:vAlign w:val="bottom"/>
          </w:tcPr>
          <w:p>
            <w:pPr>
              <w:spacing w:after="0"/>
              <w:rPr>
                <w:sz w:val="19"/>
                <w:szCs w:val="19"/>
                <w:color w:val="auto"/>
              </w:rPr>
            </w:pPr>
          </w:p>
        </w:tc>
        <w:tc>
          <w:tcPr>
            <w:tcW w:w="800" w:type="dxa"/>
            <w:vAlign w:val="bottom"/>
            <w:gridSpan w:val="5"/>
          </w:tcPr>
          <w:p>
            <w:pPr>
              <w:jc w:val="center"/>
              <w:ind w:left="390"/>
              <w:spacing w:after="0"/>
              <w:rPr>
                <w:rFonts w:ascii="Arial" w:cs="Arial" w:eastAsia="Arial" w:hAnsi="Arial"/>
                <w:sz w:val="18"/>
                <w:szCs w:val="18"/>
                <w:color w:val="0000FF"/>
                <w:w w:val="95"/>
              </w:rPr>
            </w:pPr>
            <w:hyperlink r:id="rId29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42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3"/>
        </w:trPr>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gridSpan w:val="28"/>
          </w:tcPr>
          <w:p>
            <w:pPr>
              <w:spacing w:after="0"/>
              <w:rPr>
                <w:sz w:val="20"/>
                <w:szCs w:val="20"/>
                <w:color w:val="auto"/>
              </w:rPr>
            </w:pPr>
            <w:r>
              <w:rPr>
                <w:rFonts w:ascii="Arial" w:cs="Arial" w:eastAsia="Arial" w:hAnsi="Arial"/>
                <w:sz w:val="18"/>
                <w:szCs w:val="18"/>
                <w:color w:val="auto"/>
              </w:rPr>
              <w:t>Reference is made to Exhibits 3.1 and 3.2.</w:t>
            </w: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3"/>
        </w:trPr>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25"/>
          </w:tcPr>
          <w:p>
            <w:pPr>
              <w:spacing w:after="0" w:line="202" w:lineRule="exact"/>
              <w:rPr>
                <w:rFonts w:ascii="Arial" w:cs="Arial" w:eastAsia="Arial" w:hAnsi="Arial"/>
                <w:sz w:val="18"/>
                <w:szCs w:val="18"/>
                <w:color w:val="0000FF"/>
                <w:w w:val="91"/>
              </w:rPr>
            </w:pPr>
            <w:hyperlink r:id="rId295">
              <w:r>
                <w:rPr>
                  <w:rFonts w:ascii="Arial" w:cs="Arial" w:eastAsia="Arial" w:hAnsi="Arial"/>
                  <w:sz w:val="18"/>
                  <w:szCs w:val="18"/>
                  <w:color w:val="0000FF"/>
                  <w:w w:val="91"/>
                </w:rPr>
                <w:t>Form of common stock certificate of Cytek Biosciences, Inc.</w:t>
              </w:r>
            </w:hyperlink>
          </w:p>
        </w:tc>
        <w:tc>
          <w:tcPr>
            <w:tcW w:w="140" w:type="dxa"/>
            <w:vAlign w:val="bottom"/>
            <w:gridSpan w:val="3"/>
          </w:tcPr>
          <w:p>
            <w:pPr>
              <w:spacing w:after="0"/>
              <w:rPr>
                <w:sz w:val="17"/>
                <w:szCs w:val="17"/>
                <w:color w:val="auto"/>
              </w:rPr>
            </w:pPr>
          </w:p>
        </w:tc>
        <w:tc>
          <w:tcPr>
            <w:tcW w:w="116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3"/>
              </w:rPr>
              <w:t>S-1/A</w:t>
            </w:r>
          </w:p>
        </w:tc>
        <w:tc>
          <w:tcPr>
            <w:tcW w:w="1200" w:type="dxa"/>
            <w:vAlign w:val="bottom"/>
            <w:gridSpan w:val="4"/>
          </w:tcPr>
          <w:p>
            <w:pPr>
              <w:jc w:val="center"/>
              <w:ind w:right="340"/>
              <w:spacing w:after="0" w:line="202" w:lineRule="exact"/>
              <w:rPr>
                <w:rFonts w:ascii="Arial" w:cs="Arial" w:eastAsia="Arial" w:hAnsi="Arial"/>
                <w:sz w:val="18"/>
                <w:szCs w:val="18"/>
                <w:color w:val="0000FF"/>
                <w:w w:val="89"/>
              </w:rPr>
            </w:pPr>
            <w:hyperlink r:id="rId295">
              <w:r>
                <w:rPr>
                  <w:rFonts w:ascii="Arial" w:cs="Arial" w:eastAsia="Arial" w:hAnsi="Arial"/>
                  <w:sz w:val="18"/>
                  <w:szCs w:val="18"/>
                  <w:color w:val="0000FF"/>
                  <w:w w:val="89"/>
                </w:rPr>
                <w:t>333-257663</w:t>
              </w:r>
            </w:hyperlink>
          </w:p>
        </w:tc>
        <w:tc>
          <w:tcPr>
            <w:tcW w:w="800" w:type="dxa"/>
            <w:vAlign w:val="bottom"/>
            <w:gridSpan w:val="5"/>
          </w:tcPr>
          <w:p>
            <w:pPr>
              <w:jc w:val="center"/>
              <w:ind w:left="390"/>
              <w:spacing w:after="0" w:line="202" w:lineRule="exact"/>
              <w:rPr>
                <w:rFonts w:ascii="Arial" w:cs="Arial" w:eastAsia="Arial" w:hAnsi="Arial"/>
                <w:sz w:val="18"/>
                <w:szCs w:val="18"/>
                <w:color w:val="0000FF"/>
                <w:w w:val="95"/>
              </w:rPr>
            </w:pPr>
            <w:hyperlink r:id="rId29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420" w:type="dxa"/>
            <w:vAlign w:val="bottom"/>
          </w:tcPr>
          <w:p>
            <w:pPr>
              <w:spacing w:after="0"/>
              <w:rPr>
                <w:sz w:val="17"/>
                <w:szCs w:val="17"/>
                <w:color w:val="auto"/>
              </w:rPr>
            </w:pPr>
          </w:p>
        </w:tc>
        <w:tc>
          <w:tcPr>
            <w:tcW w:w="1160" w:type="dxa"/>
            <w:vAlign w:val="bottom"/>
          </w:tcPr>
          <w:p>
            <w:pPr>
              <w:ind w:left="340"/>
              <w:spacing w:after="0" w:line="202" w:lineRule="exact"/>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Description of Securities.</w:t>
            </w:r>
          </w:p>
        </w:tc>
        <w:tc>
          <w:tcPr>
            <w:tcW w:w="140" w:type="dxa"/>
            <w:vAlign w:val="bottom"/>
            <w:gridSpan w:val="3"/>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6"/>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Supply Agreement between the Registrant and Cytek (Wuxi)</w:t>
              </w:r>
            </w:hyperlink>
          </w:p>
        </w:tc>
        <w:tc>
          <w:tcPr>
            <w:tcW w:w="120" w:type="dxa"/>
            <w:vAlign w:val="bottom"/>
            <w:gridSpan w:val="2"/>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4"/>
              </w:rPr>
              <w:t>10-Q</w:t>
            </w:r>
          </w:p>
        </w:tc>
        <w:tc>
          <w:tcPr>
            <w:tcW w:w="840" w:type="dxa"/>
            <w:vAlign w:val="bottom"/>
            <w:gridSpan w:val="2"/>
          </w:tcPr>
          <w:p>
            <w:pPr>
              <w:jc w:val="center"/>
              <w:spacing w:after="0"/>
              <w:rPr>
                <w:rFonts w:ascii="Arial" w:cs="Arial" w:eastAsia="Arial" w:hAnsi="Arial"/>
                <w:sz w:val="18"/>
                <w:szCs w:val="18"/>
                <w:color w:val="0000FF"/>
                <w:w w:val="90"/>
              </w:rPr>
            </w:pPr>
            <w:hyperlink r:id="rId296">
              <w:r>
                <w:rPr>
                  <w:rFonts w:ascii="Arial" w:cs="Arial" w:eastAsia="Arial" w:hAnsi="Arial"/>
                  <w:sz w:val="18"/>
                  <w:szCs w:val="18"/>
                  <w:color w:val="0000FF"/>
                  <w:w w:val="90"/>
                </w:rPr>
                <w:t>001-40632</w:t>
              </w:r>
            </w:hyperlink>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6"/>
          </w:tcPr>
          <w:p>
            <w:pPr>
              <w:jc w:val="cente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11/12/2021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96">
              <w:r>
                <w:rPr>
                  <w:rFonts w:ascii="Arial" w:cs="Arial" w:eastAsia="Arial" w:hAnsi="Arial"/>
                  <w:sz w:val="18"/>
                  <w:szCs w:val="18"/>
                  <w:color w:val="0000FF"/>
                  <w:w w:val="92"/>
                </w:rPr>
                <w:t>Biosciences Co., Ltd, a China subsidiary of Cytek</w:t>
              </w:r>
            </w:hyperlink>
          </w:p>
        </w:tc>
        <w:tc>
          <w:tcPr>
            <w:tcW w:w="720" w:type="dxa"/>
            <w:vAlign w:val="bottom"/>
            <w:tcBorders>
              <w:top w:val="single" w:sz="8" w:color="0000FF"/>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96">
              <w:r>
                <w:rPr>
                  <w:rFonts w:ascii="Arial" w:cs="Arial" w:eastAsia="Arial" w:hAnsi="Arial"/>
                  <w:sz w:val="18"/>
                  <w:szCs w:val="18"/>
                  <w:color w:val="0000FF"/>
                  <w:w w:val="91"/>
                </w:rPr>
                <w:t>Biosciences, Inc., and Coherent NA, Inc. dated August 25,</w:t>
              </w:r>
            </w:hyperlink>
          </w:p>
        </w:tc>
        <w:tc>
          <w:tcPr>
            <w:tcW w:w="260" w:type="dxa"/>
            <w:vAlign w:val="bottom"/>
            <w:gridSpan w:val="7"/>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40" w:type="dxa"/>
            <w:vAlign w:val="bottom"/>
            <w:gridSpan w:val="3"/>
          </w:tcPr>
          <w:p>
            <w:pPr>
              <w:ind w:left="140"/>
              <w:spacing w:after="0" w:line="196" w:lineRule="exact"/>
              <w:rPr>
                <w:rFonts w:ascii="Arial" w:cs="Arial" w:eastAsia="Arial" w:hAnsi="Arial"/>
                <w:sz w:val="18"/>
                <w:szCs w:val="18"/>
                <w:color w:val="0000FF"/>
                <w:w w:val="79"/>
              </w:rPr>
            </w:pPr>
            <w:hyperlink r:id="rId296">
              <w:r>
                <w:rPr>
                  <w:rFonts w:ascii="Arial" w:cs="Arial" w:eastAsia="Arial" w:hAnsi="Arial"/>
                  <w:sz w:val="18"/>
                  <w:szCs w:val="18"/>
                  <w:color w:val="0000FF"/>
                  <w:w w:val="79"/>
                </w:rPr>
                <w:t>2021.</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gridSpan w:val="23"/>
          </w:tcPr>
          <w:p>
            <w:pP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Forms of Restricted Stock Unit Grant Notice and Restricted</w:t>
              </w:r>
            </w:hyperlink>
          </w:p>
        </w:tc>
        <w:tc>
          <w:tcPr>
            <w:tcW w:w="180" w:type="dxa"/>
            <w:vAlign w:val="bottom"/>
            <w:gridSpan w:val="5"/>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4"/>
              </w:rPr>
              <w:t>10-Q</w:t>
            </w:r>
          </w:p>
        </w:tc>
        <w:tc>
          <w:tcPr>
            <w:tcW w:w="840" w:type="dxa"/>
            <w:vAlign w:val="bottom"/>
            <w:gridSpan w:val="2"/>
          </w:tcPr>
          <w:p>
            <w:pPr>
              <w:jc w:val="center"/>
              <w:spacing w:after="0"/>
              <w:rPr>
                <w:rFonts w:ascii="Arial" w:cs="Arial" w:eastAsia="Arial" w:hAnsi="Arial"/>
                <w:sz w:val="18"/>
                <w:szCs w:val="18"/>
                <w:color w:val="0000FF"/>
                <w:w w:val="90"/>
              </w:rPr>
            </w:pPr>
            <w:hyperlink r:id="rId297">
              <w:r>
                <w:rPr>
                  <w:rFonts w:ascii="Arial" w:cs="Arial" w:eastAsia="Arial" w:hAnsi="Arial"/>
                  <w:sz w:val="18"/>
                  <w:szCs w:val="18"/>
                  <w:color w:val="0000FF"/>
                  <w:w w:val="90"/>
                </w:rPr>
                <w:t>001-40632</w:t>
              </w:r>
            </w:hyperlink>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6"/>
          </w:tcPr>
          <w:p>
            <w:pPr>
              <w:jc w:val="cente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11/12/2021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297">
              <w:r>
                <w:rPr>
                  <w:rFonts w:ascii="Arial" w:cs="Arial" w:eastAsia="Arial" w:hAnsi="Arial"/>
                  <w:sz w:val="18"/>
                  <w:szCs w:val="18"/>
                  <w:color w:val="0000FF"/>
                  <w:w w:val="92"/>
                </w:rPr>
                <w:t>Stock Unit Award Agreement under the 2021 Equity</w:t>
              </w:r>
            </w:hyperlink>
          </w:p>
        </w:tc>
        <w:tc>
          <w:tcPr>
            <w:tcW w:w="520" w:type="dxa"/>
            <w:vAlign w:val="bottom"/>
            <w:tcBorders>
              <w:top w:val="single" w:sz="8" w:color="0000FF"/>
            </w:tcBorders>
            <w:gridSpan w:val="8"/>
          </w:tcPr>
          <w:p>
            <w:pPr>
              <w:spacing w:after="0"/>
              <w:rPr>
                <w:sz w:val="17"/>
                <w:szCs w:val="17"/>
                <w:color w:val="auto"/>
              </w:rPr>
            </w:pPr>
          </w:p>
        </w:tc>
        <w:tc>
          <w:tcPr>
            <w:tcW w:w="18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297">
              <w:r>
                <w:rPr>
                  <w:rFonts w:ascii="Arial" w:cs="Arial" w:eastAsia="Arial" w:hAnsi="Arial"/>
                  <w:sz w:val="18"/>
                  <w:szCs w:val="18"/>
                  <w:color w:val="0000FF"/>
                </w:rPr>
                <w:t>Incentive Plan</w:t>
              </w:r>
            </w:hyperlink>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0" w:type="dxa"/>
            <w:vAlign w:val="bottom"/>
            <w:gridSpan w:val="26"/>
          </w:tcPr>
          <w:p>
            <w:pPr>
              <w:spacing w:after="0"/>
              <w:rPr>
                <w:rFonts w:ascii="Arial" w:cs="Arial" w:eastAsia="Arial" w:hAnsi="Arial"/>
                <w:sz w:val="18"/>
                <w:szCs w:val="18"/>
                <w:color w:val="0000FF"/>
                <w:w w:val="90"/>
              </w:rPr>
            </w:pPr>
            <w:hyperlink r:id="rId298">
              <w:r>
                <w:rPr>
                  <w:rFonts w:ascii="Arial" w:cs="Arial" w:eastAsia="Arial" w:hAnsi="Arial"/>
                  <w:sz w:val="18"/>
                  <w:szCs w:val="18"/>
                  <w:color w:val="0000FF"/>
                  <w:w w:val="90"/>
                </w:rPr>
                <w:t>Amended and Restated Investors’ Rights Agreement, by and</w:t>
              </w:r>
            </w:hyperlink>
          </w:p>
        </w:tc>
        <w:tc>
          <w:tcPr>
            <w:tcW w:w="120" w:type="dxa"/>
            <w:vAlign w:val="bottom"/>
            <w:gridSpan w:val="2"/>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298">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98">
              <w:r>
                <w:rPr>
                  <w:rFonts w:ascii="Arial" w:cs="Arial" w:eastAsia="Arial" w:hAnsi="Arial"/>
                  <w:sz w:val="18"/>
                  <w:szCs w:val="18"/>
                  <w:color w:val="0000FF"/>
                  <w:w w:val="91"/>
                </w:rPr>
                <w:t>among Cytek Biosciences, Inc. and certain of its</w:t>
              </w:r>
            </w:hyperlink>
          </w:p>
        </w:tc>
        <w:tc>
          <w:tcPr>
            <w:tcW w:w="880" w:type="dxa"/>
            <w:vAlign w:val="bottom"/>
            <w:tcBorders>
              <w:top w:val="single" w:sz="8" w:color="0000FF"/>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298">
              <w:r>
                <w:rPr>
                  <w:rFonts w:ascii="Arial" w:cs="Arial" w:eastAsia="Arial" w:hAnsi="Arial"/>
                  <w:sz w:val="18"/>
                  <w:szCs w:val="18"/>
                  <w:color w:val="0000FF"/>
                </w:rPr>
                <w:t>stockholders, dated October 23, 2020.</w:t>
              </w:r>
            </w:hyperlink>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16"/>
          </w:tcPr>
          <w:p>
            <w:pPr>
              <w:spacing w:after="0"/>
              <w:rPr>
                <w:rFonts w:ascii="Arial" w:cs="Arial" w:eastAsia="Arial" w:hAnsi="Arial"/>
                <w:sz w:val="18"/>
                <w:szCs w:val="18"/>
                <w:color w:val="0000FF"/>
                <w:w w:val="91"/>
              </w:rPr>
            </w:pPr>
            <w:hyperlink r:id="rId299">
              <w:r>
                <w:rPr>
                  <w:rFonts w:ascii="Arial" w:cs="Arial" w:eastAsia="Arial" w:hAnsi="Arial"/>
                  <w:sz w:val="18"/>
                  <w:szCs w:val="18"/>
                  <w:color w:val="0000FF"/>
                  <w:w w:val="91"/>
                </w:rPr>
                <w:t>Cytek Biosciences, Inc. 2015 Equity Incentive Plan, as</w:t>
              </w:r>
            </w:hyperlink>
          </w:p>
        </w:tc>
        <w:tc>
          <w:tcPr>
            <w:tcW w:w="540" w:type="dxa"/>
            <w:vAlign w:val="bottom"/>
            <w:gridSpan w:val="12"/>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299">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29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99">
              <w:r>
                <w:rPr>
                  <w:rFonts w:ascii="Arial" w:cs="Arial" w:eastAsia="Arial" w:hAnsi="Arial"/>
                  <w:sz w:val="18"/>
                  <w:szCs w:val="18"/>
                  <w:color w:val="0000FF"/>
                </w:rPr>
                <w:t>amended.</w:t>
              </w:r>
            </w:hyperlink>
          </w:p>
        </w:tc>
        <w:tc>
          <w:tcPr>
            <w:tcW w:w="540" w:type="dxa"/>
            <w:vAlign w:val="bottom"/>
            <w:gridSpan w:val="12"/>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2"/>
          </w:tcPr>
          <w:p>
            <w:pPr>
              <w:spacing w:after="0"/>
              <w:rPr>
                <w:rFonts w:ascii="Arial" w:cs="Arial" w:eastAsia="Arial" w:hAnsi="Arial"/>
                <w:sz w:val="18"/>
                <w:szCs w:val="18"/>
                <w:color w:val="0000FF"/>
                <w:w w:val="92"/>
              </w:rPr>
            </w:pPr>
            <w:hyperlink r:id="rId300">
              <w:r>
                <w:rPr>
                  <w:rFonts w:ascii="Arial" w:cs="Arial" w:eastAsia="Arial" w:hAnsi="Arial"/>
                  <w:sz w:val="18"/>
                  <w:szCs w:val="18"/>
                  <w:color w:val="0000FF"/>
                  <w:w w:val="92"/>
                </w:rPr>
                <w:t>Forms of Option Agreement, Notice of Stock Option Grant</w:t>
              </w:r>
            </w:hyperlink>
          </w:p>
        </w:tc>
        <w:tc>
          <w:tcPr>
            <w:tcW w:w="220" w:type="dxa"/>
            <w:vAlign w:val="bottom"/>
            <w:gridSpan w:val="6"/>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0">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30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300">
              <w:r>
                <w:rPr>
                  <w:rFonts w:ascii="Arial" w:cs="Arial" w:eastAsia="Arial" w:hAnsi="Arial"/>
                  <w:sz w:val="18"/>
                  <w:szCs w:val="18"/>
                  <w:color w:val="0000FF"/>
                  <w:w w:val="91"/>
                </w:rPr>
                <w:t>and Exercise Notice under Cytek Biosciences, Inc. 2015</w:t>
              </w:r>
            </w:hyperlink>
          </w:p>
        </w:tc>
        <w:tc>
          <w:tcPr>
            <w:tcW w:w="200" w:type="dxa"/>
            <w:vAlign w:val="bottom"/>
            <w:tcBorders>
              <w:top w:val="single" w:sz="8" w:color="0000FF"/>
            </w:tcBorders>
            <w:gridSpan w:val="3"/>
          </w:tcPr>
          <w:p>
            <w:pPr>
              <w:spacing w:after="0"/>
              <w:rPr>
                <w:sz w:val="17"/>
                <w:szCs w:val="17"/>
                <w:color w:val="auto"/>
              </w:rPr>
            </w:pPr>
          </w:p>
        </w:tc>
        <w:tc>
          <w:tcPr>
            <w:tcW w:w="22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00">
              <w:r>
                <w:rPr>
                  <w:rFonts w:ascii="Arial" w:cs="Arial" w:eastAsia="Arial" w:hAnsi="Arial"/>
                  <w:sz w:val="18"/>
                  <w:szCs w:val="18"/>
                  <w:color w:val="0000FF"/>
                  <w:w w:val="91"/>
                </w:rPr>
                <w:t>Equity Incentive Plan.</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22"/>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8"/>
          </w:tcPr>
          <w:p>
            <w:pPr>
              <w:spacing w:after="0"/>
              <w:rPr>
                <w:rFonts w:ascii="Arial" w:cs="Arial" w:eastAsia="Arial" w:hAnsi="Arial"/>
                <w:sz w:val="18"/>
                <w:szCs w:val="18"/>
                <w:color w:val="0000FF"/>
              </w:rPr>
            </w:pPr>
            <w:hyperlink r:id="rId301">
              <w:r>
                <w:rPr>
                  <w:rFonts w:ascii="Arial" w:cs="Arial" w:eastAsia="Arial" w:hAnsi="Arial"/>
                  <w:sz w:val="18"/>
                  <w:szCs w:val="18"/>
                  <w:color w:val="0000FF"/>
                </w:rPr>
                <w:t>Cytek Biosciences, Inc. 2021 Equity Incentive Plan.</w:t>
              </w:r>
            </w:hyperlink>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1">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30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160" w:type="dxa"/>
            <w:vAlign w:val="bottom"/>
          </w:tcPr>
          <w:p>
            <w:pPr>
              <w:ind w:left="280"/>
              <w:spacing w:after="0"/>
              <w:rPr>
                <w:sz w:val="20"/>
                <w:szCs w:val="20"/>
                <w:color w:val="auto"/>
              </w:rPr>
            </w:pPr>
            <w:r>
              <w:rPr>
                <w:rFonts w:ascii="Arial" w:cs="Arial" w:eastAsia="Arial" w:hAnsi="Arial"/>
                <w:sz w:val="18"/>
                <w:szCs w:val="18"/>
                <w:color w:val="auto"/>
                <w:w w:val="95"/>
              </w:rPr>
              <w:t>07/19/2021</w:t>
            </w:r>
          </w:p>
        </w:tc>
        <w:tc>
          <w:tcPr>
            <w:tcW w:w="102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20"/>
          </w:tcPr>
          <w:p>
            <w:pPr>
              <w:spacing w:after="0"/>
              <w:rPr>
                <w:rFonts w:ascii="Arial" w:cs="Arial" w:eastAsia="Arial" w:hAnsi="Arial"/>
                <w:sz w:val="18"/>
                <w:szCs w:val="18"/>
                <w:color w:val="0000FF"/>
                <w:w w:val="92"/>
              </w:rPr>
            </w:pPr>
            <w:hyperlink r:id="rId302">
              <w:r>
                <w:rPr>
                  <w:rFonts w:ascii="Arial" w:cs="Arial" w:eastAsia="Arial" w:hAnsi="Arial"/>
                  <w:sz w:val="18"/>
                  <w:szCs w:val="18"/>
                  <w:color w:val="0000FF"/>
                  <w:w w:val="92"/>
                </w:rPr>
                <w:t>Forms of Option Agreement and Notice of Stock Option</w:t>
              </w:r>
            </w:hyperlink>
          </w:p>
        </w:tc>
        <w:tc>
          <w:tcPr>
            <w:tcW w:w="400" w:type="dxa"/>
            <w:vAlign w:val="bottom"/>
            <w:gridSpan w:val="8"/>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2">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30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02">
              <w:r>
                <w:rPr>
                  <w:rFonts w:ascii="Arial" w:cs="Arial" w:eastAsia="Arial" w:hAnsi="Arial"/>
                  <w:sz w:val="18"/>
                  <w:szCs w:val="18"/>
                  <w:color w:val="0000FF"/>
                  <w:w w:val="90"/>
                </w:rPr>
                <w:t>Grant under 2021 Equity Incentive Plan.</w:t>
              </w:r>
            </w:hyperlink>
          </w:p>
        </w:tc>
        <w:tc>
          <w:tcPr>
            <w:tcW w:w="1200" w:type="dxa"/>
            <w:vAlign w:val="bottom"/>
            <w:tcBorders>
              <w:top w:val="single" w:sz="8" w:color="0000FF"/>
            </w:tcBorders>
            <w:gridSpan w:val="10"/>
          </w:tcPr>
          <w:p>
            <w:pPr>
              <w:spacing w:after="0"/>
              <w:rPr>
                <w:sz w:val="17"/>
                <w:szCs w:val="17"/>
                <w:color w:val="auto"/>
              </w:rPr>
            </w:pPr>
          </w:p>
        </w:tc>
        <w:tc>
          <w:tcPr>
            <w:tcW w:w="40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gridSpan w:val="18"/>
          </w:tcPr>
          <w:p>
            <w:pPr>
              <w:spacing w:after="0"/>
              <w:rPr>
                <w:rFonts w:ascii="Arial" w:cs="Arial" w:eastAsia="Arial" w:hAnsi="Arial"/>
                <w:sz w:val="18"/>
                <w:szCs w:val="18"/>
                <w:color w:val="0000FF"/>
                <w:w w:val="90"/>
              </w:rPr>
            </w:pPr>
            <w:hyperlink r:id="rId303">
              <w:r>
                <w:rPr>
                  <w:rFonts w:ascii="Arial" w:cs="Arial" w:eastAsia="Arial" w:hAnsi="Arial"/>
                  <w:sz w:val="18"/>
                  <w:szCs w:val="18"/>
                  <w:color w:val="0000FF"/>
                  <w:w w:val="90"/>
                </w:rPr>
                <w:t>Cytek Biosciences, Inc. 2021 Employee Stock Purchase</w:t>
              </w:r>
            </w:hyperlink>
          </w:p>
        </w:tc>
        <w:tc>
          <w:tcPr>
            <w:tcW w:w="440" w:type="dxa"/>
            <w:vAlign w:val="bottom"/>
            <w:gridSpan w:val="10"/>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3">
              <w:r>
                <w:rPr>
                  <w:rFonts w:ascii="Arial" w:cs="Arial" w:eastAsia="Arial" w:hAnsi="Arial"/>
                  <w:sz w:val="18"/>
                  <w:szCs w:val="18"/>
                  <w:color w:val="0000FF"/>
                  <w:w w:val="89"/>
                </w:rPr>
                <w:t>333-257663</w:t>
              </w:r>
            </w:hyperlink>
          </w:p>
        </w:tc>
        <w:tc>
          <w:tcPr>
            <w:tcW w:w="800" w:type="dxa"/>
            <w:vAlign w:val="bottom"/>
            <w:gridSpan w:val="5"/>
          </w:tcPr>
          <w:p>
            <w:pPr>
              <w:jc w:val="center"/>
              <w:spacing w:after="0"/>
              <w:rPr>
                <w:rFonts w:ascii="Arial" w:cs="Arial" w:eastAsia="Arial" w:hAnsi="Arial"/>
                <w:sz w:val="18"/>
                <w:szCs w:val="18"/>
                <w:color w:val="0000FF"/>
              </w:rPr>
            </w:pPr>
            <w:hyperlink r:id="rId30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420" w:type="dxa"/>
            <w:vAlign w:val="bottom"/>
          </w:tcPr>
          <w:p>
            <w:pPr>
              <w:spacing w:after="0"/>
              <w:rPr>
                <w:sz w:val="19"/>
                <w:szCs w:val="19"/>
                <w:color w:val="auto"/>
              </w:rPr>
            </w:pPr>
          </w:p>
        </w:tc>
        <w:tc>
          <w:tcPr>
            <w:tcW w:w="1160" w:type="dxa"/>
            <w:vAlign w:val="bottom"/>
          </w:tcPr>
          <w:p>
            <w:pPr>
              <w:ind w:left="280"/>
              <w:spacing w:after="0"/>
              <w:rPr>
                <w:sz w:val="20"/>
                <w:szCs w:val="20"/>
                <w:color w:val="auto"/>
              </w:rPr>
            </w:pPr>
            <w:r>
              <w:rPr>
                <w:rFonts w:ascii="Arial" w:cs="Arial" w:eastAsia="Arial" w:hAnsi="Arial"/>
                <w:sz w:val="18"/>
                <w:szCs w:val="18"/>
                <w:color w:val="auto"/>
                <w:w w:val="95"/>
              </w:rPr>
              <w:t>07/19/2021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303">
              <w:r>
                <w:rPr>
                  <w:rFonts w:ascii="Arial" w:cs="Arial" w:eastAsia="Arial" w:hAnsi="Arial"/>
                  <w:sz w:val="18"/>
                  <w:szCs w:val="18"/>
                  <w:color w:val="0000FF"/>
                  <w:w w:val="87"/>
                </w:rPr>
                <w:t>Plan.</w:t>
              </w:r>
            </w:hyperlink>
          </w:p>
        </w:tc>
        <w:tc>
          <w:tcPr>
            <w:tcW w:w="3680" w:type="dxa"/>
            <w:vAlign w:val="bottom"/>
            <w:tcBorders>
              <w:top w:val="single" w:sz="8" w:color="0000FF"/>
            </w:tcBorders>
            <w:gridSpan w:val="17"/>
          </w:tcPr>
          <w:p>
            <w:pPr>
              <w:spacing w:after="0"/>
              <w:rPr>
                <w:sz w:val="17"/>
                <w:szCs w:val="17"/>
                <w:color w:val="auto"/>
              </w:rPr>
            </w:pPr>
          </w:p>
        </w:tc>
        <w:tc>
          <w:tcPr>
            <w:tcW w:w="44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gridSpan w:val="24"/>
          </w:tcPr>
          <w:p>
            <w:pPr>
              <w:spacing w:after="0"/>
              <w:rPr>
                <w:rFonts w:ascii="Arial" w:cs="Arial" w:eastAsia="Arial" w:hAnsi="Arial"/>
                <w:sz w:val="18"/>
                <w:szCs w:val="18"/>
                <w:color w:val="0000FF"/>
                <w:w w:val="92"/>
              </w:rPr>
            </w:pPr>
            <w:hyperlink r:id="rId304">
              <w:r>
                <w:rPr>
                  <w:rFonts w:ascii="Arial" w:cs="Arial" w:eastAsia="Arial" w:hAnsi="Arial"/>
                  <w:sz w:val="18"/>
                  <w:szCs w:val="18"/>
                  <w:color w:val="0000FF"/>
                  <w:w w:val="92"/>
                </w:rPr>
                <w:t>Form of Indemnification Agreement, by and between Cytek</w:t>
              </w:r>
            </w:hyperlink>
          </w:p>
        </w:tc>
        <w:tc>
          <w:tcPr>
            <w:tcW w:w="160" w:type="dxa"/>
            <w:vAlign w:val="bottom"/>
            <w:gridSpan w:val="4"/>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4">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30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304">
              <w:r>
                <w:rPr>
                  <w:rFonts w:ascii="Arial" w:cs="Arial" w:eastAsia="Arial" w:hAnsi="Arial"/>
                  <w:sz w:val="18"/>
                  <w:szCs w:val="18"/>
                  <w:color w:val="0000FF"/>
                  <w:w w:val="90"/>
                </w:rPr>
                <w:t>Biosciences, Inc. and each of its directors and executive</w:t>
              </w:r>
            </w:hyperlink>
          </w:p>
        </w:tc>
        <w:tc>
          <w:tcPr>
            <w:tcW w:w="300" w:type="dxa"/>
            <w:vAlign w:val="bottom"/>
            <w:tcBorders>
              <w:top w:val="single" w:sz="8" w:color="0000FF"/>
            </w:tcBorders>
            <w:gridSpan w:val="7"/>
          </w:tcPr>
          <w:p>
            <w:pPr>
              <w:spacing w:after="0"/>
              <w:rPr>
                <w:sz w:val="17"/>
                <w:szCs w:val="17"/>
                <w:color w:val="auto"/>
              </w:rPr>
            </w:pPr>
          </w:p>
        </w:tc>
        <w:tc>
          <w:tcPr>
            <w:tcW w:w="16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04">
              <w:r>
                <w:rPr>
                  <w:rFonts w:ascii="Arial" w:cs="Arial" w:eastAsia="Arial" w:hAnsi="Arial"/>
                  <w:sz w:val="18"/>
                  <w:szCs w:val="18"/>
                  <w:color w:val="0000FF"/>
                </w:rPr>
                <w:t>officers.</w:t>
              </w:r>
            </w:hyperlink>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gridSpan w:val="19"/>
          </w:tcPr>
          <w:p>
            <w:pP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Offer letter, by and between Cytek Biosciences, Inc. and</w:t>
              </w:r>
            </w:hyperlink>
          </w:p>
        </w:tc>
        <w:tc>
          <w:tcPr>
            <w:tcW w:w="420" w:type="dxa"/>
            <w:vAlign w:val="bottom"/>
            <w:gridSpan w:val="9"/>
          </w:tcPr>
          <w:p>
            <w:pPr>
              <w:spacing w:after="0"/>
              <w:rPr>
                <w:sz w:val="19"/>
                <w:szCs w:val="19"/>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4"/>
          </w:tcPr>
          <w:p>
            <w:pPr>
              <w:jc w:val="center"/>
              <w:ind w:right="340"/>
              <w:spacing w:after="0"/>
              <w:rPr>
                <w:rFonts w:ascii="Arial" w:cs="Arial" w:eastAsia="Arial" w:hAnsi="Arial"/>
                <w:sz w:val="18"/>
                <w:szCs w:val="18"/>
                <w:color w:val="0000FF"/>
                <w:w w:val="89"/>
              </w:rPr>
            </w:pPr>
            <w:hyperlink r:id="rId305">
              <w:r>
                <w:rPr>
                  <w:rFonts w:ascii="Arial" w:cs="Arial" w:eastAsia="Arial" w:hAnsi="Arial"/>
                  <w:sz w:val="18"/>
                  <w:szCs w:val="18"/>
                  <w:color w:val="0000FF"/>
                  <w:w w:val="89"/>
                </w:rPr>
                <w:t>333-257663</w:t>
              </w:r>
            </w:hyperlink>
          </w:p>
        </w:tc>
        <w:tc>
          <w:tcPr>
            <w:tcW w:w="1220" w:type="dxa"/>
            <w:vAlign w:val="bottom"/>
            <w:gridSpan w:val="6"/>
          </w:tcPr>
          <w:p>
            <w:pPr>
              <w:jc w:val="cente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1160" w:type="dxa"/>
            <w:vAlign w:val="bottom"/>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9"/>
                <w:szCs w:val="19"/>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05">
              <w:r>
                <w:rPr>
                  <w:rFonts w:ascii="Arial" w:cs="Arial" w:eastAsia="Arial" w:hAnsi="Arial"/>
                  <w:sz w:val="18"/>
                  <w:szCs w:val="18"/>
                  <w:color w:val="0000FF"/>
                </w:rPr>
                <w:t>Patrik Jeanmonod, dated October 5, 2018.</w:t>
              </w:r>
            </w:hyperlink>
          </w:p>
        </w:tc>
        <w:tc>
          <w:tcPr>
            <w:tcW w:w="420" w:type="dxa"/>
            <w:vAlign w:val="bottom"/>
            <w:gridSpan w:val="9"/>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Arial" w:cs="Arial" w:eastAsia="Arial" w:hAnsi="Arial"/>
                <w:sz w:val="18"/>
                <w:szCs w:val="18"/>
                <w:color w:val="auto"/>
                <w:w w:val="86"/>
              </w:rPr>
              <w:t>110</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10.11</w:t>
            </w:r>
          </w:p>
        </w:tc>
        <w:tc>
          <w:tcPr>
            <w:tcW w:w="4240" w:type="dxa"/>
            <w:vAlign w:val="bottom"/>
            <w:gridSpan w:val="25"/>
          </w:tcPr>
          <w:p>
            <w:pPr>
              <w:spacing w:after="0"/>
              <w:rPr>
                <w:rFonts w:ascii="Arial" w:cs="Arial" w:eastAsia="Arial" w:hAnsi="Arial"/>
                <w:sz w:val="18"/>
                <w:szCs w:val="18"/>
                <w:color w:val="0000FF"/>
                <w:w w:val="89"/>
              </w:rPr>
            </w:pPr>
            <w:hyperlink r:id="rId308">
              <w:r>
                <w:rPr>
                  <w:rFonts w:ascii="Arial" w:cs="Arial" w:eastAsia="Arial" w:hAnsi="Arial"/>
                  <w:sz w:val="18"/>
                  <w:szCs w:val="18"/>
                  <w:color w:val="0000FF"/>
                  <w:w w:val="89"/>
                </w:rPr>
                <w:t>Cytek Biosciences, Inc. Amended and Restated Severance</w:t>
              </w:r>
            </w:hyperlink>
          </w:p>
        </w:tc>
        <w:tc>
          <w:tcPr>
            <w:tcW w:w="160" w:type="dxa"/>
            <w:vAlign w:val="bottom"/>
            <w:gridSpan w:val="7"/>
          </w:tcPr>
          <w:p>
            <w:pPr>
              <w:spacing w:after="0"/>
              <w:rPr>
                <w:sz w:val="17"/>
                <w:szCs w:val="17"/>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3"/>
              </w:rPr>
              <w:t>S-1/A</w:t>
            </w:r>
          </w:p>
        </w:tc>
        <w:tc>
          <w:tcPr>
            <w:tcW w:w="1640" w:type="dxa"/>
            <w:vAlign w:val="bottom"/>
            <w:gridSpan w:val="2"/>
          </w:tcPr>
          <w:p>
            <w:pPr>
              <w:jc w:val="right"/>
              <w:ind w:right="780"/>
              <w:spacing w:after="0"/>
              <w:rPr>
                <w:rFonts w:ascii="Arial" w:cs="Arial" w:eastAsia="Arial" w:hAnsi="Arial"/>
                <w:sz w:val="18"/>
                <w:szCs w:val="18"/>
                <w:color w:val="0000FF"/>
                <w:w w:val="87"/>
              </w:rPr>
            </w:pPr>
            <w:hyperlink r:id="rId308">
              <w:r>
                <w:rPr>
                  <w:rFonts w:ascii="Arial" w:cs="Arial" w:eastAsia="Arial" w:hAnsi="Arial"/>
                  <w:sz w:val="18"/>
                  <w:szCs w:val="18"/>
                  <w:color w:val="0000FF"/>
                  <w:w w:val="87"/>
                </w:rPr>
                <w:t>333-257663</w:t>
              </w:r>
            </w:hyperlink>
          </w:p>
        </w:tc>
        <w:tc>
          <w:tcPr>
            <w:tcW w:w="400" w:type="dxa"/>
            <w:vAlign w:val="bottom"/>
            <w:gridSpan w:val="5"/>
          </w:tcPr>
          <w:p>
            <w:pPr>
              <w:jc w:val="center"/>
              <w:spacing w:after="0"/>
              <w:rPr>
                <w:rFonts w:ascii="Arial" w:cs="Arial" w:eastAsia="Arial" w:hAnsi="Arial"/>
                <w:sz w:val="18"/>
                <w:szCs w:val="18"/>
                <w:color w:val="0000FF"/>
                <w:w w:val="91"/>
              </w:rPr>
            </w:pPr>
            <w:hyperlink r:id="rId30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260" w:type="dxa"/>
            <w:vAlign w:val="bottom"/>
          </w:tcPr>
          <w:p>
            <w:pPr>
              <w:spacing w:after="0"/>
              <w:rPr>
                <w:sz w:val="17"/>
                <w:szCs w:val="17"/>
                <w:color w:val="auto"/>
              </w:rPr>
            </w:pPr>
          </w:p>
        </w:tc>
        <w:tc>
          <w:tcPr>
            <w:tcW w:w="2300" w:type="dxa"/>
            <w:vAlign w:val="bottom"/>
          </w:tcPr>
          <w:p>
            <w:pPr>
              <w:ind w:left="460"/>
              <w:spacing w:after="0"/>
              <w:rPr>
                <w:sz w:val="20"/>
                <w:szCs w:val="20"/>
                <w:color w:val="auto"/>
              </w:rPr>
            </w:pPr>
            <w:r>
              <w:rPr>
                <w:rFonts w:ascii="Arial" w:cs="Arial" w:eastAsia="Arial" w:hAnsi="Arial"/>
                <w:sz w:val="18"/>
                <w:szCs w:val="18"/>
                <w:color w:val="auto"/>
              </w:rPr>
              <w:t>07/19/2021</w:t>
            </w:r>
          </w:p>
        </w:tc>
      </w:tr>
      <w:tr>
        <w:trPr>
          <w:trHeight w:val="196"/>
        </w:trPr>
        <w:tc>
          <w:tcPr>
            <w:tcW w:w="960" w:type="dxa"/>
            <w:vAlign w:val="bottom"/>
          </w:tcPr>
          <w:p>
            <w:pPr>
              <w:spacing w:after="0"/>
              <w:rPr>
                <w:sz w:val="17"/>
                <w:szCs w:val="17"/>
                <w:color w:val="auto"/>
              </w:rPr>
            </w:pPr>
          </w:p>
        </w:tc>
        <w:tc>
          <w:tcPr>
            <w:tcW w:w="9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08">
              <w:r>
                <w:rPr>
                  <w:rFonts w:ascii="Arial" w:cs="Arial" w:eastAsia="Arial" w:hAnsi="Arial"/>
                  <w:sz w:val="18"/>
                  <w:szCs w:val="18"/>
                  <w:color w:val="0000FF"/>
                  <w:w w:val="90"/>
                </w:rPr>
                <w:t>Benefit Plan.</w:t>
              </w:r>
            </w:hyperlink>
          </w:p>
        </w:tc>
        <w:tc>
          <w:tcPr>
            <w:tcW w:w="20" w:type="dxa"/>
            <w:vAlign w:val="bottom"/>
            <w:tcBorders>
              <w:top w:val="single" w:sz="8" w:color="0000FF"/>
              <w:bottom w:val="single" w:sz="8" w:color="0000EE"/>
            </w:tcBorders>
          </w:tcPr>
          <w:p>
            <w:pPr>
              <w:spacing w:after="0"/>
              <w:rPr>
                <w:sz w:val="17"/>
                <w:szCs w:val="17"/>
                <w:color w:val="auto"/>
              </w:rPr>
            </w:pPr>
          </w:p>
        </w:tc>
        <w:tc>
          <w:tcPr>
            <w:tcW w:w="3280" w:type="dxa"/>
            <w:vAlign w:val="bottom"/>
            <w:tcBorders>
              <w:top w:val="single" w:sz="8" w:color="0000FF"/>
            </w:tcBorders>
            <w:gridSpan w:val="21"/>
          </w:tcPr>
          <w:p>
            <w:pPr>
              <w:spacing w:after="0"/>
              <w:rPr>
                <w:sz w:val="17"/>
                <w:szCs w:val="17"/>
                <w:color w:val="auto"/>
              </w:rPr>
            </w:pPr>
          </w:p>
        </w:tc>
        <w:tc>
          <w:tcPr>
            <w:tcW w:w="16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10.12+</w:t>
            </w:r>
          </w:p>
        </w:tc>
        <w:tc>
          <w:tcPr>
            <w:tcW w:w="4200" w:type="dxa"/>
            <w:vAlign w:val="bottom"/>
            <w:gridSpan w:val="23"/>
          </w:tcPr>
          <w:p>
            <w:pPr>
              <w:spacing w:after="0"/>
              <w:rPr>
                <w:rFonts w:ascii="Arial" w:cs="Arial" w:eastAsia="Arial" w:hAnsi="Arial"/>
                <w:sz w:val="18"/>
                <w:szCs w:val="18"/>
                <w:color w:val="0000FF"/>
                <w:w w:val="91"/>
              </w:rPr>
            </w:pPr>
            <w:hyperlink r:id="rId309">
              <w:r>
                <w:rPr>
                  <w:rFonts w:ascii="Arial" w:cs="Arial" w:eastAsia="Arial" w:hAnsi="Arial"/>
                  <w:sz w:val="18"/>
                  <w:szCs w:val="18"/>
                  <w:color w:val="0000FF"/>
                  <w:w w:val="91"/>
                </w:rPr>
                <w:t>Supply and License Agreement, by and between Biotium,</w:t>
              </w:r>
            </w:hyperlink>
          </w:p>
        </w:tc>
        <w:tc>
          <w:tcPr>
            <w:tcW w:w="200" w:type="dxa"/>
            <w:vAlign w:val="bottom"/>
            <w:gridSpan w:val="9"/>
          </w:tcPr>
          <w:p>
            <w:pPr>
              <w:spacing w:after="0"/>
              <w:rPr>
                <w:sz w:val="19"/>
                <w:szCs w:val="19"/>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right"/>
              <w:ind w:right="780"/>
              <w:spacing w:after="0"/>
              <w:rPr>
                <w:rFonts w:ascii="Arial" w:cs="Arial" w:eastAsia="Arial" w:hAnsi="Arial"/>
                <w:sz w:val="18"/>
                <w:szCs w:val="18"/>
                <w:color w:val="0000FF"/>
                <w:w w:val="87"/>
              </w:rPr>
            </w:pPr>
            <w:hyperlink r:id="rId309">
              <w:r>
                <w:rPr>
                  <w:rFonts w:ascii="Arial" w:cs="Arial" w:eastAsia="Arial" w:hAnsi="Arial"/>
                  <w:sz w:val="18"/>
                  <w:szCs w:val="18"/>
                  <w:color w:val="0000FF"/>
                  <w:w w:val="87"/>
                </w:rPr>
                <w:t>333-257663</w:t>
              </w:r>
            </w:hyperlink>
          </w:p>
        </w:tc>
        <w:tc>
          <w:tcPr>
            <w:tcW w:w="400" w:type="dxa"/>
            <w:vAlign w:val="bottom"/>
            <w:gridSpan w:val="5"/>
          </w:tcPr>
          <w:p>
            <w:pPr>
              <w:jc w:val="center"/>
              <w:spacing w:after="0"/>
              <w:rPr>
                <w:rFonts w:ascii="Arial" w:cs="Arial" w:eastAsia="Arial" w:hAnsi="Arial"/>
                <w:sz w:val="18"/>
                <w:szCs w:val="18"/>
                <w:color w:val="0000FF"/>
                <w:w w:val="88"/>
              </w:rPr>
            </w:pPr>
            <w:hyperlink r:id="rId30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60" w:type="dxa"/>
            <w:vAlign w:val="bottom"/>
          </w:tcPr>
          <w:p>
            <w:pPr>
              <w:spacing w:after="0"/>
              <w:rPr>
                <w:sz w:val="19"/>
                <w:szCs w:val="19"/>
                <w:color w:val="auto"/>
              </w:rPr>
            </w:pPr>
          </w:p>
        </w:tc>
        <w:tc>
          <w:tcPr>
            <w:tcW w:w="2300" w:type="dxa"/>
            <w:vAlign w:val="bottom"/>
          </w:tcPr>
          <w:p>
            <w:pPr>
              <w:ind w:left="460"/>
              <w:spacing w:after="0"/>
              <w:rPr>
                <w:sz w:val="20"/>
                <w:szCs w:val="20"/>
                <w:color w:val="auto"/>
              </w:rPr>
            </w:pPr>
            <w:r>
              <w:rPr>
                <w:rFonts w:ascii="Arial" w:cs="Arial" w:eastAsia="Arial" w:hAnsi="Arial"/>
                <w:sz w:val="18"/>
                <w:szCs w:val="18"/>
                <w:color w:val="auto"/>
              </w:rPr>
              <w:t>07/02/2021</w:t>
            </w:r>
          </w:p>
        </w:tc>
      </w:tr>
      <w:tr>
        <w:trPr>
          <w:trHeight w:val="196"/>
        </w:trPr>
        <w:tc>
          <w:tcPr>
            <w:tcW w:w="960" w:type="dxa"/>
            <w:vAlign w:val="bottom"/>
          </w:tcPr>
          <w:p>
            <w:pPr>
              <w:spacing w:after="0"/>
              <w:rPr>
                <w:sz w:val="17"/>
                <w:szCs w:val="17"/>
                <w:color w:val="auto"/>
              </w:rPr>
            </w:pPr>
          </w:p>
        </w:tc>
        <w:tc>
          <w:tcPr>
            <w:tcW w:w="4200" w:type="dxa"/>
            <w:vAlign w:val="bottom"/>
            <w:tcBorders>
              <w:top w:val="single" w:sz="8" w:color="0000FF"/>
            </w:tcBorders>
            <w:gridSpan w:val="23"/>
          </w:tcPr>
          <w:p>
            <w:pPr>
              <w:spacing w:after="0" w:line="196" w:lineRule="exact"/>
              <w:rPr>
                <w:rFonts w:ascii="Arial" w:cs="Arial" w:eastAsia="Arial" w:hAnsi="Arial"/>
                <w:sz w:val="18"/>
                <w:szCs w:val="18"/>
                <w:color w:val="0000FF"/>
                <w:w w:val="89"/>
              </w:rPr>
            </w:pPr>
            <w:hyperlink r:id="rId309">
              <w:r>
                <w:rPr>
                  <w:rFonts w:ascii="Arial" w:cs="Arial" w:eastAsia="Arial" w:hAnsi="Arial"/>
                  <w:sz w:val="18"/>
                  <w:szCs w:val="18"/>
                  <w:color w:val="0000FF"/>
                  <w:w w:val="89"/>
                </w:rPr>
                <w:t>Inc. and Cytek Biosciences, Inc., dated as of September 1,</w:t>
              </w:r>
            </w:hyperlink>
          </w:p>
        </w:tc>
        <w:tc>
          <w:tcPr>
            <w:tcW w:w="20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309">
              <w:r>
                <w:rPr>
                  <w:rFonts w:ascii="Arial" w:cs="Arial" w:eastAsia="Arial" w:hAnsi="Arial"/>
                  <w:sz w:val="18"/>
                  <w:szCs w:val="18"/>
                  <w:color w:val="0000FF"/>
                  <w:w w:val="84"/>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10.13+</w:t>
            </w:r>
          </w:p>
        </w:tc>
        <w:tc>
          <w:tcPr>
            <w:tcW w:w="4400" w:type="dxa"/>
            <w:vAlign w:val="bottom"/>
            <w:gridSpan w:val="32"/>
          </w:tcPr>
          <w:p>
            <w:pPr>
              <w:spacing w:after="0"/>
              <w:rPr>
                <w:rFonts w:ascii="Arial" w:cs="Arial" w:eastAsia="Arial" w:hAnsi="Arial"/>
                <w:sz w:val="18"/>
                <w:szCs w:val="18"/>
                <w:color w:val="0000FF"/>
                <w:w w:val="89"/>
              </w:rPr>
            </w:pPr>
            <w:hyperlink r:id="rId310">
              <w:r>
                <w:rPr>
                  <w:rFonts w:ascii="Arial" w:cs="Arial" w:eastAsia="Arial" w:hAnsi="Arial"/>
                  <w:sz w:val="18"/>
                  <w:szCs w:val="18"/>
                  <w:color w:val="0000FF"/>
                  <w:w w:val="89"/>
                </w:rPr>
                <w:t>Settlement, License, and Equity Issuance Agreement, by and</w:t>
              </w:r>
            </w:hyperlink>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right"/>
              <w:ind w:right="780"/>
              <w:spacing w:after="0"/>
              <w:rPr>
                <w:rFonts w:ascii="Arial" w:cs="Arial" w:eastAsia="Arial" w:hAnsi="Arial"/>
                <w:sz w:val="18"/>
                <w:szCs w:val="18"/>
                <w:color w:val="0000FF"/>
                <w:w w:val="87"/>
              </w:rPr>
            </w:pPr>
            <w:hyperlink r:id="rId310">
              <w:r>
                <w:rPr>
                  <w:rFonts w:ascii="Arial" w:cs="Arial" w:eastAsia="Arial" w:hAnsi="Arial"/>
                  <w:sz w:val="18"/>
                  <w:szCs w:val="18"/>
                  <w:color w:val="0000FF"/>
                  <w:w w:val="87"/>
                </w:rPr>
                <w:t>333-257663</w:t>
              </w:r>
            </w:hyperlink>
          </w:p>
        </w:tc>
        <w:tc>
          <w:tcPr>
            <w:tcW w:w="660" w:type="dxa"/>
            <w:vAlign w:val="bottom"/>
            <w:gridSpan w:val="6"/>
          </w:tcPr>
          <w:p>
            <w:pPr>
              <w:jc w:val="center"/>
              <w:ind w:right="260"/>
              <w:spacing w:after="0"/>
              <w:rPr>
                <w:rFonts w:ascii="Arial" w:cs="Arial" w:eastAsia="Arial" w:hAnsi="Arial"/>
                <w:sz w:val="18"/>
                <w:szCs w:val="18"/>
                <w:color w:val="0000FF"/>
                <w:w w:val="88"/>
              </w:rPr>
            </w:pPr>
            <w:hyperlink r:id="rId31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2300" w:type="dxa"/>
            <w:vAlign w:val="bottom"/>
          </w:tcPr>
          <w:p>
            <w:pPr>
              <w:ind w:left="460"/>
              <w:spacing w:after="0"/>
              <w:rPr>
                <w:sz w:val="20"/>
                <w:szCs w:val="20"/>
                <w:color w:val="auto"/>
              </w:rPr>
            </w:pPr>
            <w:r>
              <w:rPr>
                <w:rFonts w:ascii="Arial" w:cs="Arial" w:eastAsia="Arial" w:hAnsi="Arial"/>
                <w:sz w:val="18"/>
                <w:szCs w:val="18"/>
                <w:color w:val="auto"/>
              </w:rPr>
              <w:t>07/02/2021</w:t>
            </w:r>
          </w:p>
        </w:tc>
      </w:tr>
      <w:tr>
        <w:trPr>
          <w:trHeight w:val="196"/>
        </w:trPr>
        <w:tc>
          <w:tcPr>
            <w:tcW w:w="96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310">
              <w:r>
                <w:rPr>
                  <w:rFonts w:ascii="Arial" w:cs="Arial" w:eastAsia="Arial" w:hAnsi="Arial"/>
                  <w:sz w:val="18"/>
                  <w:szCs w:val="18"/>
                  <w:color w:val="0000FF"/>
                  <w:w w:val="91"/>
                </w:rPr>
                <w:t>between Becton, Dickinson and Company and Cytek</w:t>
              </w:r>
            </w:hyperlink>
          </w:p>
        </w:tc>
        <w:tc>
          <w:tcPr>
            <w:tcW w:w="540" w:type="dxa"/>
            <w:vAlign w:val="bottom"/>
            <w:tcBorders>
              <w:top w:val="single" w:sz="8" w:color="0000FF"/>
            </w:tcBorders>
            <w:gridSpan w:val="13"/>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9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310">
              <w:r>
                <w:rPr>
                  <w:rFonts w:ascii="Arial" w:cs="Arial" w:eastAsia="Arial" w:hAnsi="Arial"/>
                  <w:sz w:val="18"/>
                  <w:szCs w:val="18"/>
                  <w:color w:val="0000FF"/>
                  <w:w w:val="89"/>
                </w:rPr>
                <w:t>Biosciences, Inc., dated October 5, 2020.</w:t>
              </w:r>
            </w:hyperlink>
          </w:p>
        </w:tc>
        <w:tc>
          <w:tcPr>
            <w:tcW w:w="20" w:type="dxa"/>
            <w:vAlign w:val="bottom"/>
            <w:tcBorders>
              <w:bottom w:val="single" w:sz="8" w:color="0000EE"/>
            </w:tcBorders>
          </w:tcPr>
          <w:p>
            <w:pPr>
              <w:spacing w:after="0"/>
              <w:rPr>
                <w:sz w:val="17"/>
                <w:szCs w:val="17"/>
                <w:color w:val="auto"/>
              </w:rPr>
            </w:pPr>
          </w:p>
        </w:tc>
        <w:tc>
          <w:tcPr>
            <w:tcW w:w="142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10.14</w:t>
            </w:r>
          </w:p>
        </w:tc>
        <w:tc>
          <w:tcPr>
            <w:tcW w:w="4060" w:type="dxa"/>
            <w:vAlign w:val="bottom"/>
            <w:gridSpan w:val="22"/>
          </w:tcPr>
          <w:p>
            <w:pPr>
              <w:spacing w:after="0"/>
              <w:rPr>
                <w:rFonts w:ascii="Arial" w:cs="Arial" w:eastAsia="Arial" w:hAnsi="Arial"/>
                <w:sz w:val="18"/>
                <w:szCs w:val="18"/>
                <w:color w:val="0000FF"/>
                <w:w w:val="90"/>
              </w:rPr>
            </w:pPr>
            <w:hyperlink r:id="rId311">
              <w:r>
                <w:rPr>
                  <w:rFonts w:ascii="Arial" w:cs="Arial" w:eastAsia="Arial" w:hAnsi="Arial"/>
                  <w:sz w:val="18"/>
                  <w:szCs w:val="18"/>
                  <w:color w:val="0000FF"/>
                  <w:w w:val="90"/>
                </w:rPr>
                <w:t>Lease, by and between Crest Properties LLC and Cytek</w:t>
              </w:r>
            </w:hyperlink>
          </w:p>
        </w:tc>
        <w:tc>
          <w:tcPr>
            <w:tcW w:w="340" w:type="dxa"/>
            <w:vAlign w:val="bottom"/>
            <w:gridSpan w:val="10"/>
          </w:tcPr>
          <w:p>
            <w:pPr>
              <w:spacing w:after="0"/>
              <w:rPr>
                <w:sz w:val="19"/>
                <w:szCs w:val="19"/>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right"/>
              <w:ind w:right="780"/>
              <w:spacing w:after="0"/>
              <w:rPr>
                <w:rFonts w:ascii="Arial" w:cs="Arial" w:eastAsia="Arial" w:hAnsi="Arial"/>
                <w:sz w:val="18"/>
                <w:szCs w:val="18"/>
                <w:color w:val="0000FF"/>
                <w:w w:val="87"/>
              </w:rPr>
            </w:pPr>
            <w:hyperlink r:id="rId311">
              <w:r>
                <w:rPr>
                  <w:rFonts w:ascii="Arial" w:cs="Arial" w:eastAsia="Arial" w:hAnsi="Arial"/>
                  <w:sz w:val="18"/>
                  <w:szCs w:val="18"/>
                  <w:color w:val="0000FF"/>
                  <w:w w:val="87"/>
                </w:rPr>
                <w:t>333-257663</w:t>
              </w:r>
            </w:hyperlink>
          </w:p>
        </w:tc>
        <w:tc>
          <w:tcPr>
            <w:tcW w:w="660" w:type="dxa"/>
            <w:vAlign w:val="bottom"/>
            <w:gridSpan w:val="6"/>
          </w:tcPr>
          <w:p>
            <w:pPr>
              <w:jc w:val="center"/>
              <w:ind w:right="260"/>
              <w:spacing w:after="0"/>
              <w:rPr>
                <w:rFonts w:ascii="Arial" w:cs="Arial" w:eastAsia="Arial" w:hAnsi="Arial"/>
                <w:sz w:val="18"/>
                <w:szCs w:val="18"/>
                <w:color w:val="0000FF"/>
                <w:w w:val="88"/>
              </w:rPr>
            </w:pPr>
            <w:hyperlink r:id="rId31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2300" w:type="dxa"/>
            <w:vAlign w:val="bottom"/>
          </w:tcPr>
          <w:p>
            <w:pPr>
              <w:ind w:left="460"/>
              <w:spacing w:after="0"/>
              <w:rPr>
                <w:sz w:val="20"/>
                <w:szCs w:val="20"/>
                <w:color w:val="auto"/>
              </w:rPr>
            </w:pPr>
            <w:r>
              <w:rPr>
                <w:rFonts w:ascii="Arial" w:cs="Arial" w:eastAsia="Arial" w:hAnsi="Arial"/>
                <w:sz w:val="18"/>
                <w:szCs w:val="18"/>
                <w:color w:val="auto"/>
              </w:rPr>
              <w:t>07/02/2021</w:t>
            </w:r>
          </w:p>
        </w:tc>
      </w:tr>
      <w:tr>
        <w:trPr>
          <w:trHeight w:val="196"/>
        </w:trPr>
        <w:tc>
          <w:tcPr>
            <w:tcW w:w="96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9"/>
              </w:rPr>
            </w:pPr>
            <w:hyperlink r:id="rId311">
              <w:r>
                <w:rPr>
                  <w:rFonts w:ascii="Arial" w:cs="Arial" w:eastAsia="Arial" w:hAnsi="Arial"/>
                  <w:sz w:val="18"/>
                  <w:szCs w:val="18"/>
                  <w:color w:val="0000FF"/>
                  <w:w w:val="89"/>
                </w:rPr>
                <w:t>Biosciences, Inc., dated as of July 24, 2015.</w:t>
              </w:r>
            </w:hyperlink>
          </w:p>
        </w:tc>
        <w:tc>
          <w:tcPr>
            <w:tcW w:w="20" w:type="dxa"/>
            <w:vAlign w:val="bottom"/>
            <w:tcBorders>
              <w:top w:val="single" w:sz="8" w:color="0000FF"/>
              <w:bottom w:val="single" w:sz="8" w:color="0000EE"/>
            </w:tcBorders>
          </w:tcPr>
          <w:p>
            <w:pPr>
              <w:spacing w:after="0"/>
              <w:rPr>
                <w:sz w:val="17"/>
                <w:szCs w:val="17"/>
                <w:color w:val="auto"/>
              </w:rPr>
            </w:pPr>
          </w:p>
        </w:tc>
        <w:tc>
          <w:tcPr>
            <w:tcW w:w="880" w:type="dxa"/>
            <w:vAlign w:val="bottom"/>
            <w:tcBorders>
              <w:top w:val="single" w:sz="8" w:color="0000FF"/>
            </w:tcBorders>
            <w:gridSpan w:val="8"/>
          </w:tcPr>
          <w:p>
            <w:pPr>
              <w:spacing w:after="0"/>
              <w:rPr>
                <w:sz w:val="17"/>
                <w:szCs w:val="17"/>
                <w:color w:val="auto"/>
              </w:rPr>
            </w:pPr>
          </w:p>
        </w:tc>
        <w:tc>
          <w:tcPr>
            <w:tcW w:w="34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10.15</w:t>
            </w:r>
          </w:p>
        </w:tc>
        <w:tc>
          <w:tcPr>
            <w:tcW w:w="4400" w:type="dxa"/>
            <w:vAlign w:val="bottom"/>
            <w:gridSpan w:val="32"/>
          </w:tcPr>
          <w:p>
            <w:pPr>
              <w:spacing w:after="0"/>
              <w:rPr>
                <w:rFonts w:ascii="Arial" w:cs="Arial" w:eastAsia="Arial" w:hAnsi="Arial"/>
                <w:sz w:val="18"/>
                <w:szCs w:val="18"/>
                <w:color w:val="0000FF"/>
                <w:w w:val="91"/>
              </w:rPr>
            </w:pPr>
            <w:hyperlink r:id="rId312">
              <w:r>
                <w:rPr>
                  <w:rFonts w:ascii="Arial" w:cs="Arial" w:eastAsia="Arial" w:hAnsi="Arial"/>
                  <w:sz w:val="18"/>
                  <w:szCs w:val="18"/>
                  <w:color w:val="0000FF"/>
                  <w:w w:val="91"/>
                </w:rPr>
                <w:t>Lease, by and between SNH Medical Office Properties Trust</w:t>
              </w:r>
            </w:hyperlink>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right"/>
              <w:ind w:right="780"/>
              <w:spacing w:after="0"/>
              <w:rPr>
                <w:rFonts w:ascii="Arial" w:cs="Arial" w:eastAsia="Arial" w:hAnsi="Arial"/>
                <w:sz w:val="18"/>
                <w:szCs w:val="18"/>
                <w:color w:val="0000FF"/>
                <w:w w:val="87"/>
              </w:rPr>
            </w:pPr>
            <w:hyperlink r:id="rId312">
              <w:r>
                <w:rPr>
                  <w:rFonts w:ascii="Arial" w:cs="Arial" w:eastAsia="Arial" w:hAnsi="Arial"/>
                  <w:sz w:val="18"/>
                  <w:szCs w:val="18"/>
                  <w:color w:val="0000FF"/>
                  <w:w w:val="87"/>
                </w:rPr>
                <w:t>333-257663</w:t>
              </w:r>
            </w:hyperlink>
          </w:p>
        </w:tc>
        <w:tc>
          <w:tcPr>
            <w:tcW w:w="660" w:type="dxa"/>
            <w:vAlign w:val="bottom"/>
            <w:gridSpan w:val="6"/>
          </w:tcPr>
          <w:p>
            <w:pPr>
              <w:jc w:val="center"/>
              <w:ind w:right="260"/>
              <w:spacing w:after="0"/>
              <w:rPr>
                <w:rFonts w:ascii="Arial" w:cs="Arial" w:eastAsia="Arial" w:hAnsi="Arial"/>
                <w:sz w:val="18"/>
                <w:szCs w:val="18"/>
                <w:color w:val="0000FF"/>
                <w:w w:val="88"/>
              </w:rPr>
            </w:pPr>
            <w:hyperlink r:id="rId31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300" w:type="dxa"/>
            <w:vAlign w:val="bottom"/>
          </w:tcPr>
          <w:p>
            <w:pPr>
              <w:ind w:left="460"/>
              <w:spacing w:after="0"/>
              <w:rPr>
                <w:sz w:val="20"/>
                <w:szCs w:val="20"/>
                <w:color w:val="auto"/>
              </w:rPr>
            </w:pPr>
            <w:r>
              <w:rPr>
                <w:rFonts w:ascii="Arial" w:cs="Arial" w:eastAsia="Arial" w:hAnsi="Arial"/>
                <w:sz w:val="18"/>
                <w:szCs w:val="18"/>
                <w:color w:val="auto"/>
              </w:rPr>
              <w:t>07/02/2021</w:t>
            </w:r>
          </w:p>
        </w:tc>
      </w:tr>
      <w:tr>
        <w:trPr>
          <w:trHeight w:val="196"/>
        </w:trPr>
        <w:tc>
          <w:tcPr>
            <w:tcW w:w="960" w:type="dxa"/>
            <w:vAlign w:val="bottom"/>
          </w:tcPr>
          <w:p>
            <w:pPr>
              <w:spacing w:after="0"/>
              <w:rPr>
                <w:sz w:val="17"/>
                <w:szCs w:val="17"/>
                <w:color w:val="auto"/>
              </w:rPr>
            </w:pPr>
          </w:p>
        </w:tc>
        <w:tc>
          <w:tcPr>
            <w:tcW w:w="4400" w:type="dxa"/>
            <w:vAlign w:val="bottom"/>
            <w:tcBorders>
              <w:top w:val="single" w:sz="8" w:color="0000FF"/>
            </w:tcBorders>
            <w:gridSpan w:val="32"/>
          </w:tcPr>
          <w:p>
            <w:pPr>
              <w:spacing w:after="0" w:line="196" w:lineRule="exact"/>
              <w:rPr>
                <w:rFonts w:ascii="Arial" w:cs="Arial" w:eastAsia="Arial" w:hAnsi="Arial"/>
                <w:sz w:val="18"/>
                <w:szCs w:val="18"/>
                <w:color w:val="0000FF"/>
                <w:w w:val="98"/>
              </w:rPr>
            </w:pPr>
            <w:hyperlink r:id="rId312">
              <w:r>
                <w:rPr>
                  <w:rFonts w:ascii="Arial" w:cs="Arial" w:eastAsia="Arial" w:hAnsi="Arial"/>
                  <w:sz w:val="18"/>
                  <w:szCs w:val="18"/>
                  <w:color w:val="0000FF"/>
                  <w:w w:val="98"/>
                </w:rPr>
                <w:t>and Cytek Biosciences, Inc., dated November 20, 2020.</w:t>
              </w:r>
            </w:hyperlink>
          </w:p>
        </w:tc>
        <w:tc>
          <w:tcPr>
            <w:tcW w:w="128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10.16+</w:t>
            </w:r>
          </w:p>
        </w:tc>
        <w:tc>
          <w:tcPr>
            <w:tcW w:w="440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89"/>
              </w:rPr>
              <w:t>Asset Purchase Agreement, dated February 13, 2023, by and</w:t>
            </w: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4400" w:type="dxa"/>
            <w:vAlign w:val="bottom"/>
            <w:gridSpan w:val="32"/>
          </w:tcPr>
          <w:p>
            <w:pPr>
              <w:spacing w:after="0" w:line="196" w:lineRule="exact"/>
              <w:rPr>
                <w:sz w:val="20"/>
                <w:szCs w:val="20"/>
                <w:color w:val="auto"/>
              </w:rPr>
            </w:pPr>
            <w:r>
              <w:rPr>
                <w:rFonts w:ascii="Arial" w:cs="Arial" w:eastAsia="Arial" w:hAnsi="Arial"/>
                <w:sz w:val="18"/>
                <w:szCs w:val="18"/>
                <w:color w:val="0000FF"/>
              </w:rPr>
              <w:t>between Cytek, Inc. and Luminex Corporation</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88"/>
              </w:rPr>
              <w:t>10.17</w:t>
            </w:r>
          </w:p>
        </w:tc>
        <w:tc>
          <w:tcPr>
            <w:tcW w:w="3760" w:type="dxa"/>
            <w:vAlign w:val="bottom"/>
            <w:tcBorders>
              <w:bottom w:val="single" w:sz="8" w:color="0000FF"/>
            </w:tcBorders>
            <w:gridSpan w:val="17"/>
          </w:tcPr>
          <w:p>
            <w:pPr>
              <w:spacing w:after="0"/>
              <w:rPr>
                <w:rFonts w:ascii="Arial" w:cs="Arial" w:eastAsia="Arial" w:hAnsi="Arial"/>
                <w:sz w:val="18"/>
                <w:szCs w:val="18"/>
                <w:color w:val="0000FF"/>
                <w:w w:val="92"/>
              </w:rPr>
            </w:pPr>
            <w:hyperlink r:id="rId313">
              <w:r>
                <w:rPr>
                  <w:rFonts w:ascii="Arial" w:cs="Arial" w:eastAsia="Arial" w:hAnsi="Arial"/>
                  <w:sz w:val="18"/>
                  <w:szCs w:val="18"/>
                  <w:color w:val="0000FF"/>
                  <w:w w:val="92"/>
                </w:rPr>
                <w:t>Equity Distribution Agreement, by and between the</w:t>
              </w:r>
            </w:hyperlink>
          </w:p>
        </w:tc>
        <w:tc>
          <w:tcPr>
            <w:tcW w:w="640" w:type="dxa"/>
            <w:vAlign w:val="bottom"/>
            <w:gridSpan w:val="15"/>
          </w:tcPr>
          <w:p>
            <w:pPr>
              <w:spacing w:after="0"/>
              <w:rPr>
                <w:sz w:val="19"/>
                <w:szCs w:val="19"/>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2"/>
              </w:rPr>
              <w:t>S-3</w:t>
            </w:r>
          </w:p>
        </w:tc>
        <w:tc>
          <w:tcPr>
            <w:tcW w:w="860" w:type="dxa"/>
            <w:vAlign w:val="bottom"/>
            <w:tcBorders>
              <w:bottom w:val="single" w:sz="8" w:color="0000FF"/>
            </w:tcBorders>
          </w:tcPr>
          <w:p>
            <w:pPr>
              <w:jc w:val="right"/>
              <w:spacing w:after="0"/>
              <w:rPr>
                <w:rFonts w:ascii="Arial" w:cs="Arial" w:eastAsia="Arial" w:hAnsi="Arial"/>
                <w:sz w:val="18"/>
                <w:szCs w:val="18"/>
                <w:color w:val="0000FF"/>
                <w:w w:val="87"/>
              </w:rPr>
            </w:pPr>
            <w:hyperlink r:id="rId313">
              <w:r>
                <w:rPr>
                  <w:rFonts w:ascii="Arial" w:cs="Arial" w:eastAsia="Arial" w:hAnsi="Arial"/>
                  <w:sz w:val="18"/>
                  <w:szCs w:val="18"/>
                  <w:color w:val="0000FF"/>
                  <w:w w:val="87"/>
                </w:rPr>
                <w:t>333-267118</w:t>
              </w:r>
            </w:hyperlink>
          </w:p>
        </w:tc>
        <w:tc>
          <w:tcPr>
            <w:tcW w:w="7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313">
              <w:r>
                <w:rPr>
                  <w:rFonts w:ascii="Arial" w:cs="Arial" w:eastAsia="Arial" w:hAnsi="Arial"/>
                  <w:sz w:val="18"/>
                  <w:szCs w:val="18"/>
                  <w:color w:val="0000FF"/>
                  <w:w w:val="95"/>
                </w:rPr>
                <w:t>1.</w:t>
              </w:r>
              <w:r>
                <w:rPr>
                  <w:rFonts w:ascii="Arial" w:cs="Arial" w:eastAsia="Arial" w:hAnsi="Arial"/>
                  <w:sz w:val="18"/>
                  <w:szCs w:val="18"/>
                  <w:u w:val="single" w:color="auto"/>
                  <w:color w:val="0000FF"/>
                  <w:w w:val="95"/>
                </w:rPr>
                <w:t>2</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260"/>
              <w:spacing w:after="0"/>
              <w:rPr>
                <w:sz w:val="20"/>
                <w:szCs w:val="20"/>
                <w:color w:val="auto"/>
              </w:rPr>
            </w:pPr>
            <w:r>
              <w:rPr>
                <w:rFonts w:ascii="Arial" w:cs="Arial" w:eastAsia="Arial" w:hAnsi="Arial"/>
                <w:sz w:val="18"/>
                <w:szCs w:val="18"/>
                <w:color w:val="auto"/>
              </w:rPr>
              <w:t>08/26/2022</w:t>
            </w:r>
          </w:p>
        </w:tc>
      </w:tr>
      <w:tr>
        <w:trPr>
          <w:trHeight w:val="196"/>
        </w:trPr>
        <w:tc>
          <w:tcPr>
            <w:tcW w:w="96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FF"/>
                <w:w w:val="93"/>
              </w:rPr>
            </w:pPr>
            <w:hyperlink r:id="rId313">
              <w:r>
                <w:rPr>
                  <w:rFonts w:ascii="Arial" w:cs="Arial" w:eastAsia="Arial" w:hAnsi="Arial"/>
                  <w:sz w:val="18"/>
                  <w:szCs w:val="18"/>
                  <w:color w:val="0000FF"/>
                  <w:w w:val="93"/>
                </w:rPr>
                <w:t>Company and Piper Sandler &amp; Co. dated August 26, 2022.</w:t>
              </w:r>
            </w:hyperlink>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26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List of Subsidiaries of the Registrant</w:t>
            </w:r>
          </w:p>
        </w:tc>
        <w:tc>
          <w:tcPr>
            <w:tcW w:w="20" w:type="dxa"/>
            <w:vAlign w:val="bottom"/>
            <w:tcBorders>
              <w:top w:val="single" w:sz="8" w:color="0000FF"/>
              <w:bottom w:val="single" w:sz="8" w:color="0000EE"/>
            </w:tcBorders>
          </w:tcPr>
          <w:p>
            <w:pPr>
              <w:spacing w:after="0"/>
              <w:rPr>
                <w:sz w:val="19"/>
                <w:szCs w:val="19"/>
                <w:color w:val="auto"/>
              </w:rPr>
            </w:pPr>
          </w:p>
        </w:tc>
        <w:tc>
          <w:tcPr>
            <w:tcW w:w="1560" w:type="dxa"/>
            <w:vAlign w:val="bottom"/>
            <w:tcBorders>
              <w:top w:val="single" w:sz="8" w:color="0000FF"/>
            </w:tcBorders>
            <w:gridSpan w:val="14"/>
          </w:tcPr>
          <w:p>
            <w:pPr>
              <w:spacing w:after="0"/>
              <w:rPr>
                <w:sz w:val="19"/>
                <w:szCs w:val="19"/>
                <w:color w:val="auto"/>
              </w:rPr>
            </w:pPr>
          </w:p>
        </w:tc>
        <w:tc>
          <w:tcPr>
            <w:tcW w:w="180" w:type="dxa"/>
            <w:vAlign w:val="bottom"/>
            <w:gridSpan w:val="8"/>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223"/>
        </w:trPr>
        <w:tc>
          <w:tcPr>
            <w:tcW w:w="960" w:type="dxa"/>
            <w:vAlign w:val="bottom"/>
          </w:tcPr>
          <w:p>
            <w:pPr>
              <w:jc w:val="right"/>
              <w:ind w:right="330"/>
              <w:spacing w:after="0"/>
              <w:rPr>
                <w:sz w:val="20"/>
                <w:szCs w:val="20"/>
                <w:color w:val="auto"/>
              </w:rPr>
            </w:pPr>
            <w:r>
              <w:rPr>
                <w:rFonts w:ascii="Arial" w:cs="Arial" w:eastAsia="Arial" w:hAnsi="Arial"/>
                <w:sz w:val="18"/>
                <w:szCs w:val="18"/>
                <w:color w:val="auto"/>
              </w:rPr>
              <w:t>23.1</w:t>
            </w:r>
          </w:p>
        </w:tc>
        <w:tc>
          <w:tcPr>
            <w:tcW w:w="42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1"/>
              </w:rPr>
              <w:t>Consent of Deloitte &amp; Touche LLP, independent registered</w:t>
            </w:r>
          </w:p>
        </w:tc>
        <w:tc>
          <w:tcPr>
            <w:tcW w:w="120" w:type="dxa"/>
            <w:vAlign w:val="bottom"/>
            <w:gridSpan w:val="5"/>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FF"/>
                <w:w w:val="94"/>
              </w:rPr>
              <w:t>public accounting firm.</w:t>
            </w:r>
          </w:p>
        </w:tc>
        <w:tc>
          <w:tcPr>
            <w:tcW w:w="2680" w:type="dxa"/>
            <w:vAlign w:val="bottom"/>
            <w:gridSpan w:val="26"/>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24.1</w:t>
            </w:r>
          </w:p>
        </w:tc>
        <w:tc>
          <w:tcPr>
            <w:tcW w:w="37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Power of Attorney (incorporated by reference to the</w:t>
            </w:r>
          </w:p>
        </w:tc>
        <w:tc>
          <w:tcPr>
            <w:tcW w:w="620" w:type="dxa"/>
            <w:vAlign w:val="bottom"/>
            <w:gridSpan w:val="14"/>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386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0"/>
              </w:rPr>
              <w:t>signatures page of this Annual Report on Form 10-K)</w:t>
            </w:r>
          </w:p>
        </w:tc>
        <w:tc>
          <w:tcPr>
            <w:tcW w:w="54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31.1</w:t>
            </w:r>
          </w:p>
        </w:tc>
        <w:tc>
          <w:tcPr>
            <w:tcW w:w="40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4"/>
              </w:rPr>
              <w:t>Certification of Principal Executive Officer required by</w:t>
            </w:r>
          </w:p>
        </w:tc>
        <w:tc>
          <w:tcPr>
            <w:tcW w:w="360" w:type="dxa"/>
            <w:vAlign w:val="bottom"/>
            <w:gridSpan w:val="11"/>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89"/>
              </w:rPr>
              <w:t>Rules 13a-14(a) and 15d-14(a) under the Securities</w:t>
            </w:r>
          </w:p>
        </w:tc>
        <w:tc>
          <w:tcPr>
            <w:tcW w:w="68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260" w:type="dxa"/>
            <w:vAlign w:val="bottom"/>
            <w:tcBorders>
              <w:bottom w:val="single" w:sz="8" w:color="0000FF"/>
            </w:tcBorders>
            <w:gridSpan w:val="26"/>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 302</w:t>
            </w:r>
          </w:p>
        </w:tc>
        <w:tc>
          <w:tcPr>
            <w:tcW w:w="1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of the Sarbanes-Oxley Act of 2002.</w:t>
            </w:r>
          </w:p>
        </w:tc>
        <w:tc>
          <w:tcPr>
            <w:tcW w:w="1840" w:type="dxa"/>
            <w:vAlign w:val="bottom"/>
            <w:gridSpan w:val="24"/>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31.2</w:t>
            </w:r>
          </w:p>
        </w:tc>
        <w:tc>
          <w:tcPr>
            <w:tcW w:w="43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4"/>
              </w:rPr>
              <w:t>Certification of Principal Financial Officer required by Rule</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4340" w:type="dxa"/>
            <w:vAlign w:val="bottom"/>
            <w:tcBorders>
              <w:bottom w:val="single" w:sz="8" w:color="0000FF"/>
            </w:tcBorders>
            <w:gridSpan w:val="29"/>
          </w:tcPr>
          <w:p>
            <w:pPr>
              <w:spacing w:after="0" w:line="196" w:lineRule="exact"/>
              <w:rPr>
                <w:sz w:val="20"/>
                <w:szCs w:val="20"/>
                <w:color w:val="auto"/>
              </w:rPr>
            </w:pPr>
            <w:r>
              <w:rPr>
                <w:rFonts w:ascii="Arial" w:cs="Arial" w:eastAsia="Arial" w:hAnsi="Arial"/>
                <w:sz w:val="18"/>
                <w:szCs w:val="18"/>
                <w:color w:val="0000FF"/>
                <w:w w:val="91"/>
              </w:rPr>
              <w:t>13a-14(a) or Rule 15d-14(a) of the Securities Exchange Act</w:t>
            </w:r>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400" w:type="dxa"/>
            <w:vAlign w:val="bottom"/>
            <w:gridSpan w:val="32"/>
          </w:tcPr>
          <w:p>
            <w:pPr>
              <w:spacing w:after="0" w:line="196" w:lineRule="exact"/>
              <w:rPr>
                <w:sz w:val="20"/>
                <w:szCs w:val="20"/>
                <w:color w:val="auto"/>
              </w:rPr>
            </w:pPr>
            <w:r>
              <w:rPr>
                <w:rFonts w:ascii="Arial" w:cs="Arial" w:eastAsia="Arial" w:hAnsi="Arial"/>
                <w:sz w:val="18"/>
                <w:szCs w:val="18"/>
                <w:color w:val="0000FF"/>
                <w:w w:val="88"/>
              </w:rPr>
              <w:t>of 1934, as adopted pursuant to Section 302 of the Sarbanes-</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360" w:type="dxa"/>
            <w:vAlign w:val="bottom"/>
            <w:tcBorders>
              <w:top w:val="single" w:sz="8" w:color="0000FF"/>
            </w:tcBorders>
            <w:gridSpan w:val="30"/>
          </w:tcPr>
          <w:p>
            <w:pPr>
              <w:spacing w:after="0" w:line="196" w:lineRule="exact"/>
              <w:rPr>
                <w:sz w:val="20"/>
                <w:szCs w:val="20"/>
                <w:color w:val="auto"/>
              </w:rPr>
            </w:pPr>
            <w:r>
              <w:rPr>
                <w:rFonts w:ascii="Arial" w:cs="Arial" w:eastAsia="Arial" w:hAnsi="Arial"/>
                <w:sz w:val="18"/>
                <w:szCs w:val="18"/>
                <w:color w:val="0000FF"/>
              </w:rPr>
              <w:t>Oxley Act of 2002.</w:t>
            </w:r>
          </w:p>
        </w:tc>
        <w:tc>
          <w:tcPr>
            <w:tcW w:w="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5"/>
              </w:rPr>
              <w:t>32.1*</w:t>
            </w:r>
          </w:p>
        </w:tc>
        <w:tc>
          <w:tcPr>
            <w:tcW w:w="40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3"/>
              </w:rPr>
              <w:t>Certification of Chief Executive Officer pursuant to 18</w:t>
            </w:r>
          </w:p>
        </w:tc>
        <w:tc>
          <w:tcPr>
            <w:tcW w:w="400" w:type="dxa"/>
            <w:vAlign w:val="bottom"/>
            <w:gridSpan w:val="12"/>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432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400" w:type="dxa"/>
            <w:vAlign w:val="bottom"/>
            <w:gridSpan w:val="32"/>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5"/>
              </w:rPr>
              <w:t>32.2*</w:t>
            </w:r>
          </w:p>
        </w:tc>
        <w:tc>
          <w:tcPr>
            <w:tcW w:w="40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4"/>
              </w:rPr>
              <w:t>Certification of Chief Financial Officer pursuant to 18</w:t>
            </w:r>
          </w:p>
        </w:tc>
        <w:tc>
          <w:tcPr>
            <w:tcW w:w="400" w:type="dxa"/>
            <w:vAlign w:val="bottom"/>
            <w:gridSpan w:val="12"/>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432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400" w:type="dxa"/>
            <w:vAlign w:val="bottom"/>
            <w:gridSpan w:val="32"/>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1940" w:type="dxa"/>
            <w:vAlign w:val="bottom"/>
            <w:gridSpan w:val="2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9"/>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4400" w:type="dxa"/>
            <w:vAlign w:val="bottom"/>
            <w:gridSpan w:val="32"/>
          </w:tcPr>
          <w:p>
            <w:pPr>
              <w:spacing w:after="0"/>
              <w:rPr>
                <w:sz w:val="20"/>
                <w:szCs w:val="20"/>
                <w:color w:val="auto"/>
              </w:rPr>
            </w:pPr>
            <w:r>
              <w:rPr>
                <w:rFonts w:ascii="Arial" w:cs="Arial" w:eastAsia="Arial" w:hAnsi="Arial"/>
                <w:sz w:val="18"/>
                <w:szCs w:val="18"/>
                <w:color w:val="auto"/>
                <w:w w:val="95"/>
              </w:rPr>
              <w:t>Inline XBRL Instance Document – the instance document</w:t>
            </w: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216"/>
        </w:trPr>
        <w:tc>
          <w:tcPr>
            <w:tcW w:w="960" w:type="dxa"/>
            <w:vAlign w:val="bottom"/>
          </w:tcPr>
          <w:p>
            <w:pPr>
              <w:spacing w:after="0"/>
              <w:rPr>
                <w:sz w:val="18"/>
                <w:szCs w:val="18"/>
                <w:color w:val="auto"/>
              </w:rPr>
            </w:pPr>
          </w:p>
        </w:tc>
        <w:tc>
          <w:tcPr>
            <w:tcW w:w="4400" w:type="dxa"/>
            <w:vAlign w:val="bottom"/>
            <w:gridSpan w:val="32"/>
          </w:tcPr>
          <w:p>
            <w:pPr>
              <w:spacing w:after="0"/>
              <w:rPr>
                <w:sz w:val="20"/>
                <w:szCs w:val="20"/>
                <w:color w:val="auto"/>
              </w:rPr>
            </w:pPr>
            <w:r>
              <w:rPr>
                <w:rFonts w:ascii="Arial" w:cs="Arial" w:eastAsia="Arial" w:hAnsi="Arial"/>
                <w:sz w:val="18"/>
                <w:szCs w:val="18"/>
                <w:color w:val="auto"/>
                <w:w w:val="93"/>
              </w:rPr>
              <w:t>does not appear in the Interactive Data File because XBRL</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4400" w:type="dxa"/>
            <w:vAlign w:val="bottom"/>
            <w:gridSpan w:val="32"/>
          </w:tcPr>
          <w:p>
            <w:pPr>
              <w:spacing w:after="0"/>
              <w:rPr>
                <w:sz w:val="20"/>
                <w:szCs w:val="20"/>
                <w:color w:val="auto"/>
              </w:rPr>
            </w:pPr>
            <w:r>
              <w:rPr>
                <w:rFonts w:ascii="Arial" w:cs="Arial" w:eastAsia="Arial" w:hAnsi="Arial"/>
                <w:sz w:val="18"/>
                <w:szCs w:val="18"/>
                <w:color w:val="auto"/>
              </w:rPr>
              <w:t>tags are embedded within the Inline XBRL document.</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86"/>
        </w:trPr>
        <w:tc>
          <w:tcPr>
            <w:tcW w:w="960" w:type="dxa"/>
            <w:vAlign w:val="bottom"/>
          </w:tcPr>
          <w:p>
            <w:pPr>
              <w:jc w:val="center"/>
              <w:ind w:right="50"/>
              <w:spacing w:after="0"/>
              <w:rPr>
                <w:sz w:val="20"/>
                <w:szCs w:val="20"/>
                <w:color w:val="auto"/>
              </w:rPr>
            </w:pPr>
            <w:r>
              <w:rPr>
                <w:rFonts w:ascii="Arial" w:cs="Arial" w:eastAsia="Arial" w:hAnsi="Arial"/>
                <w:sz w:val="18"/>
                <w:szCs w:val="18"/>
                <w:color w:val="auto"/>
                <w:w w:val="90"/>
              </w:rPr>
              <w:t>101.SCH</w:t>
            </w:r>
          </w:p>
        </w:tc>
        <w:tc>
          <w:tcPr>
            <w:tcW w:w="440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472"/>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7"/>
              </w:rPr>
              <w:t>101.CAL</w:t>
            </w:r>
          </w:p>
        </w:tc>
        <w:tc>
          <w:tcPr>
            <w:tcW w:w="4400" w:type="dxa"/>
            <w:vAlign w:val="bottom"/>
            <w:gridSpan w:val="32"/>
          </w:tcPr>
          <w:p>
            <w:pPr>
              <w:spacing w:after="0"/>
              <w:rPr>
                <w:sz w:val="20"/>
                <w:szCs w:val="20"/>
                <w:color w:val="auto"/>
              </w:rPr>
            </w:pPr>
            <w:r>
              <w:rPr>
                <w:rFonts w:ascii="Arial" w:cs="Arial" w:eastAsia="Arial" w:hAnsi="Arial"/>
                <w:sz w:val="18"/>
                <w:szCs w:val="18"/>
                <w:color w:val="auto"/>
                <w:w w:val="99"/>
              </w:rPr>
              <w:t>Inline XBRL Taxonomy Extension Calculation Linkbase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230"/>
        </w:trPr>
        <w:tc>
          <w:tcPr>
            <w:tcW w:w="960" w:type="dxa"/>
            <w:vAlign w:val="bottom"/>
          </w:tcPr>
          <w:p>
            <w:pPr>
              <w:spacing w:after="0"/>
              <w:rPr>
                <w:sz w:val="20"/>
                <w:szCs w:val="20"/>
                <w:color w:val="auto"/>
              </w:rPr>
            </w:pPr>
          </w:p>
        </w:tc>
        <w:tc>
          <w:tcPr>
            <w:tcW w:w="4400" w:type="dxa"/>
            <w:vAlign w:val="bottom"/>
            <w:gridSpan w:val="32"/>
          </w:tcPr>
          <w:p>
            <w:pPr>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72"/>
        </w:trPr>
        <w:tc>
          <w:tcPr>
            <w:tcW w:w="960" w:type="dxa"/>
            <w:vAlign w:val="bottom"/>
          </w:tcPr>
          <w:p>
            <w:pPr>
              <w:jc w:val="center"/>
              <w:ind w:right="50"/>
              <w:spacing w:after="0"/>
              <w:rPr>
                <w:sz w:val="20"/>
                <w:szCs w:val="20"/>
                <w:color w:val="auto"/>
              </w:rPr>
            </w:pPr>
            <w:r>
              <w:rPr>
                <w:rFonts w:ascii="Arial" w:cs="Arial" w:eastAsia="Arial" w:hAnsi="Arial"/>
                <w:sz w:val="18"/>
                <w:szCs w:val="18"/>
                <w:color w:val="auto"/>
                <w:w w:val="92"/>
              </w:rPr>
              <w:t>101.DEF</w:t>
            </w:r>
          </w:p>
        </w:tc>
        <w:tc>
          <w:tcPr>
            <w:tcW w:w="440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230"/>
        </w:trPr>
        <w:tc>
          <w:tcPr>
            <w:tcW w:w="960" w:type="dxa"/>
            <w:vAlign w:val="bottom"/>
          </w:tcPr>
          <w:p>
            <w:pPr>
              <w:spacing w:after="0"/>
              <w:rPr>
                <w:sz w:val="20"/>
                <w:szCs w:val="20"/>
                <w:color w:val="auto"/>
              </w:rPr>
            </w:pPr>
          </w:p>
        </w:tc>
        <w:tc>
          <w:tcPr>
            <w:tcW w:w="4400" w:type="dxa"/>
            <w:vAlign w:val="bottom"/>
            <w:gridSpan w:val="32"/>
          </w:tcPr>
          <w:p>
            <w:pPr>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04"/>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4400" w:type="dxa"/>
            <w:vAlign w:val="bottom"/>
            <w:gridSpan w:val="32"/>
          </w:tcPr>
          <w:p>
            <w:pPr>
              <w:spacing w:after="0"/>
              <w:rPr>
                <w:sz w:val="20"/>
                <w:szCs w:val="20"/>
                <w:color w:val="auto"/>
              </w:rPr>
            </w:pPr>
            <w:r>
              <w:rPr>
                <w:rFonts w:ascii="Arial" w:cs="Arial" w:eastAsia="Arial" w:hAnsi="Arial"/>
                <w:sz w:val="18"/>
                <w:szCs w:val="18"/>
                <w:color w:val="auto"/>
              </w:rPr>
              <w:t>Inline XBRL Taxonomy Extension Label Linkbase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X</w:t>
            </w:r>
          </w:p>
        </w:tc>
      </w:tr>
      <w:tr>
        <w:trPr>
          <w:trHeight w:val="230"/>
        </w:trPr>
        <w:tc>
          <w:tcPr>
            <w:tcW w:w="960" w:type="dxa"/>
            <w:vAlign w:val="bottom"/>
          </w:tcPr>
          <w:p>
            <w:pPr>
              <w:spacing w:after="0"/>
              <w:rPr>
                <w:sz w:val="20"/>
                <w:szCs w:val="20"/>
                <w:color w:val="auto"/>
              </w:rPr>
            </w:pPr>
          </w:p>
        </w:tc>
        <w:tc>
          <w:tcPr>
            <w:tcW w:w="4400" w:type="dxa"/>
            <w:vAlign w:val="bottom"/>
            <w:gridSpan w:val="32"/>
          </w:tcPr>
          <w:p>
            <w:pPr>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621"/>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111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tbl>
      <w:tblPr>
        <w:tblLayout w:type="fixed"/>
        <w:tblInd w:w="100" w:type="dxa"/>
        <w:tblCellMar>
          <w:top w:w="0" w:type="dxa"/>
          <w:left w:w="0" w:type="dxa"/>
          <w:bottom w:w="0" w:type="dxa"/>
          <w:right w:w="0" w:type="dxa"/>
        </w:tblCellMar>
      </w:tblPr>
      <w:tr>
        <w:trPr>
          <w:trHeight w:val="216"/>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88"/>
              </w:rPr>
              <w:t>101.PRE</w:t>
            </w:r>
          </w:p>
        </w:tc>
        <w:tc>
          <w:tcPr>
            <w:tcW w:w="714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230"/>
        </w:trPr>
        <w:tc>
          <w:tcPr>
            <w:tcW w:w="74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Document.</w:t>
            </w:r>
          </w:p>
        </w:tc>
        <w:tc>
          <w:tcPr>
            <w:tcW w:w="2820" w:type="dxa"/>
            <w:vAlign w:val="bottom"/>
          </w:tcPr>
          <w:p>
            <w:pPr>
              <w:spacing w:after="0"/>
              <w:rPr>
                <w:sz w:val="20"/>
                <w:szCs w:val="20"/>
                <w:color w:val="auto"/>
              </w:rPr>
            </w:pPr>
          </w:p>
        </w:tc>
      </w:tr>
      <w:tr>
        <w:trPr>
          <w:trHeight w:val="472"/>
        </w:trPr>
        <w:tc>
          <w:tcPr>
            <w:tcW w:w="74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7140" w:type="dxa"/>
            <w:vAlign w:val="bottom"/>
          </w:tcPr>
          <w:p>
            <w:pPr>
              <w:ind w:left="120"/>
              <w:spacing w:after="0"/>
              <w:rPr>
                <w:sz w:val="20"/>
                <w:szCs w:val="20"/>
                <w:color w:val="auto"/>
              </w:rPr>
            </w:pPr>
            <w:r>
              <w:rPr>
                <w:rFonts w:ascii="Arial" w:cs="Arial" w:eastAsia="Arial" w:hAnsi="Arial"/>
                <w:sz w:val="18"/>
                <w:szCs w:val="18"/>
                <w:color w:val="auto"/>
              </w:rPr>
              <w:t>Cover Page Interactive Data File (formatted as inline XBRL</w:t>
            </w:r>
          </w:p>
        </w:tc>
        <w:tc>
          <w:tcPr>
            <w:tcW w:w="2820" w:type="dxa"/>
            <w:vAlign w:val="bottom"/>
          </w:tcPr>
          <w:p>
            <w:pPr>
              <w:ind w:left="2680"/>
              <w:spacing w:after="0"/>
              <w:rPr>
                <w:sz w:val="20"/>
                <w:szCs w:val="20"/>
                <w:color w:val="auto"/>
              </w:rPr>
            </w:pPr>
            <w:r>
              <w:rPr>
                <w:rFonts w:ascii="Arial" w:cs="Arial" w:eastAsia="Arial" w:hAnsi="Arial"/>
                <w:sz w:val="18"/>
                <w:szCs w:val="18"/>
                <w:color w:val="auto"/>
                <w:w w:val="99"/>
              </w:rPr>
              <w:t>X</w:t>
            </w:r>
          </w:p>
        </w:tc>
      </w:tr>
      <w:tr>
        <w:trPr>
          <w:trHeight w:val="230"/>
        </w:trPr>
        <w:tc>
          <w:tcPr>
            <w:tcW w:w="74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and contained in Exhibits 101).</w:t>
            </w:r>
          </w:p>
        </w:tc>
        <w:tc>
          <w:tcPr>
            <w:tcW w:w="282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116" w:lineRule="exact"/>
        <w:rPr>
          <w:sz w:val="20"/>
          <w:szCs w:val="20"/>
          <w:color w:val="auto"/>
        </w:rPr>
      </w:pPr>
    </w:p>
    <w:p>
      <w:pPr>
        <w:ind w:firstLine="8"/>
        <w:spacing w:after="0" w:line="277" w:lineRule="auto"/>
        <w:tabs>
          <w:tab w:leader="none" w:pos="1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both not material and is the type that the Registrant treats as private and confidential.</w:t>
      </w:r>
    </w:p>
    <w:p>
      <w:pPr>
        <w:spacing w:after="0" w:line="62" w:lineRule="exact"/>
        <w:rPr>
          <w:sz w:val="20"/>
          <w:szCs w:val="20"/>
          <w:color w:val="auto"/>
        </w:rPr>
      </w:pPr>
    </w:p>
    <w:p>
      <w:pPr>
        <w:jc w:val="both"/>
        <w:ind w:firstLine="8"/>
        <w:spacing w:after="0" w:line="259" w:lineRule="auto"/>
        <w:tabs>
          <w:tab w:leader="none" w:pos="1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Annual Report on Form 10-K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Cytek Biosciences, Inc.</w:t>
      </w:r>
    </w:p>
    <w:p>
      <w:pPr>
        <w:spacing w:after="0" w:line="283"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23495</wp:posOffset>
            </wp:positionV>
            <wp:extent cx="35318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Wenbin Jiang, Ph.D.</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340" w:val="left"/>
          <w:tab w:leader="none" w:pos="768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23495</wp:posOffset>
            </wp:positionV>
            <wp:extent cx="3531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Patrik Jeanmonod</w:t>
      </w:r>
    </w:p>
    <w:p>
      <w:pPr>
        <w:spacing w:after="0" w:line="3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Wenbin Jiang, Patrik Jeanmonod and Valerie Barnett, and each or any one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spacing w:after="0" w:line="2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9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4"/>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Wenbin Jiang</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(Principal Executive Officer)</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Wenbin Jiang, Ph.D.</w:t>
            </w:r>
          </w:p>
        </w:tc>
        <w:tc>
          <w:tcPr>
            <w:tcW w:w="12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Patrik Jeanmonod</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(Principal Financial and Accounting Officer)</w:t>
            </w: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Patrik Jeanmonod</w:t>
            </w:r>
          </w:p>
        </w:tc>
        <w:tc>
          <w:tcPr>
            <w:tcW w:w="12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3"/>
              </w:rPr>
              <w:t>/s/ Ming Yan</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Technology Officer and 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Ming Yan, Ph.D.</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Jack Ball</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Jack Ball</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Don Hardison</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5"/>
              </w:rPr>
              <w:t>Don Hardison</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Deborah Neff</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ind w:right="20"/>
              <w:spacing w:after="0"/>
              <w:rPr>
                <w:sz w:val="20"/>
                <w:szCs w:val="20"/>
                <w:color w:val="auto"/>
              </w:rPr>
            </w:pPr>
            <w:r>
              <w:rPr>
                <w:rFonts w:ascii="Arial" w:cs="Arial" w:eastAsia="Arial" w:hAnsi="Arial"/>
                <w:sz w:val="14"/>
                <w:szCs w:val="14"/>
                <w:color w:val="auto"/>
                <w:w w:val="93"/>
              </w:rPr>
              <w:t>Deborah Neff</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Gisele Dion</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Gisele Dion</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Vera Imper</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Vera Imper, Ph.D.</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5"/>
        </w:trPr>
        <w:tc>
          <w:tcPr>
            <w:tcW w:w="3680" w:type="dxa"/>
            <w:vAlign w:val="bottom"/>
          </w:tcPr>
          <w:p>
            <w:pPr>
              <w:spacing w:after="0"/>
              <w:rPr>
                <w:sz w:val="24"/>
                <w:szCs w:val="24"/>
                <w:color w:val="auto"/>
              </w:rPr>
            </w:pPr>
          </w:p>
        </w:tc>
        <w:tc>
          <w:tcPr>
            <w:tcW w:w="5040" w:type="dxa"/>
            <w:vAlign w:val="bottom"/>
            <w:gridSpan w:val="2"/>
          </w:tcPr>
          <w:p>
            <w:pPr>
              <w:jc w:val="right"/>
              <w:ind w:right="2875"/>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following is a description of the common stock, $0.001 par value per share (“common stock”) of Cytek Biosciences, Inc. (the “Company,” “we,” “our,” or “us”), which is the only security of the Company registered pursuant to Section 12 of the Securities Exchange Act of 1934, as amended (the “Exchange Act”). The following summary description is based on the provisions of our Amended and Restated Certificate of Incorporation (the “Certificate of Incorporation”), our Amended and Restated Bylaws (the “Bylaws”), and the applicable provisions of the Delaware General Corporation Law (the “DGCL”). This information may not be complete in all respects and is qualified entirely by reference to the provisions of our Certificate of Incorporation and our Bylaws, which are filed as exhibits to our Annual Report on Form 10-K of which this exhibit is a part.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Our Certificate of Incorporation authorizes us to issue up to 1,000,000,000 shares of common stock, $0.001 par value per share, and 10,000,000 shares of preferred stock, par value $0.001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Under our Certificate of Incorporation, our stockholders do not have cumulative voting rights. Because of this, the holders of a majority of the shares of common stock entitled to vote in any election of directors can elect all of the directors standing for election.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Under our Certificate of Incorporation, our board of directors may, without further action by our stockholders, fix the rights, preferences, privileges and restrictions of any or all of the 10,000,000 shares of preferred stock authorized in one or more series and authorize their issuance. These rights, preferences, privileges and restrictions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right="80"/>
        <w:spacing w:after="0" w:line="281" w:lineRule="auto"/>
        <w:rPr>
          <w:sz w:val="20"/>
          <w:szCs w:val="20"/>
          <w:color w:val="auto"/>
        </w:rPr>
      </w:pPr>
      <w:r>
        <w:rPr>
          <w:rFonts w:ascii="Arial" w:cs="Arial" w:eastAsia="Arial" w:hAnsi="Arial"/>
          <w:sz w:val="17"/>
          <w:szCs w:val="17"/>
          <w:color w:val="auto"/>
        </w:rPr>
        <w:t>common stock and the likelihood that such holders would receive dividend payments and payments on liquidation. In addition, the issuance of preferred stock could have the effect of delaying, deterring or preventing a change of control or other corporate action. As of December 31, 2022, we have no shares of preferred stock issued and outstanding. We have no present plans to issue any shares of preferred stock. For a complete description of the terms and provisions of the Company’s preferred stock refer to our Certificate of Incorporation and our Bylaws</w:t>
      </w:r>
      <w:r>
        <w:rPr>
          <w:rFonts w:ascii="Arial" w:cs="Arial" w:eastAsia="Arial" w:hAnsi="Arial"/>
          <w:sz w:val="18"/>
          <w:szCs w:val="18"/>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are subject to Section 203 of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03" w:lineRule="exact"/>
        <w:rPr>
          <w:sz w:val="20"/>
          <w:szCs w:val="20"/>
          <w:color w:val="auto"/>
        </w:rPr>
      </w:pPr>
    </w:p>
    <w:p>
      <w:pPr>
        <w:ind w:left="1040" w:right="340" w:hanging="560"/>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29" w:lineRule="exact"/>
        <w:rPr>
          <w:rFonts w:ascii="Arial" w:cs="Arial" w:eastAsia="Arial" w:hAnsi="Arial"/>
          <w:sz w:val="18"/>
          <w:szCs w:val="18"/>
          <w:color w:val="auto"/>
        </w:rPr>
      </w:pPr>
    </w:p>
    <w:p>
      <w:pPr>
        <w:ind w:left="1040" w:right="180" w:hanging="560"/>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w:t>
      </w:r>
    </w:p>
    <w:p>
      <w:pPr>
        <w:spacing w:after="0" w:line="102" w:lineRule="exact"/>
        <w:rPr>
          <w:rFonts w:ascii="Arial" w:cs="Arial" w:eastAsia="Arial" w:hAnsi="Arial"/>
          <w:sz w:val="18"/>
          <w:szCs w:val="18"/>
          <w:color w:val="auto"/>
        </w:rPr>
      </w:pPr>
    </w:p>
    <w:p>
      <w:pPr>
        <w:ind w:left="1040" w:right="180" w:hanging="560"/>
        <w:spacing w:after="0" w:line="259"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19" w:lineRule="exact"/>
        <w:rPr>
          <w:rFonts w:ascii="Arial" w:cs="Arial" w:eastAsia="Arial" w:hAnsi="Arial"/>
          <w:sz w:val="18"/>
          <w:szCs w:val="18"/>
          <w:color w:val="auto"/>
        </w:rPr>
      </w:pPr>
    </w:p>
    <w:p>
      <w:pPr>
        <w:ind w:left="1040" w:right="100" w:hanging="560"/>
        <w:spacing w:after="0" w:line="263"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44" w:lineRule="exact"/>
        <w:rPr>
          <w:sz w:val="20"/>
          <w:szCs w:val="20"/>
          <w:color w:val="auto"/>
        </w:rPr>
      </w:pPr>
    </w:p>
    <w:p>
      <w:pPr>
        <w:ind w:left="1040" w:hanging="560"/>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85" w:lineRule="exact"/>
        <w:rPr>
          <w:rFonts w:ascii="Arial" w:cs="Arial" w:eastAsia="Arial" w:hAnsi="Arial"/>
          <w:sz w:val="17"/>
          <w:szCs w:val="17"/>
          <w:color w:val="auto"/>
        </w:rPr>
      </w:pPr>
    </w:p>
    <w:p>
      <w:pPr>
        <w:ind w:left="1040" w:right="160" w:hanging="560"/>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2" w:lineRule="exact"/>
        <w:rPr>
          <w:rFonts w:ascii="Arial" w:cs="Arial" w:eastAsia="Arial" w:hAnsi="Arial"/>
          <w:sz w:val="18"/>
          <w:szCs w:val="18"/>
          <w:color w:val="auto"/>
        </w:rPr>
      </w:pPr>
    </w:p>
    <w:p>
      <w:pPr>
        <w:ind w:left="1040" w:right="340" w:hanging="560"/>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02" w:lineRule="exact"/>
        <w:rPr>
          <w:rFonts w:ascii="Arial" w:cs="Arial" w:eastAsia="Arial" w:hAnsi="Arial"/>
          <w:sz w:val="18"/>
          <w:szCs w:val="18"/>
          <w:color w:val="auto"/>
        </w:rPr>
      </w:pPr>
    </w:p>
    <w:p>
      <w:pPr>
        <w:ind w:left="1040" w:right="220" w:hanging="560"/>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other things, our Certificate of Incorporation and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7" w:name="page118"/>
    <w:bookmarkEnd w:id="117"/>
    <w:p>
      <w:pPr>
        <w:ind w:left="1040" w:right="400" w:hanging="560"/>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02" w:lineRule="exact"/>
        <w:rPr>
          <w:rFonts w:ascii="Arial" w:cs="Arial" w:eastAsia="Arial" w:hAnsi="Arial"/>
          <w:sz w:val="18"/>
          <w:szCs w:val="18"/>
          <w:color w:val="auto"/>
        </w:rPr>
      </w:pPr>
    </w:p>
    <w:p>
      <w:pPr>
        <w:ind w:left="1040" w:hanging="560"/>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w:t>
      </w:r>
    </w:p>
    <w:p>
      <w:pPr>
        <w:spacing w:after="0" w:line="373" w:lineRule="exact"/>
        <w:rPr>
          <w:rFonts w:ascii="Arial" w:cs="Arial" w:eastAsia="Arial" w:hAnsi="Arial"/>
          <w:sz w:val="18"/>
          <w:szCs w:val="18"/>
          <w:color w:val="auto"/>
        </w:rPr>
      </w:pPr>
    </w:p>
    <w:p>
      <w:pPr>
        <w:ind w:left="1040" w:right="120" w:hanging="560"/>
        <w:spacing w:after="0" w:line="26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143" w:lineRule="exact"/>
        <w:rPr>
          <w:rFonts w:ascii="Arial" w:cs="Arial" w:eastAsia="Arial" w:hAnsi="Arial"/>
          <w:sz w:val="18"/>
          <w:szCs w:val="18"/>
          <w:color w:val="auto"/>
        </w:rPr>
      </w:pPr>
    </w:p>
    <w:p>
      <w:pPr>
        <w:ind w:left="1040" w:right="240" w:hanging="560"/>
        <w:spacing w:after="0" w:line="26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unless the board of directors determines by resolution that any such vacancies or newly created directorships shall be filled by the stockholders and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1040" w:right="100" w:hanging="560"/>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02" w:lineRule="exact"/>
        <w:rPr>
          <w:rFonts w:ascii="Arial" w:cs="Arial" w:eastAsia="Arial" w:hAnsi="Arial"/>
          <w:sz w:val="18"/>
          <w:szCs w:val="18"/>
          <w:color w:val="auto"/>
        </w:rPr>
      </w:pPr>
    </w:p>
    <w:p>
      <w:pPr>
        <w:ind w:left="1040" w:right="100" w:hanging="560"/>
        <w:spacing w:after="0" w:line="26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16" w:lineRule="exact"/>
        <w:rPr>
          <w:rFonts w:ascii="Arial" w:cs="Arial" w:eastAsia="Arial" w:hAnsi="Arial"/>
          <w:sz w:val="18"/>
          <w:szCs w:val="18"/>
          <w:color w:val="auto"/>
        </w:rPr>
      </w:pPr>
    </w:p>
    <w:p>
      <w:pPr>
        <w:ind w:left="1040" w:right="100" w:hanging="560"/>
        <w:spacing w:after="0" w:line="308" w:lineRule="auto"/>
        <w:tabs>
          <w:tab w:leader="none" w:pos="10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chairperson of our board of directors, our chief executive officer or by our board of directors pursuant to a resolution adopted by a majority of the total number of authorized directors; and</w:t>
      </w:r>
    </w:p>
    <w:p>
      <w:pPr>
        <w:spacing w:after="0" w:line="78" w:lineRule="exact"/>
        <w:rPr>
          <w:rFonts w:ascii="Arial" w:cs="Arial" w:eastAsia="Arial" w:hAnsi="Arial"/>
          <w:sz w:val="17"/>
          <w:szCs w:val="17"/>
          <w:color w:val="auto"/>
        </w:rPr>
      </w:pPr>
    </w:p>
    <w:p>
      <w:pPr>
        <w:ind w:left="1040" w:right="240" w:hanging="560"/>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8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amendment of any of these provisions requires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Our Certificate of Incorporation and our Bylaws provide that the Court of Chancery of the State of Delaware will be the sole and exclusive forum for the following types of actions or proceedings under Delaware statutory or common law: (i) any derivative action or proceeding brought on our behalf;</w:t>
      </w:r>
    </w:p>
    <w:p>
      <w:pPr>
        <w:ind w:right="140" w:firstLine="8"/>
        <w:spacing w:after="0" w:line="260"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or proceeding asserting a claim of breach of a fiduciary duty owed by any of our current or former directors, officers, or other employees to us or our stockholders; (iii) any action or proceeding asserting a claim against us or any of our current or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8" w:name="page119"/>
    <w:bookmarkEnd w:id="118"/>
    <w:p>
      <w:pPr>
        <w:spacing w:after="0" w:line="286" w:lineRule="auto"/>
        <w:rPr>
          <w:sz w:val="20"/>
          <w:szCs w:val="20"/>
          <w:color w:val="auto"/>
        </w:rPr>
      </w:pPr>
      <w:r>
        <w:rPr>
          <w:rFonts w:ascii="Arial" w:cs="Arial" w:eastAsia="Arial" w:hAnsi="Arial"/>
          <w:sz w:val="16"/>
          <w:szCs w:val="16"/>
          <w:color w:val="auto"/>
        </w:rPr>
        <w:t>directors, officers, or other employees, arising out of or pursuant to any provision of the Delaware General Corporation Law, our Certificate of Incorporation or our Bylaws; (iv) any action or proceeding to interpret, apply, enforce, or determine the validity of our Certificate 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and our Bylaws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and our Bylaws.</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Certificate of Incorporation or our Bylaws to be inapplicable or unenforceable in an action, we may incur further significant additional costs associated with resolving such action in other jurisdictions, all of which could seriously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DGCL permits corporations to adopt provisions renouncing any interest or expectancy in certain opportunities that are presented to the corporation or its officers, directors or stockholders. Our Certificate of Incorporation, to the extent permitted by the DGCL, renounces any expectancy that we have in, or right to be offered an opportunity to participate in, specified business opportunities that are from time to time presented to a member of our board of directors who is not our employee, or any partner, member, director, stockholder, employee or agent of such member, other than who is an employee of the Company. Notwithstanding the foregoing, our Certificate of Incorporation does not renounce our interest in any business opportunity that is expressly offered to a director solely in their capacity as a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Select Market under the symbol “CTKB.”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NY 11219 and the telephone number is (800) 937-5449.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19" w:name="page120"/>
    <w:bookmarkEnd w:id="119"/>
    <w:p>
      <w:pPr>
        <w:ind w:right="420" w:firstLine="8"/>
        <w:spacing w:after="0" w:line="266" w:lineRule="auto"/>
        <w:tabs>
          <w:tab w:leader="none" w:pos="352" w:val="left"/>
        </w:tabs>
        <w:numPr>
          <w:ilvl w:val="0"/>
          <w:numId w:val="7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ASSET PURCHASE AGREEMENT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ytek</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uminex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____________________________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February 13, 2023</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105697876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ind w:left="-8" w:right="280" w:firstLine="8"/>
        <w:spacing w:after="0" w:line="293" w:lineRule="auto"/>
        <w:tabs>
          <w:tab w:leader="none" w:pos="344" w:val="left"/>
        </w:tabs>
        <w:numPr>
          <w:ilvl w:val="0"/>
          <w:numId w:val="7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1"/>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32" w:lineRule="exact"/>
        <w:rPr>
          <w:sz w:val="20"/>
          <w:szCs w:val="20"/>
          <w:color w:val="auto"/>
        </w:rPr>
      </w:pPr>
    </w:p>
    <w:p>
      <w:pPr>
        <w:ind w:left="392"/>
        <w:spacing w:after="0"/>
        <w:rPr>
          <w:sz w:val="20"/>
          <w:szCs w:val="20"/>
          <w:color w:val="auto"/>
        </w:rPr>
      </w:pPr>
      <w:r>
        <w:rPr>
          <w:rFonts w:ascii="Arial" w:cs="Arial" w:eastAsia="Arial" w:hAnsi="Arial"/>
          <w:sz w:val="20"/>
          <w:szCs w:val="20"/>
          <w:b w:val="1"/>
          <w:bCs w:val="1"/>
          <w:color w:val="auto"/>
        </w:rPr>
        <w:t>Page</w:t>
      </w:r>
    </w:p>
    <w:p>
      <w:pPr>
        <w:spacing w:after="0" w:line="378" w:lineRule="exact"/>
        <w:rPr>
          <w:sz w:val="20"/>
          <w:szCs w:val="20"/>
          <w:color w:val="auto"/>
        </w:rPr>
      </w:pPr>
    </w:p>
    <w:tbl>
      <w:tblPr>
        <w:tblLayout w:type="fixed"/>
        <w:tblInd w:w="12" w:type="dxa"/>
        <w:tblCellMar>
          <w:top w:w="0" w:type="dxa"/>
          <w:left w:w="0" w:type="dxa"/>
          <w:bottom w:w="0" w:type="dxa"/>
          <w:right w:w="0" w:type="dxa"/>
        </w:tblCellMar>
      </w:tblPr>
      <w:tr>
        <w:trPr>
          <w:trHeight w:val="256"/>
        </w:trPr>
        <w:tc>
          <w:tcPr>
            <w:tcW w:w="8180" w:type="dxa"/>
            <w:vAlign w:val="bottom"/>
            <w:gridSpan w:val="2"/>
          </w:tcPr>
          <w:p>
            <w:pPr>
              <w:spacing w:after="0"/>
              <w:rPr>
                <w:sz w:val="20"/>
                <w:szCs w:val="20"/>
                <w:color w:val="auto"/>
              </w:rPr>
            </w:pPr>
            <w:r>
              <w:rPr>
                <w:rFonts w:ascii="Arial" w:cs="Arial" w:eastAsia="Arial" w:hAnsi="Arial"/>
                <w:sz w:val="20"/>
                <w:szCs w:val="20"/>
                <w:b w:val="1"/>
                <w:bCs w:val="1"/>
                <w:color w:val="auto"/>
              </w:rPr>
              <w:t>1. P</w:t>
            </w:r>
            <w:r>
              <w:rPr>
                <w:rFonts w:ascii="Arial" w:cs="Arial" w:eastAsia="Arial" w:hAnsi="Arial"/>
                <w:sz w:val="13"/>
                <w:szCs w:val="13"/>
                <w:b w:val="1"/>
                <w:bCs w:val="1"/>
                <w:color w:val="auto"/>
              </w:rPr>
              <w:t>urchase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ale</w:t>
            </w:r>
            <w:r>
              <w:rPr>
                <w:rFonts w:ascii="Arial" w:cs="Arial" w:eastAsia="Arial" w:hAnsi="Arial"/>
                <w:sz w:val="20"/>
                <w:szCs w:val="20"/>
                <w:b w:val="1"/>
                <w:bCs w:val="1"/>
                <w:color w:val="auto"/>
              </w:rPr>
              <w:t>; C</w:t>
            </w:r>
            <w:r>
              <w:rPr>
                <w:rFonts w:ascii="Arial" w:cs="Arial" w:eastAsia="Arial" w:hAnsi="Arial"/>
                <w:sz w:val="13"/>
                <w:szCs w:val="13"/>
                <w:b w:val="1"/>
                <w:bCs w:val="1"/>
                <w:color w:val="auto"/>
              </w:rPr>
              <w:t>losing</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1.1</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Purchase and Sale of Business and Purchased Assets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1.2</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Excluded Assets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1.3</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Assumption of Assumed Liabilities.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1.4</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License and Right of Reference</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4</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1.5</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Purchase Price; Payment of Purchase Price</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1.6</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Accounts Payable and Accounts Receivable</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1.7</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Shared Contracts.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1.8</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Withholding</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6</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1.9</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Allocation of Purchase Price</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6</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1.10</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Closing.</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1.11</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Transfer Taxes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365"/>
        </w:trPr>
        <w:tc>
          <w:tcPr>
            <w:tcW w:w="8180" w:type="dxa"/>
            <w:vAlign w:val="bottom"/>
            <w:gridSpan w:val="2"/>
          </w:tcPr>
          <w:p>
            <w:pPr>
              <w:spacing w:after="0"/>
              <w:rPr>
                <w:sz w:val="20"/>
                <w:szCs w:val="20"/>
                <w:color w:val="auto"/>
              </w:rPr>
            </w:pPr>
            <w:r>
              <w:rPr>
                <w:rFonts w:ascii="Arial" w:cs="Arial" w:eastAsia="Arial" w:hAnsi="Arial"/>
                <w:sz w:val="20"/>
                <w:szCs w:val="20"/>
                <w:b w:val="1"/>
                <w:bCs w:val="1"/>
                <w:color w:val="auto"/>
              </w:rPr>
              <w:t>2. 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 the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eller</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2.1</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Due Organization, Standing and Power</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2.2</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Title To and Sufficiency of Purchased Assets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2.3</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Inventory</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2.4</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Intellectual Property.</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2.5</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Contracts.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11</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2.6</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Compliance with Law</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2.7</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Environmental Matters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2.8</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Governmental Authorization</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2.9</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Proceedings; Orders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2.10</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Authority; Binding Nature Of Agreements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2.11</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Non-Contravention; Consents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2.12</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Brokers and Finders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2.13</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Tax Matters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2.14</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Financial Information and Absence of Changes.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16</w:t>
            </w:r>
          </w:p>
        </w:tc>
      </w:tr>
      <w:tr>
        <w:trPr>
          <w:trHeight w:val="364"/>
        </w:trPr>
        <w:tc>
          <w:tcPr>
            <w:tcW w:w="8180" w:type="dxa"/>
            <w:vAlign w:val="bottom"/>
            <w:gridSpan w:val="2"/>
          </w:tcPr>
          <w:p>
            <w:pPr>
              <w:ind w:left="640"/>
              <w:spacing w:after="0"/>
              <w:rPr>
                <w:sz w:val="20"/>
                <w:szCs w:val="20"/>
                <w:color w:val="auto"/>
              </w:rPr>
            </w:pPr>
            <w:r>
              <w:rPr>
                <w:rFonts w:ascii="Arial" w:cs="Arial" w:eastAsia="Arial" w:hAnsi="Arial"/>
                <w:sz w:val="20"/>
                <w:szCs w:val="20"/>
                <w:b w:val="1"/>
                <w:bCs w:val="1"/>
                <w:color w:val="auto"/>
              </w:rPr>
              <w:t>2.15 Equipment</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17</w:t>
            </w: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2.16</w:t>
            </w:r>
          </w:p>
        </w:tc>
        <w:tc>
          <w:tcPr>
            <w:tcW w:w="7160" w:type="dxa"/>
            <w:vAlign w:val="bottom"/>
          </w:tcPr>
          <w:p>
            <w:pPr>
              <w:ind w:left="20"/>
              <w:spacing w:after="0"/>
              <w:rPr>
                <w:sz w:val="20"/>
                <w:szCs w:val="20"/>
                <w:color w:val="auto"/>
              </w:rPr>
            </w:pPr>
            <w:r>
              <w:rPr>
                <w:rFonts w:ascii="Arial" w:cs="Arial" w:eastAsia="Arial" w:hAnsi="Arial"/>
                <w:sz w:val="20"/>
                <w:szCs w:val="20"/>
                <w:b w:val="1"/>
                <w:bCs w:val="1"/>
                <w:color w:val="auto"/>
              </w:rPr>
              <w:t>Leases</w:t>
            </w: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17</w:t>
            </w:r>
          </w:p>
        </w:tc>
      </w:tr>
    </w:tbl>
    <w:p>
      <w:pPr>
        <w:spacing w:after="0" w:line="330" w:lineRule="exact"/>
        <w:rPr>
          <w:sz w:val="20"/>
          <w:szCs w:val="20"/>
          <w:color w:val="auto"/>
        </w:rPr>
      </w:pPr>
    </w:p>
    <w:p>
      <w:pPr>
        <w:jc w:val="center"/>
        <w:ind w:right="-151"/>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30" w:right="479" w:bottom="1440" w:gutter="0" w:footer="0" w:header="0"/>
        </w:sectPr>
      </w:pPr>
    </w:p>
    <w:bookmarkStart w:id="121" w:name="page122"/>
    <w:bookmarkEnd w:id="121"/>
    <w:p>
      <w:pPr>
        <w:ind w:left="-8" w:right="300" w:firstLine="8"/>
        <w:spacing w:after="0" w:line="293" w:lineRule="auto"/>
        <w:tabs>
          <w:tab w:leader="none" w:pos="344" w:val="left"/>
        </w:tabs>
        <w:numPr>
          <w:ilvl w:val="0"/>
          <w:numId w:val="7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172" w:lineRule="exact"/>
        <w:rPr>
          <w:sz w:val="20"/>
          <w:szCs w:val="20"/>
          <w:color w:val="auto"/>
        </w:rPr>
      </w:pPr>
    </w:p>
    <w:tbl>
      <w:tblPr>
        <w:tblLayout w:type="fixed"/>
        <w:tblInd w:w="12"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p>
        </w:tc>
        <w:tc>
          <w:tcPr>
            <w:tcW w:w="7660" w:type="dxa"/>
            <w:vAlign w:val="bottom"/>
          </w:tcPr>
          <w:p>
            <w:pPr>
              <w:ind w:left="3520"/>
              <w:spacing w:after="0"/>
              <w:rPr>
                <w:sz w:val="20"/>
                <w:szCs w:val="20"/>
                <w:color w:val="auto"/>
              </w:rPr>
            </w:pPr>
            <w:r>
              <w:rPr>
                <w:rFonts w:ascii="Arial" w:cs="Arial" w:eastAsia="Arial" w:hAnsi="Arial"/>
                <w:sz w:val="20"/>
                <w:szCs w:val="20"/>
                <w:b w:val="1"/>
                <w:bCs w:val="1"/>
                <w:color w:val="auto"/>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660" w:type="dxa"/>
            <w:vAlign w:val="bottom"/>
          </w:tcPr>
          <w:p>
            <w:pPr>
              <w:ind w:left="4120"/>
              <w:spacing w:after="0"/>
              <w:rPr>
                <w:sz w:val="20"/>
                <w:szCs w:val="20"/>
                <w:color w:val="auto"/>
              </w:rPr>
            </w:pPr>
            <w:r>
              <w:rPr>
                <w:rFonts w:ascii="Arial" w:cs="Arial" w:eastAsia="Arial" w:hAnsi="Arial"/>
                <w:sz w:val="20"/>
                <w:szCs w:val="20"/>
                <w:color w:val="auto"/>
              </w:rPr>
              <w:t>(continued)</w:t>
            </w:r>
          </w:p>
        </w:tc>
        <w:tc>
          <w:tcPr>
            <w:tcW w:w="24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2.17</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Employee Benefit Plans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17</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2.18</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Employment Matters.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18</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2.19</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Regulation S-X Financials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2.20</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 Other Representations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3. 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Authority; Binding Nature Of Agreements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Non-Contravention; Consents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20</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R&amp;W Insurance Policy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20</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Absence of Litigation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3.5</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Brokers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3.6</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Availability of Funds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3.7</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Solvency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3.8</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 Other Representations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4. 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ovenants</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Access And Investigation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Operation Of Business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22</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Notification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Filings and Consents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4.5</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Exclusivity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23</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4.6</w:t>
            </w:r>
          </w:p>
        </w:tc>
        <w:tc>
          <w:tcPr>
            <w:tcW w:w="7660" w:type="dxa"/>
            <w:vAlign w:val="bottom"/>
          </w:tcPr>
          <w:p>
            <w:pPr>
              <w:ind w:left="660"/>
              <w:spacing w:after="0"/>
              <w:rPr>
                <w:sz w:val="20"/>
                <w:szCs w:val="20"/>
                <w:color w:val="auto"/>
              </w:rPr>
            </w:pPr>
            <w:r>
              <w:rPr>
                <w:rFonts w:ascii="Arial" w:cs="Arial" w:eastAsia="Arial" w:hAnsi="Arial"/>
                <w:sz w:val="20"/>
                <w:szCs w:val="20"/>
                <w:b w:val="1"/>
                <w:bCs w:val="1"/>
                <w:color w:val="auto"/>
              </w:rPr>
              <w:t>Commercially Reasonable Efforts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4.7</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Confidentiality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4.8</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R&amp;W Insurance Policy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4.9</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Payment of Accrued Employee Amounts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24</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4.10</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Intellectual Property Recordations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5. C</w:t>
            </w:r>
            <w:r>
              <w:rPr>
                <w:rFonts w:ascii="Arial" w:cs="Arial" w:eastAsia="Arial" w:hAnsi="Arial"/>
                <w:sz w:val="13"/>
                <w:szCs w:val="13"/>
                <w:b w:val="1"/>
                <w:bCs w:val="1"/>
                <w:color w:val="auto"/>
              </w:rPr>
              <w:t>onditions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recedent to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lose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5.1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Accuracy Of Representations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5.2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Performance Of Obligations.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5.3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 Material Adverse Effect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5.4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 Restraints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6. C</w:t>
            </w:r>
            <w:r>
              <w:rPr>
                <w:rFonts w:ascii="Arial" w:cs="Arial" w:eastAsia="Arial" w:hAnsi="Arial"/>
                <w:sz w:val="13"/>
                <w:szCs w:val="13"/>
                <w:b w:val="1"/>
                <w:bCs w:val="1"/>
                <w:color w:val="auto"/>
              </w:rPr>
              <w:t>onditions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recedent to the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eller</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lose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6.1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Accuracy Of Representations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30" w:right="459" w:bottom="1440" w:gutter="0" w:footer="0" w:header="0"/>
        </w:sectPr>
      </w:pPr>
    </w:p>
    <w:bookmarkStart w:id="122" w:name="page123"/>
    <w:bookmarkEnd w:id="122"/>
    <w:p>
      <w:pPr>
        <w:ind w:left="-8" w:right="300" w:firstLine="8"/>
        <w:spacing w:after="0" w:line="293" w:lineRule="auto"/>
        <w:tabs>
          <w:tab w:leader="none" w:pos="344" w:val="left"/>
        </w:tabs>
        <w:numPr>
          <w:ilvl w:val="0"/>
          <w:numId w:val="7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172" w:lineRule="exact"/>
        <w:rPr>
          <w:sz w:val="20"/>
          <w:szCs w:val="20"/>
          <w:color w:val="auto"/>
        </w:rPr>
      </w:pPr>
    </w:p>
    <w:tbl>
      <w:tblPr>
        <w:tblLayout w:type="fixed"/>
        <w:tblInd w:w="12" w:type="dxa"/>
        <w:tblCellMar>
          <w:top w:w="0" w:type="dxa"/>
          <w:left w:w="0" w:type="dxa"/>
          <w:bottom w:w="0" w:type="dxa"/>
          <w:right w:w="0" w:type="dxa"/>
        </w:tblCellMar>
      </w:tblPr>
      <w:tr>
        <w:trPr>
          <w:trHeight w:val="235"/>
        </w:trPr>
        <w:tc>
          <w:tcPr>
            <w:tcW w:w="1020" w:type="dxa"/>
            <w:vAlign w:val="bottom"/>
          </w:tcPr>
          <w:p>
            <w:pPr>
              <w:spacing w:after="0"/>
              <w:rPr>
                <w:sz w:val="20"/>
                <w:szCs w:val="20"/>
                <w:color w:val="auto"/>
              </w:rPr>
            </w:pPr>
          </w:p>
        </w:tc>
        <w:tc>
          <w:tcPr>
            <w:tcW w:w="7660" w:type="dxa"/>
            <w:vAlign w:val="bottom"/>
          </w:tcPr>
          <w:p>
            <w:pPr>
              <w:ind w:left="3520"/>
              <w:spacing w:after="0"/>
              <w:rPr>
                <w:sz w:val="20"/>
                <w:szCs w:val="20"/>
                <w:color w:val="auto"/>
              </w:rPr>
            </w:pPr>
            <w:r>
              <w:rPr>
                <w:rFonts w:ascii="Arial" w:cs="Arial" w:eastAsia="Arial" w:hAnsi="Arial"/>
                <w:sz w:val="20"/>
                <w:szCs w:val="20"/>
                <w:b w:val="1"/>
                <w:bCs w:val="1"/>
                <w:color w:val="auto"/>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660" w:type="dxa"/>
            <w:vAlign w:val="bottom"/>
          </w:tcPr>
          <w:p>
            <w:pPr>
              <w:ind w:left="4120"/>
              <w:spacing w:after="0"/>
              <w:rPr>
                <w:sz w:val="20"/>
                <w:szCs w:val="20"/>
                <w:color w:val="auto"/>
              </w:rPr>
            </w:pPr>
            <w:r>
              <w:rPr>
                <w:rFonts w:ascii="Arial" w:cs="Arial" w:eastAsia="Arial" w:hAnsi="Arial"/>
                <w:sz w:val="20"/>
                <w:szCs w:val="20"/>
                <w:color w:val="auto"/>
              </w:rPr>
              <w:t>(continued)</w:t>
            </w:r>
          </w:p>
        </w:tc>
        <w:tc>
          <w:tcPr>
            <w:tcW w:w="24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6.2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The Purchaser’s Performance.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6.3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 Restraints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7. 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7.1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Termination Events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7.2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Termination Procedures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7.3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Effect Of Termination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7.4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Nonexclusivity Of Termination Rights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8. I</w:t>
            </w:r>
            <w:r>
              <w:rPr>
                <w:rFonts w:ascii="Arial" w:cs="Arial" w:eastAsia="Arial" w:hAnsi="Arial"/>
                <w:sz w:val="13"/>
                <w:szCs w:val="13"/>
                <w:b w:val="1"/>
                <w:bCs w:val="1"/>
                <w:color w:val="auto"/>
              </w:rPr>
              <w:t>ndemnification</w:t>
            </w:r>
            <w:r>
              <w:rPr>
                <w:rFonts w:ascii="Arial" w:cs="Arial" w:eastAsia="Arial" w:hAnsi="Arial"/>
                <w:sz w:val="20"/>
                <w:szCs w:val="20"/>
                <w:b w:val="1"/>
                <w:bCs w:val="1"/>
                <w:color w:val="auto"/>
              </w:rPr>
              <w:t>, E</w:t>
            </w:r>
            <w:r>
              <w:rPr>
                <w:rFonts w:ascii="Arial" w:cs="Arial" w:eastAsia="Arial" w:hAnsi="Arial"/>
                <w:sz w:val="13"/>
                <w:szCs w:val="13"/>
                <w:b w:val="1"/>
                <w:bCs w:val="1"/>
                <w:color w:val="auto"/>
              </w:rPr>
              <w:t>tc</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Survival of Representations, Warranties and Covenants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27</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Indemnification by the Seller</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Limitations on Indemnification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Indemnification by the Purchaser</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8.5</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Exclusivity of Indemnification Remedies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8.6</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Indemnification Procedures.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8.7</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Tax Treatment of Indemnification Payments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30</w:t>
            </w: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20"/>
                <w:szCs w:val="20"/>
                <w:b w:val="1"/>
                <w:bCs w:val="1"/>
                <w:color w:val="auto"/>
              </w:rPr>
              <w:t>9. A</w:t>
            </w:r>
            <w:r>
              <w:rPr>
                <w:rFonts w:ascii="Arial" w:cs="Arial" w:eastAsia="Arial" w:hAnsi="Arial"/>
                <w:sz w:val="13"/>
                <w:szCs w:val="13"/>
                <w:b w:val="1"/>
                <w:bCs w:val="1"/>
                <w:color w:val="auto"/>
              </w:rPr>
              <w:t>dditional</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30</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Further Assurances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30</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Publicity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Bulk Sales Requirements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Non-Transferable Contracts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9.5</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Non-Transferable Assets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9.6</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Non-Competition; Non-Solicitation.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32</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9.7</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General Release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33</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9.8</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Employees and Related Matters.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34</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rPr>
              <w:t>9.9</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Retention of and Access to Records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36</w:t>
            </w:r>
          </w:p>
        </w:tc>
        <w:tc>
          <w:tcPr>
            <w:tcW w:w="0" w:type="dxa"/>
            <w:vAlign w:val="bottom"/>
          </w:tcPr>
          <w:p>
            <w:pPr>
              <w:spacing w:after="0"/>
              <w:rPr>
                <w:sz w:val="1"/>
                <w:szCs w:val="1"/>
                <w:color w:val="auto"/>
              </w:rPr>
            </w:pPr>
          </w:p>
        </w:tc>
      </w:tr>
      <w:tr>
        <w:trPr>
          <w:trHeight w:val="364"/>
        </w:trPr>
        <w:tc>
          <w:tcPr>
            <w:tcW w:w="8680" w:type="dxa"/>
            <w:vAlign w:val="bottom"/>
            <w:gridSpan w:val="2"/>
          </w:tcPr>
          <w:p>
            <w:pPr>
              <w:ind w:left="640"/>
              <w:spacing w:after="0"/>
              <w:rPr>
                <w:sz w:val="20"/>
                <w:szCs w:val="20"/>
                <w:color w:val="auto"/>
              </w:rPr>
            </w:pPr>
            <w:r>
              <w:rPr>
                <w:rFonts w:ascii="Arial" w:cs="Arial" w:eastAsia="Arial" w:hAnsi="Arial"/>
                <w:sz w:val="20"/>
                <w:szCs w:val="20"/>
                <w:b w:val="1"/>
                <w:bCs w:val="1"/>
                <w:color w:val="auto"/>
              </w:rPr>
              <w:t>9.10 Trademarks; Trade Names; Service Marks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37</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9.11</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Tax Matters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38</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9.12</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Release of Guarantees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39</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9.13</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Delivery of Financial Statements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39</w:t>
            </w:r>
          </w:p>
        </w:tc>
        <w:tc>
          <w:tcPr>
            <w:tcW w:w="0" w:type="dxa"/>
            <w:vAlign w:val="bottom"/>
          </w:tcPr>
          <w:p>
            <w:pPr>
              <w:spacing w:after="0"/>
              <w:rPr>
                <w:sz w:val="1"/>
                <w:szCs w:val="1"/>
                <w:color w:val="auto"/>
              </w:rPr>
            </w:pPr>
          </w:p>
        </w:tc>
      </w:tr>
      <w:tr>
        <w:trPr>
          <w:trHeight w:val="364"/>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9.14</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Inventory and Open Purchase Orders.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39</w:t>
            </w:r>
          </w:p>
        </w:tc>
        <w:tc>
          <w:tcPr>
            <w:tcW w:w="0" w:type="dxa"/>
            <w:vAlign w:val="bottom"/>
          </w:tcPr>
          <w:p>
            <w:pPr>
              <w:spacing w:after="0"/>
              <w:rPr>
                <w:sz w:val="1"/>
                <w:szCs w:val="1"/>
                <w:color w:val="auto"/>
              </w:rPr>
            </w:pPr>
          </w:p>
        </w:tc>
      </w:tr>
      <w:tr>
        <w:trPr>
          <w:trHeight w:val="365"/>
        </w:trPr>
        <w:tc>
          <w:tcPr>
            <w:tcW w:w="1020" w:type="dxa"/>
            <w:vAlign w:val="bottom"/>
          </w:tcPr>
          <w:p>
            <w:pPr>
              <w:ind w:left="640"/>
              <w:spacing w:after="0"/>
              <w:rPr>
                <w:sz w:val="20"/>
                <w:szCs w:val="20"/>
                <w:color w:val="auto"/>
              </w:rPr>
            </w:pPr>
            <w:r>
              <w:rPr>
                <w:rFonts w:ascii="Arial" w:cs="Arial" w:eastAsia="Arial" w:hAnsi="Arial"/>
                <w:sz w:val="20"/>
                <w:szCs w:val="20"/>
                <w:b w:val="1"/>
                <w:bCs w:val="1"/>
                <w:color w:val="auto"/>
                <w:w w:val="92"/>
              </w:rPr>
              <w:t>9.15</w:t>
            </w:r>
          </w:p>
        </w:tc>
        <w:tc>
          <w:tcPr>
            <w:tcW w:w="7660" w:type="dxa"/>
            <w:vAlign w:val="bottom"/>
          </w:tcPr>
          <w:p>
            <w:pPr>
              <w:ind w:left="20"/>
              <w:spacing w:after="0"/>
              <w:rPr>
                <w:sz w:val="20"/>
                <w:szCs w:val="20"/>
                <w:color w:val="auto"/>
              </w:rPr>
            </w:pPr>
            <w:r>
              <w:rPr>
                <w:rFonts w:ascii="Arial" w:cs="Arial" w:eastAsia="Arial" w:hAnsi="Arial"/>
                <w:sz w:val="20"/>
                <w:szCs w:val="20"/>
                <w:b w:val="1"/>
                <w:bCs w:val="1"/>
                <w:color w:val="auto"/>
              </w:rPr>
              <w:t>Intellectual Property Recordations.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39</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30" w:right="459" w:bottom="1440" w:gutter="0" w:footer="0" w:header="0"/>
        </w:sectPr>
      </w:pPr>
    </w:p>
    <w:bookmarkStart w:id="123" w:name="page124"/>
    <w:bookmarkEnd w:id="123"/>
    <w:p>
      <w:pPr>
        <w:ind w:right="300" w:firstLine="8"/>
        <w:spacing w:after="0" w:line="293" w:lineRule="auto"/>
        <w:tabs>
          <w:tab w:leader="none" w:pos="352" w:val="left"/>
        </w:tabs>
        <w:numPr>
          <w:ilvl w:val="0"/>
          <w:numId w:val="7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80" w:type="dxa"/>
            <w:vAlign w:val="bottom"/>
          </w:tcPr>
          <w:p>
            <w:pPr>
              <w:spacing w:after="0"/>
              <w:rPr>
                <w:sz w:val="20"/>
                <w:szCs w:val="20"/>
                <w:color w:val="auto"/>
              </w:rPr>
            </w:pPr>
          </w:p>
        </w:tc>
        <w:tc>
          <w:tcPr>
            <w:tcW w:w="7420" w:type="dxa"/>
            <w:vAlign w:val="bottom"/>
          </w:tcPr>
          <w:p>
            <w:pPr>
              <w:ind w:left="3280"/>
              <w:spacing w:after="0"/>
              <w:rPr>
                <w:sz w:val="20"/>
                <w:szCs w:val="20"/>
                <w:color w:val="auto"/>
              </w:rPr>
            </w:pPr>
            <w:r>
              <w:rPr>
                <w:rFonts w:ascii="Arial" w:cs="Arial" w:eastAsia="Arial" w:hAnsi="Arial"/>
                <w:sz w:val="20"/>
                <w:szCs w:val="20"/>
                <w:b w:val="1"/>
                <w:bCs w:val="1"/>
                <w:color w:val="auto"/>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7420" w:type="dxa"/>
            <w:vAlign w:val="bottom"/>
          </w:tcPr>
          <w:p>
            <w:pPr>
              <w:ind w:left="3880"/>
              <w:spacing w:after="0"/>
              <w:rPr>
                <w:sz w:val="20"/>
                <w:szCs w:val="20"/>
                <w:color w:val="auto"/>
              </w:rPr>
            </w:pPr>
            <w:r>
              <w:rPr>
                <w:rFonts w:ascii="Arial" w:cs="Arial" w:eastAsia="Arial" w:hAnsi="Arial"/>
                <w:sz w:val="20"/>
                <w:szCs w:val="20"/>
                <w:color w:val="auto"/>
              </w:rPr>
              <w:t>(continued)</w:t>
            </w:r>
          </w:p>
        </w:tc>
        <w:tc>
          <w:tcPr>
            <w:tcW w:w="24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8700" w:type="dxa"/>
            <w:vAlign w:val="bottom"/>
            <w:gridSpan w:val="2"/>
          </w:tcPr>
          <w:p>
            <w:pPr>
              <w:ind w:left="20"/>
              <w:spacing w:after="0"/>
              <w:rPr>
                <w:sz w:val="20"/>
                <w:szCs w:val="20"/>
                <w:color w:val="auto"/>
              </w:rPr>
            </w:pPr>
            <w:r>
              <w:rPr>
                <w:rFonts w:ascii="Arial" w:cs="Arial" w:eastAsia="Arial" w:hAnsi="Arial"/>
                <w:sz w:val="20"/>
                <w:szCs w:val="20"/>
                <w:b w:val="1"/>
                <w:bCs w:val="1"/>
                <w:color w:val="auto"/>
              </w:rPr>
              <w:t>10. 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rovisions</w:t>
            </w:r>
            <w:r>
              <w:rPr>
                <w:rFonts w:ascii="Arial" w:cs="Arial" w:eastAsia="Arial" w:hAnsi="Arial"/>
                <w:sz w:val="20"/>
                <w:szCs w:val="20"/>
                <w:b w:val="1"/>
                <w:bCs w:val="1"/>
                <w:color w:val="auto"/>
              </w:rPr>
              <w: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40</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10.1 Fees and Expenses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40</w:t>
            </w:r>
          </w:p>
        </w:tc>
        <w:tc>
          <w:tcPr>
            <w:tcW w:w="0" w:type="dxa"/>
            <w:vAlign w:val="bottom"/>
          </w:tcPr>
          <w:p>
            <w:pPr>
              <w:spacing w:after="0"/>
              <w:rPr>
                <w:sz w:val="1"/>
                <w:szCs w:val="1"/>
                <w:color w:val="auto"/>
              </w:rPr>
            </w:pPr>
          </w:p>
        </w:tc>
      </w:tr>
      <w:tr>
        <w:trPr>
          <w:trHeight w:val="365"/>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10.2 Notices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40</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10.3 Time Of The Essence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10.4 Headings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365"/>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10.5 Counterparts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10.6 Governing Law; Venue.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365"/>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10.7 Successors And Assigns; Parties In Interest.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42</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10.8 Waiver.</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42</w:t>
            </w:r>
          </w:p>
        </w:tc>
        <w:tc>
          <w:tcPr>
            <w:tcW w:w="0" w:type="dxa"/>
            <w:vAlign w:val="bottom"/>
          </w:tcPr>
          <w:p>
            <w:pPr>
              <w:spacing w:after="0"/>
              <w:rPr>
                <w:sz w:val="1"/>
                <w:szCs w:val="1"/>
                <w:color w:val="auto"/>
              </w:rPr>
            </w:pPr>
          </w:p>
        </w:tc>
      </w:tr>
      <w:tr>
        <w:trPr>
          <w:trHeight w:val="364"/>
        </w:trPr>
        <w:tc>
          <w:tcPr>
            <w:tcW w:w="8700" w:type="dxa"/>
            <w:vAlign w:val="bottom"/>
            <w:gridSpan w:val="2"/>
          </w:tcPr>
          <w:p>
            <w:pPr>
              <w:ind w:left="660"/>
              <w:spacing w:after="0"/>
              <w:rPr>
                <w:sz w:val="20"/>
                <w:szCs w:val="20"/>
                <w:color w:val="auto"/>
              </w:rPr>
            </w:pPr>
            <w:r>
              <w:rPr>
                <w:rFonts w:ascii="Arial" w:cs="Arial" w:eastAsia="Arial" w:hAnsi="Arial"/>
                <w:sz w:val="20"/>
                <w:szCs w:val="20"/>
                <w:b w:val="1"/>
                <w:bCs w:val="1"/>
                <w:color w:val="auto"/>
              </w:rPr>
              <w:t>10.9 Enforcement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42</w:t>
            </w:r>
          </w:p>
        </w:tc>
        <w:tc>
          <w:tcPr>
            <w:tcW w:w="0" w:type="dxa"/>
            <w:vAlign w:val="bottom"/>
          </w:tcPr>
          <w:p>
            <w:pPr>
              <w:spacing w:after="0"/>
              <w:rPr>
                <w:sz w:val="1"/>
                <w:szCs w:val="1"/>
                <w:color w:val="auto"/>
              </w:rPr>
            </w:pPr>
          </w:p>
        </w:tc>
      </w:tr>
      <w:tr>
        <w:trPr>
          <w:trHeight w:val="365"/>
        </w:trPr>
        <w:tc>
          <w:tcPr>
            <w:tcW w:w="1280" w:type="dxa"/>
            <w:vAlign w:val="bottom"/>
          </w:tcPr>
          <w:p>
            <w:pPr>
              <w:ind w:left="660"/>
              <w:spacing w:after="0"/>
              <w:rPr>
                <w:sz w:val="20"/>
                <w:szCs w:val="20"/>
                <w:color w:val="auto"/>
              </w:rPr>
            </w:pPr>
            <w:r>
              <w:rPr>
                <w:rFonts w:ascii="Arial" w:cs="Arial" w:eastAsia="Arial" w:hAnsi="Arial"/>
                <w:sz w:val="20"/>
                <w:szCs w:val="20"/>
                <w:b w:val="1"/>
                <w:bCs w:val="1"/>
                <w:color w:val="auto"/>
              </w:rPr>
              <w:t>10.10</w:t>
            </w:r>
          </w:p>
        </w:tc>
        <w:tc>
          <w:tcPr>
            <w:tcW w:w="7420" w:type="dxa"/>
            <w:vAlign w:val="bottom"/>
          </w:tcPr>
          <w:p>
            <w:pPr>
              <w:ind w:left="180"/>
              <w:spacing w:after="0"/>
              <w:rPr>
                <w:sz w:val="20"/>
                <w:szCs w:val="20"/>
                <w:color w:val="auto"/>
              </w:rPr>
            </w:pPr>
            <w:r>
              <w:rPr>
                <w:rFonts w:ascii="Arial" w:cs="Arial" w:eastAsia="Arial" w:hAnsi="Arial"/>
                <w:sz w:val="20"/>
                <w:szCs w:val="20"/>
                <w:b w:val="1"/>
                <w:bCs w:val="1"/>
                <w:color w:val="auto"/>
              </w:rPr>
              <w:t>Amendments</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364"/>
        </w:trPr>
        <w:tc>
          <w:tcPr>
            <w:tcW w:w="1280" w:type="dxa"/>
            <w:vAlign w:val="bottom"/>
          </w:tcPr>
          <w:p>
            <w:pPr>
              <w:ind w:left="660"/>
              <w:spacing w:after="0"/>
              <w:rPr>
                <w:sz w:val="20"/>
                <w:szCs w:val="20"/>
                <w:color w:val="auto"/>
              </w:rPr>
            </w:pPr>
            <w:r>
              <w:rPr>
                <w:rFonts w:ascii="Arial" w:cs="Arial" w:eastAsia="Arial" w:hAnsi="Arial"/>
                <w:sz w:val="20"/>
                <w:szCs w:val="20"/>
                <w:b w:val="1"/>
                <w:bCs w:val="1"/>
                <w:color w:val="auto"/>
              </w:rPr>
              <w:t>10.11</w:t>
            </w:r>
          </w:p>
        </w:tc>
        <w:tc>
          <w:tcPr>
            <w:tcW w:w="7420" w:type="dxa"/>
            <w:vAlign w:val="bottom"/>
          </w:tcPr>
          <w:p>
            <w:pPr>
              <w:ind w:left="180"/>
              <w:spacing w:after="0"/>
              <w:rPr>
                <w:sz w:val="20"/>
                <w:szCs w:val="20"/>
                <w:color w:val="auto"/>
              </w:rPr>
            </w:pPr>
            <w:r>
              <w:rPr>
                <w:rFonts w:ascii="Arial" w:cs="Arial" w:eastAsia="Arial" w:hAnsi="Arial"/>
                <w:sz w:val="20"/>
                <w:szCs w:val="20"/>
                <w:b w:val="1"/>
                <w:bCs w:val="1"/>
                <w:color w:val="auto"/>
              </w:rPr>
              <w:t>Severability</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364"/>
        </w:trPr>
        <w:tc>
          <w:tcPr>
            <w:tcW w:w="1280" w:type="dxa"/>
            <w:vAlign w:val="bottom"/>
          </w:tcPr>
          <w:p>
            <w:pPr>
              <w:ind w:left="660"/>
              <w:spacing w:after="0"/>
              <w:rPr>
                <w:sz w:val="20"/>
                <w:szCs w:val="20"/>
                <w:color w:val="auto"/>
              </w:rPr>
            </w:pPr>
            <w:r>
              <w:rPr>
                <w:rFonts w:ascii="Arial" w:cs="Arial" w:eastAsia="Arial" w:hAnsi="Arial"/>
                <w:sz w:val="20"/>
                <w:szCs w:val="20"/>
                <w:b w:val="1"/>
                <w:bCs w:val="1"/>
                <w:color w:val="auto"/>
              </w:rPr>
              <w:t>10.12</w:t>
            </w:r>
          </w:p>
        </w:tc>
        <w:tc>
          <w:tcPr>
            <w:tcW w:w="7420" w:type="dxa"/>
            <w:vAlign w:val="bottom"/>
          </w:tcPr>
          <w:p>
            <w:pPr>
              <w:ind w:left="180"/>
              <w:spacing w:after="0"/>
              <w:rPr>
                <w:sz w:val="20"/>
                <w:szCs w:val="20"/>
                <w:color w:val="auto"/>
              </w:rPr>
            </w:pPr>
            <w:r>
              <w:rPr>
                <w:rFonts w:ascii="Arial" w:cs="Arial" w:eastAsia="Arial" w:hAnsi="Arial"/>
                <w:sz w:val="20"/>
                <w:szCs w:val="20"/>
                <w:b w:val="1"/>
                <w:bCs w:val="1"/>
                <w:color w:val="auto"/>
              </w:rPr>
              <w:t>Entire Agreement</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365"/>
        </w:trPr>
        <w:tc>
          <w:tcPr>
            <w:tcW w:w="1280" w:type="dxa"/>
            <w:vAlign w:val="bottom"/>
          </w:tcPr>
          <w:p>
            <w:pPr>
              <w:ind w:left="660"/>
              <w:spacing w:after="0"/>
              <w:rPr>
                <w:sz w:val="20"/>
                <w:szCs w:val="20"/>
                <w:color w:val="auto"/>
              </w:rPr>
            </w:pPr>
            <w:r>
              <w:rPr>
                <w:rFonts w:ascii="Arial" w:cs="Arial" w:eastAsia="Arial" w:hAnsi="Arial"/>
                <w:sz w:val="20"/>
                <w:szCs w:val="20"/>
                <w:b w:val="1"/>
                <w:bCs w:val="1"/>
                <w:color w:val="auto"/>
              </w:rPr>
              <w:t>10.13</w:t>
            </w:r>
          </w:p>
        </w:tc>
        <w:tc>
          <w:tcPr>
            <w:tcW w:w="7420" w:type="dxa"/>
            <w:vAlign w:val="bottom"/>
          </w:tcPr>
          <w:p>
            <w:pPr>
              <w:ind w:left="180"/>
              <w:spacing w:after="0"/>
              <w:rPr>
                <w:sz w:val="20"/>
                <w:szCs w:val="20"/>
                <w:color w:val="auto"/>
              </w:rPr>
            </w:pPr>
            <w:r>
              <w:rPr>
                <w:rFonts w:ascii="Arial" w:cs="Arial" w:eastAsia="Arial" w:hAnsi="Arial"/>
                <w:sz w:val="20"/>
                <w:szCs w:val="20"/>
                <w:b w:val="1"/>
                <w:bCs w:val="1"/>
                <w:color w:val="auto"/>
              </w:rPr>
              <w:t>Knowledge</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364"/>
        </w:trPr>
        <w:tc>
          <w:tcPr>
            <w:tcW w:w="1280" w:type="dxa"/>
            <w:vAlign w:val="bottom"/>
          </w:tcPr>
          <w:p>
            <w:pPr>
              <w:ind w:left="660"/>
              <w:spacing w:after="0"/>
              <w:rPr>
                <w:sz w:val="20"/>
                <w:szCs w:val="20"/>
                <w:color w:val="auto"/>
              </w:rPr>
            </w:pPr>
            <w:r>
              <w:rPr>
                <w:rFonts w:ascii="Arial" w:cs="Arial" w:eastAsia="Arial" w:hAnsi="Arial"/>
                <w:sz w:val="20"/>
                <w:szCs w:val="20"/>
                <w:b w:val="1"/>
                <w:bCs w:val="1"/>
                <w:color w:val="auto"/>
              </w:rPr>
              <w:t>10.14</w:t>
            </w:r>
          </w:p>
        </w:tc>
        <w:tc>
          <w:tcPr>
            <w:tcW w:w="7420" w:type="dxa"/>
            <w:vAlign w:val="bottom"/>
          </w:tcPr>
          <w:p>
            <w:pPr>
              <w:ind w:left="180"/>
              <w:spacing w:after="0"/>
              <w:rPr>
                <w:sz w:val="20"/>
                <w:szCs w:val="20"/>
                <w:color w:val="auto"/>
              </w:rPr>
            </w:pPr>
            <w:r>
              <w:rPr>
                <w:rFonts w:ascii="Arial" w:cs="Arial" w:eastAsia="Arial" w:hAnsi="Arial"/>
                <w:sz w:val="20"/>
                <w:szCs w:val="20"/>
                <w:b w:val="1"/>
                <w:bCs w:val="1"/>
                <w:color w:val="auto"/>
              </w:rPr>
              <w:t>Construction.</w:t>
            </w:r>
          </w:p>
        </w:tc>
        <w:tc>
          <w:tcPr>
            <w:tcW w:w="2420" w:type="dxa"/>
            <w:vAlign w:val="bottom"/>
          </w:tcPr>
          <w:p>
            <w:pPr>
              <w:jc w:val="right"/>
              <w:spacing w:after="0"/>
              <w:rPr>
                <w:sz w:val="20"/>
                <w:szCs w:val="20"/>
                <w:color w:val="auto"/>
              </w:rPr>
            </w:pPr>
            <w:r>
              <w:rPr>
                <w:rFonts w:ascii="Arial" w:cs="Arial" w:eastAsia="Arial" w:hAnsi="Arial"/>
                <w:sz w:val="20"/>
                <w:szCs w:val="20"/>
                <w:b w:val="1"/>
                <w:bCs w:val="1"/>
                <w:color w:val="auto"/>
              </w:rPr>
              <w:t>43</w:t>
            </w:r>
          </w:p>
        </w:tc>
        <w:tc>
          <w:tcPr>
            <w:tcW w:w="0" w:type="dxa"/>
            <w:vAlign w:val="bottom"/>
          </w:tcPr>
          <w:p>
            <w:pPr>
              <w:spacing w:after="0"/>
              <w:rPr>
                <w:sz w:val="1"/>
                <w:szCs w:val="1"/>
                <w:color w:val="auto"/>
              </w:rPr>
            </w:pPr>
          </w:p>
        </w:tc>
      </w:tr>
      <w:tr>
        <w:trPr>
          <w:trHeight w:val="797"/>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ertain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efinitions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ill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ale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ssumption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700" w:type="dxa"/>
            <w:vAlign w:val="bottom"/>
            <w:gridSpan w:val="2"/>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C-1  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atent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700" w:type="dxa"/>
            <w:vAlign w:val="bottom"/>
            <w:gridSpan w:val="2"/>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C-2  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rademark</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700" w:type="dxa"/>
            <w:vAlign w:val="bottom"/>
            <w:gridSpan w:val="2"/>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C-3  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opyright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D</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anufacturing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E</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orm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ransition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F</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ost</w:t>
            </w:r>
            <w:r>
              <w:rPr>
                <w:rFonts w:ascii="Arial" w:cs="Arial" w:eastAsia="Arial" w:hAnsi="Arial"/>
                <w:sz w:val="20"/>
                <w:szCs w:val="20"/>
                <w:b w:val="1"/>
                <w:bCs w:val="1"/>
                <w:color w:val="auto"/>
              </w:rPr>
              <w:t>-C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djustment</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echanics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G</w:t>
            </w:r>
          </w:p>
        </w:tc>
        <w:tc>
          <w:tcPr>
            <w:tcW w:w="7420" w:type="dxa"/>
            <w:vAlign w:val="bottom"/>
          </w:tcPr>
          <w:p>
            <w:pPr>
              <w:ind w:left="32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ntellectual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ecordations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24" w:name="page125"/>
    <w:bookmarkEnd w:id="124"/>
    <w:p>
      <w:pPr>
        <w:ind w:right="420" w:firstLine="8"/>
        <w:spacing w:after="0" w:line="293" w:lineRule="auto"/>
        <w:tabs>
          <w:tab w:leader="none" w:pos="352" w:val="left"/>
        </w:tabs>
        <w:numPr>
          <w:ilvl w:val="0"/>
          <w:numId w:val="7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ASSET PURCHASE AGREEMENT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sset</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February 13, 2023, by and among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ytek</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Purchaser</w:t>
      </w:r>
      <w:r>
        <w:rPr>
          <w:rFonts w:ascii="Arial" w:cs="Arial" w:eastAsia="Arial" w:hAnsi="Arial"/>
          <w:sz w:val="20"/>
          <w:szCs w:val="20"/>
          <w:color w:val="auto"/>
        </w:rPr>
        <w:t>”), and</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uminex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Seller</w:t>
      </w:r>
      <w:r>
        <w:rPr>
          <w:rFonts w:ascii="Arial" w:cs="Arial" w:eastAsia="Arial" w:hAnsi="Arial"/>
          <w:sz w:val="20"/>
          <w:szCs w:val="20"/>
          <w:color w:val="auto"/>
        </w:rPr>
        <w:t>”). Certain capitalized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terms used in this Agreement are defined in </w:t>
      </w: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20"/>
          <w:szCs w:val="20"/>
          <w:color w:val="auto"/>
        </w:rPr>
        <w:t>. The Purchaser and the Seller are referred to in this Agreement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 and individually as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83"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2"/>
          <w:szCs w:val="12"/>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the Seller wishes to provide for the sale of the Business and Purchased Assets (as defined below) to the Purchaser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assumption of the Assumed Liabilities (as defined below) by the Purchaser on the terms set forth in this Agreement;</w:t>
      </w:r>
    </w:p>
    <w:p>
      <w:pPr>
        <w:spacing w:after="0" w:line="14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 wishes to purchase the Business and Purchased Assets from the Seller and Seller Affiliates and assume the</w:t>
      </w:r>
      <w:r>
        <w:rPr>
          <w:rFonts w:ascii="Arial" w:cs="Arial" w:eastAsia="Arial" w:hAnsi="Arial"/>
          <w:sz w:val="20"/>
          <w:szCs w:val="20"/>
          <w:b w:val="1"/>
          <w:bCs w:val="1"/>
          <w:color w:val="auto"/>
        </w:rPr>
        <w:t xml:space="preserve"> </w:t>
      </w:r>
      <w:r>
        <w:rPr>
          <w:rFonts w:ascii="Arial" w:cs="Arial" w:eastAsia="Arial" w:hAnsi="Arial"/>
          <w:sz w:val="20"/>
          <w:szCs w:val="20"/>
          <w:color w:val="auto"/>
        </w:rPr>
        <w:t>Assumed Liabilities on the terms set forth in this Agreement;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has been approved by the respective boards of directors of the Seller and the Purchaser; and</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premises and mutual covenants, agreements and provisions herein contained,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agree as follows:</w:t>
      </w:r>
    </w:p>
    <w:p>
      <w:pPr>
        <w:spacing w:after="0" w:line="163"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urchase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ale</w:t>
      </w:r>
      <w:r>
        <w:rPr>
          <w:rFonts w:ascii="Arial" w:cs="Arial" w:eastAsia="Arial" w:hAnsi="Arial"/>
          <w:sz w:val="20"/>
          <w:szCs w:val="20"/>
          <w:b w:val="1"/>
          <w:bCs w:val="1"/>
          <w:color w:val="auto"/>
        </w:rPr>
        <w:t>; 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 xml:space="preserve">1.1 Purchase and Sale of Business and Purchased Assets. </w:t>
      </w:r>
      <w:r>
        <w:rPr>
          <w:rFonts w:ascii="Arial" w:cs="Arial" w:eastAsia="Arial" w:hAnsi="Arial"/>
          <w:sz w:val="18"/>
          <w:szCs w:val="18"/>
          <w:color w:val="auto"/>
        </w:rPr>
        <w:t>At the Closing (as defined below), the Seller shall (and shall cause</w:t>
      </w:r>
      <w:r>
        <w:rPr>
          <w:rFonts w:ascii="Arial" w:cs="Arial" w:eastAsia="Arial" w:hAnsi="Arial"/>
          <w:sz w:val="18"/>
          <w:szCs w:val="18"/>
          <w:b w:val="1"/>
          <w:bCs w:val="1"/>
          <w:color w:val="auto"/>
        </w:rPr>
        <w:t xml:space="preserve"> </w:t>
      </w:r>
      <w:r>
        <w:rPr>
          <w:rFonts w:ascii="Arial" w:cs="Arial" w:eastAsia="Arial" w:hAnsi="Arial"/>
          <w:sz w:val="18"/>
          <w:szCs w:val="18"/>
          <w:color w:val="auto"/>
        </w:rPr>
        <w:t>each Seller Affiliate that owns or holds any of the Purchased Assets to) sell, assign, transfer, convey and deliver to the Purchaser (or to any Purchaser Affiliate designated by the Purchaser) all right, title and interest held by the Seller (and each applicable Seller Affiliate) in and to the Purchased Assets (as defined below), free of any Encumbrances, other than Permitted Encumbrances, on the terms and subject to the conditions set forth in this Agreement. For purposes of this Agreement, “</w:t>
      </w:r>
      <w:r>
        <w:rPr>
          <w:rFonts w:ascii="Arial" w:cs="Arial" w:eastAsia="Arial" w:hAnsi="Arial"/>
          <w:sz w:val="18"/>
          <w:szCs w:val="18"/>
          <w:b w:val="1"/>
          <w:bCs w:val="1"/>
          <w:color w:val="auto"/>
        </w:rPr>
        <w:t>Purchased Assets</w:t>
      </w:r>
      <w:r>
        <w:rPr>
          <w:rFonts w:ascii="Arial" w:cs="Arial" w:eastAsia="Arial" w:hAnsi="Arial"/>
          <w:sz w:val="18"/>
          <w:szCs w:val="18"/>
          <w:color w:val="auto"/>
        </w:rPr>
        <w:t>” shall mean, other than the Excluded Assets:</w:t>
      </w:r>
    </w:p>
    <w:p>
      <w:pPr>
        <w:spacing w:after="0" w:line="162" w:lineRule="exact"/>
        <w:rPr>
          <w:sz w:val="20"/>
          <w:szCs w:val="20"/>
          <w:color w:val="auto"/>
        </w:rPr>
      </w:pPr>
    </w:p>
    <w:p>
      <w:pPr>
        <w:jc w:val="both"/>
        <w:ind w:firstLine="1505"/>
        <w:spacing w:after="0" w:line="246" w:lineRule="auto"/>
        <w:tabs>
          <w:tab w:leader="none" w:pos="1907"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all of the properties, assets, goodwill, privileges, contracts, claims, rights, title, interests, business, other assets of every kind, nature and description, real, personal or mixed, and tangible and intangible assets (wherever located and whether or not required to be reflected on a balance sheet prepared in accordance with GAAP) which primarily relate to, are primarily used by or primarily held for use by the Seller and each Seller Affiliate in connection with the Business;</w:t>
      </w:r>
    </w:p>
    <w:p>
      <w:pPr>
        <w:spacing w:after="0" w:line="191" w:lineRule="exact"/>
        <w:rPr>
          <w:rFonts w:ascii="Arial" w:cs="Arial" w:eastAsia="Arial" w:hAnsi="Arial"/>
          <w:sz w:val="20"/>
          <w:szCs w:val="20"/>
          <w:b w:val="1"/>
          <w:bCs w:val="1"/>
          <w:color w:val="auto"/>
        </w:rPr>
      </w:pPr>
    </w:p>
    <w:p>
      <w:pPr>
        <w:ind w:right="20" w:firstLine="1505"/>
        <w:spacing w:after="0" w:line="260" w:lineRule="auto"/>
        <w:tabs>
          <w:tab w:leader="none" w:pos="1893"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the Product IP, including the Product IP listed on Part 1.1(b)of the Disclosure Schedule, and goodwill associated with the Marks included in the Product IP;</w:t>
      </w:r>
    </w:p>
    <w:p>
      <w:pPr>
        <w:spacing w:after="0" w:line="176" w:lineRule="exact"/>
        <w:rPr>
          <w:rFonts w:ascii="Arial" w:cs="Arial" w:eastAsia="Arial" w:hAnsi="Arial"/>
          <w:sz w:val="20"/>
          <w:szCs w:val="20"/>
          <w:b w:val="1"/>
          <w:bCs w:val="1"/>
          <w:color w:val="auto"/>
        </w:rPr>
      </w:pPr>
    </w:p>
    <w:p>
      <w:pPr>
        <w:ind w:left="1900" w:hanging="395"/>
        <w:spacing w:after="0"/>
        <w:tabs>
          <w:tab w:leader="none" w:pos="190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all Products and Inventory;</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Transferred Technology;</w:t>
      </w:r>
    </w:p>
    <w:p>
      <w:pPr>
        <w:spacing w:after="0" w:line="215" w:lineRule="exact"/>
        <w:rPr>
          <w:rFonts w:ascii="Arial" w:cs="Arial" w:eastAsia="Arial" w:hAnsi="Arial"/>
          <w:sz w:val="20"/>
          <w:szCs w:val="20"/>
          <w:b w:val="1"/>
          <w:bCs w:val="1"/>
          <w:color w:val="auto"/>
        </w:rPr>
      </w:pPr>
    </w:p>
    <w:p>
      <w:pPr>
        <w:ind w:firstLine="1505"/>
        <w:spacing w:after="0" w:line="287" w:lineRule="auto"/>
        <w:tabs>
          <w:tab w:leader="none" w:pos="1893"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except for Excluded Contracts, all Contracts (other than the Lease) primarily related to, or otherwise necessary for the operation of, the Business or the use of the Purchased Assets, and all rights related thereto (the “</w:t>
      </w:r>
      <w:r>
        <w:rPr>
          <w:rFonts w:ascii="Arial" w:cs="Arial" w:eastAsia="Arial" w:hAnsi="Arial"/>
          <w:sz w:val="19"/>
          <w:szCs w:val="19"/>
          <w:b w:val="1"/>
          <w:bCs w:val="1"/>
          <w:color w:val="auto"/>
        </w:rPr>
        <w:t>Seller Contracts</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auto"/>
        </w:rPr>
      </w:pPr>
    </w:p>
    <w:p>
      <w:pPr>
        <w:ind w:firstLine="1505"/>
        <w:spacing w:after="0" w:line="287" w:lineRule="auto"/>
        <w:tabs>
          <w:tab w:leader="none" w:pos="1893"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to the extent transferable, all Governmental Authorizations primarily related to or necessary for the operation of the Business or use of the Purchased Assets, including all Governmental Authorizations related to the Seattle Facility;</w:t>
      </w:r>
    </w:p>
    <w:p>
      <w:pPr>
        <w:spacing w:after="0" w:line="15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ind w:right="420" w:firstLine="8"/>
        <w:spacing w:after="0" w:line="293" w:lineRule="auto"/>
        <w:tabs>
          <w:tab w:leader="none" w:pos="352" w:val="left"/>
        </w:tabs>
        <w:numPr>
          <w:ilvl w:val="0"/>
          <w:numId w:val="82"/>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ind w:left="1900" w:hanging="395"/>
        <w:spacing w:after="0"/>
        <w:tabs>
          <w:tab w:leader="none" w:pos="190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Patent Files;</w:t>
      </w:r>
    </w:p>
    <w:p>
      <w:pPr>
        <w:spacing w:after="0" w:line="215" w:lineRule="exact"/>
        <w:rPr>
          <w:rFonts w:ascii="Arial" w:cs="Arial" w:eastAsia="Arial" w:hAnsi="Arial"/>
          <w:sz w:val="20"/>
          <w:szCs w:val="20"/>
          <w:b w:val="1"/>
          <w:bCs w:val="1"/>
          <w:color w:val="auto"/>
        </w:rPr>
      </w:pPr>
    </w:p>
    <w:p>
      <w:pPr>
        <w:jc w:val="both"/>
        <w:ind w:firstLine="1505"/>
        <w:spacing w:after="0" w:line="244" w:lineRule="auto"/>
        <w:tabs>
          <w:tab w:leader="none" w:pos="1893"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of the rights (excluding Intellectual Property) to the fixed and other tangible personal property, whether owned or leased by the Seller or any Seller Affiliate, including materials, prototypes, tools, subassemblies, owned or leased equipment, machinery, dies, molds, parts, supplies, furniture, fixtures, improvements and other tangible assets, in each case, that primarily relate to, or that are primarily used by or primarily held for use by the Seller or any Seller Affiliate in connection with the Business or the Purchased Assets (collectively, the “</w:t>
      </w:r>
      <w:r>
        <w:rPr>
          <w:rFonts w:ascii="Arial" w:cs="Arial" w:eastAsia="Arial" w:hAnsi="Arial"/>
          <w:sz w:val="20"/>
          <w:szCs w:val="20"/>
          <w:b w:val="1"/>
          <w:bCs w:val="1"/>
          <w:color w:val="auto"/>
        </w:rPr>
        <w:t>Equipment</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firstLine="1505"/>
        <w:spacing w:after="0" w:line="282" w:lineRule="auto"/>
        <w:tabs>
          <w:tab w:leader="none" w:pos="1893"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all causes of action (regardless of whether or not such claims and causes of action have been asserted by the Seller), lawsuits, judgments, claims and demands of any nature available to or being pursued by the Seller or any Seller Affiliate to the extent related to (i) the Purchased Assets, (ii) the Assumed Liabilities or (iii) the ownership, use, function or value of any of the Purchased Assets, whether arising by way of counterclaim or otherwise, whether choate or inchoate, known or unknown, contingent or noncontingent;</w:t>
      </w:r>
    </w:p>
    <w:p>
      <w:pPr>
        <w:spacing w:after="0" w:line="161" w:lineRule="exact"/>
        <w:rPr>
          <w:rFonts w:ascii="Arial" w:cs="Arial" w:eastAsia="Arial" w:hAnsi="Arial"/>
          <w:sz w:val="18"/>
          <w:szCs w:val="18"/>
          <w:b w:val="1"/>
          <w:bCs w:val="1"/>
          <w:color w:val="auto"/>
        </w:rPr>
      </w:pPr>
    </w:p>
    <w:p>
      <w:pPr>
        <w:jc w:val="both"/>
        <w:ind w:firstLine="1505"/>
        <w:spacing w:after="0" w:line="250" w:lineRule="auto"/>
        <w:tabs>
          <w:tab w:leader="none" w:pos="1907"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credits, prepaid expenses, deferred charges, advance payments, prepaid items, duties and right to offset to the extent relating to (i) the Purchased Assets, (ii) the Assumed Liabilities or (iii) the ownership, use, function or value of any of the Purchased Assets;</w:t>
      </w:r>
    </w:p>
    <w:p>
      <w:pPr>
        <w:spacing w:after="0" w:line="18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Books and Records;</w:t>
      </w:r>
    </w:p>
    <w:p>
      <w:pPr>
        <w:spacing w:after="0" w:line="215" w:lineRule="exact"/>
        <w:rPr>
          <w:rFonts w:ascii="Arial" w:cs="Arial" w:eastAsia="Arial" w:hAnsi="Arial"/>
          <w:sz w:val="20"/>
          <w:szCs w:val="20"/>
          <w:b w:val="1"/>
          <w:bCs w:val="1"/>
          <w:color w:val="auto"/>
        </w:rPr>
      </w:pPr>
    </w:p>
    <w:p>
      <w:pPr>
        <w:ind w:firstLine="1505"/>
        <w:spacing w:after="0" w:line="287" w:lineRule="auto"/>
        <w:tabs>
          <w:tab w:leader="none" w:pos="1893" w:val="left"/>
        </w:tabs>
        <w:numPr>
          <w:ilvl w:val="1"/>
          <w:numId w:val="82"/>
        </w:numPr>
        <w:rPr>
          <w:rFonts w:ascii="Arial" w:cs="Arial" w:eastAsia="Arial" w:hAnsi="Arial"/>
          <w:sz w:val="19"/>
          <w:szCs w:val="19"/>
          <w:b w:val="1"/>
          <w:bCs w:val="1"/>
          <w:color w:val="auto"/>
        </w:rPr>
      </w:pPr>
      <w:r>
        <w:rPr>
          <w:rFonts w:ascii="Arial" w:cs="Arial" w:eastAsia="Arial" w:hAnsi="Arial"/>
          <w:sz w:val="19"/>
          <w:szCs w:val="19"/>
          <w:color w:val="auto"/>
        </w:rPr>
        <w:t>all marketing and sales materials, advertising materials, catalogues and sales brochures to the extent relating to (i) the Purchased Assets, (ii) the Assumed Liabilities or (iii) the ownership, use, function or value of any of the Purchased Assets;</w:t>
      </w:r>
    </w:p>
    <w:p>
      <w:pPr>
        <w:spacing w:after="0" w:line="152" w:lineRule="exact"/>
        <w:rPr>
          <w:rFonts w:ascii="Arial" w:cs="Arial" w:eastAsia="Arial" w:hAnsi="Arial"/>
          <w:sz w:val="19"/>
          <w:szCs w:val="19"/>
          <w:b w:val="1"/>
          <w:bCs w:val="1"/>
          <w:color w:val="auto"/>
        </w:rPr>
      </w:pPr>
    </w:p>
    <w:p>
      <w:pPr>
        <w:jc w:val="both"/>
        <w:ind w:firstLine="1505"/>
        <w:spacing w:after="0" w:line="250" w:lineRule="auto"/>
        <w:tabs>
          <w:tab w:leader="none" w:pos="1907"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guaranties, warranties, indemnities, rights of contribution, rights to refunds, rights of reimbursement, rights of recovery and similar rights in favor of the Seller or any Seller Affiliate to the extent relating to (i) the Purchased Assets, (ii) the Assumed Liabilities or (iii) the ownership, use, function or value of any of the Purchased Assets;</w:t>
      </w:r>
    </w:p>
    <w:p>
      <w:pPr>
        <w:spacing w:after="0" w:line="185" w:lineRule="exact"/>
        <w:rPr>
          <w:rFonts w:ascii="Arial" w:cs="Arial" w:eastAsia="Arial" w:hAnsi="Arial"/>
          <w:sz w:val="20"/>
          <w:szCs w:val="20"/>
          <w:b w:val="1"/>
          <w:bCs w:val="1"/>
          <w:color w:val="auto"/>
        </w:rPr>
      </w:pPr>
    </w:p>
    <w:p>
      <w:pPr>
        <w:ind w:left="1920" w:hanging="415"/>
        <w:spacing w:after="0"/>
        <w:tabs>
          <w:tab w:leader="none" w:pos="1920"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all accreditations and certifications held by the Seller in connection with its ownership and use of the Purchased</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Assets;</w:t>
      </w:r>
    </w:p>
    <w:p>
      <w:pPr>
        <w:spacing w:after="0" w:line="199" w:lineRule="exact"/>
        <w:rPr>
          <w:rFonts w:ascii="Arial" w:cs="Arial" w:eastAsia="Arial" w:hAnsi="Arial"/>
          <w:sz w:val="18"/>
          <w:szCs w:val="18"/>
          <w:b w:val="1"/>
          <w:bCs w:val="1"/>
          <w:color w:val="auto"/>
        </w:rPr>
      </w:pPr>
    </w:p>
    <w:p>
      <w:pPr>
        <w:ind w:left="1900" w:hanging="395"/>
        <w:spacing w:after="0"/>
        <w:tabs>
          <w:tab w:leader="none" w:pos="190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tangible assets or Equipment at the Seattle Facility;</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the Leases; and</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all other assets or rights listed on Part 1.1(q) of the Disclosure Schedule.</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the foregoing, the Inventory that is necessary to perform the services under the Manufacturing and Supply Agreement, other than Service Parts, shall not be sold, assigned, transferred or conveyed to the Purchaser at the Closing and will instead remain with and under the control of the Seller and the Seller Affiliates until the expiration or termination of the Manufacturing and Supply Agreement in accordance with the terms thereof, at which point such Inventory shall be sold, assigned, transferred and conveyed to the Purchaser. For the avoidance of doubt, all Service Parts that are held at any location or facility of the Seller or any of the Seller Affiliates or third party suppliers or in transit to the Seller or any of the Seller Affiliates as of the Closing Date will be sold, assigned, transferred, conveyed and delivered to the Purchaser at the Closing.</w:t>
      </w:r>
    </w:p>
    <w:p>
      <w:pPr>
        <w:spacing w:after="0" w:line="6"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ind w:right="420" w:firstLine="8"/>
        <w:spacing w:after="0" w:line="293" w:lineRule="auto"/>
        <w:tabs>
          <w:tab w:leader="none" w:pos="352" w:val="left"/>
        </w:tabs>
        <w:numPr>
          <w:ilvl w:val="0"/>
          <w:numId w:val="8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firstLine="749"/>
        <w:spacing w:after="0" w:line="293" w:lineRule="auto"/>
        <w:rPr>
          <w:sz w:val="20"/>
          <w:szCs w:val="20"/>
          <w:color w:val="auto"/>
        </w:rPr>
      </w:pPr>
      <w:r>
        <w:rPr>
          <w:rFonts w:ascii="Arial" w:cs="Arial" w:eastAsia="Arial" w:hAnsi="Arial"/>
          <w:sz w:val="19"/>
          <w:szCs w:val="19"/>
          <w:b w:val="1"/>
          <w:bCs w:val="1"/>
          <w:color w:val="auto"/>
        </w:rPr>
        <w:t xml:space="preserve">1.2 Excluded Assets. </w:t>
      </w:r>
      <w:r>
        <w:rPr>
          <w:rFonts w:ascii="Arial" w:cs="Arial" w:eastAsia="Arial" w:hAnsi="Arial"/>
          <w:sz w:val="19"/>
          <w:szCs w:val="19"/>
          <w:color w:val="auto"/>
        </w:rPr>
        <w:t>Notwithstanding anything to the contrary contained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or elsewhere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(collectively, the “</w:t>
      </w:r>
      <w:r>
        <w:rPr>
          <w:rFonts w:ascii="Arial" w:cs="Arial" w:eastAsia="Arial" w:hAnsi="Arial"/>
          <w:sz w:val="19"/>
          <w:szCs w:val="19"/>
          <w:b w:val="1"/>
          <w:bCs w:val="1"/>
          <w:color w:val="auto"/>
        </w:rPr>
        <w:t>Excluded Assets</w:t>
      </w:r>
      <w:r>
        <w:rPr>
          <w:rFonts w:ascii="Arial" w:cs="Arial" w:eastAsia="Arial" w:hAnsi="Arial"/>
          <w:sz w:val="19"/>
          <w:szCs w:val="19"/>
          <w:color w:val="auto"/>
        </w:rPr>
        <w:t>”) shall not be part of the sale and purchase contemplated hereunder:</w:t>
      </w:r>
    </w:p>
    <w:p>
      <w:pPr>
        <w:spacing w:after="0" w:line="148" w:lineRule="exact"/>
        <w:rPr>
          <w:sz w:val="20"/>
          <w:szCs w:val="20"/>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 xml:space="preserve">All assets not set forth or described in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right="20" w:firstLine="1505"/>
        <w:spacing w:after="0" w:line="260" w:lineRule="auto"/>
        <w:tabs>
          <w:tab w:leader="none" w:pos="1934"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Intellectual Property and Technology of the Seller or any Seller Affiliate other than the Product IP and Transferred Technology;</w:t>
      </w:r>
    </w:p>
    <w:p>
      <w:pPr>
        <w:spacing w:after="0" w:line="176"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rights of the Seller under this Agreement and the other Transactional Agreements;</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Excluded Contracts;</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4"/>
        </w:numPr>
        <w:rPr>
          <w:rFonts w:ascii="Arial" w:cs="Arial" w:eastAsia="Arial" w:hAnsi="Arial"/>
          <w:sz w:val="16"/>
          <w:szCs w:val="16"/>
          <w:b w:val="1"/>
          <w:bCs w:val="1"/>
          <w:color w:val="auto"/>
        </w:rPr>
      </w:pPr>
      <w:r>
        <w:rPr>
          <w:rFonts w:ascii="Arial" w:cs="Arial" w:eastAsia="Arial" w:hAnsi="Arial"/>
          <w:sz w:val="16"/>
          <w:szCs w:val="16"/>
          <w:color w:val="auto"/>
        </w:rPr>
        <w:t>All minute books and corporate seals, stock books, Tax Returns and similar records of the Seller other than the Books</w:t>
      </w:r>
    </w:p>
    <w:p>
      <w:pPr>
        <w:spacing w:after="0" w:line="6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and Records;</w:t>
      </w:r>
    </w:p>
    <w:p>
      <w:pPr>
        <w:spacing w:after="0" w:line="199" w:lineRule="exact"/>
        <w:rPr>
          <w:rFonts w:ascii="Arial" w:cs="Arial" w:eastAsia="Arial" w:hAnsi="Arial"/>
          <w:sz w:val="16"/>
          <w:szCs w:val="16"/>
          <w:b w:val="1"/>
          <w:bCs w:val="1"/>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assets of any employee benefit plan of the Seller or any Seller Affiliate;</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insurance policies of the Seller or any Seller Affiliate or any claims under any such insurance policies;</w:t>
      </w:r>
    </w:p>
    <w:p>
      <w:pPr>
        <w:spacing w:after="0" w:line="215" w:lineRule="exact"/>
        <w:rPr>
          <w:rFonts w:ascii="Arial" w:cs="Arial" w:eastAsia="Arial" w:hAnsi="Arial"/>
          <w:sz w:val="20"/>
          <w:szCs w:val="20"/>
          <w:b w:val="1"/>
          <w:bCs w:val="1"/>
          <w:color w:val="auto"/>
        </w:rPr>
      </w:pPr>
    </w:p>
    <w:p>
      <w:pPr>
        <w:ind w:firstLine="1505"/>
        <w:spacing w:after="0" w:line="260" w:lineRule="auto"/>
        <w:tabs>
          <w:tab w:leader="none" w:pos="1907"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cash, cash equivalents, accounts receivable, short term investments, marketable securities and security or other deposits of the Seller or any Seller Affiliate;</w:t>
      </w:r>
    </w:p>
    <w:p>
      <w:pPr>
        <w:spacing w:after="0" w:line="176" w:lineRule="exact"/>
        <w:rPr>
          <w:rFonts w:ascii="Arial" w:cs="Arial" w:eastAsia="Arial" w:hAnsi="Arial"/>
          <w:sz w:val="20"/>
          <w:szCs w:val="20"/>
          <w:b w:val="1"/>
          <w:bCs w:val="1"/>
          <w:color w:val="auto"/>
        </w:rPr>
      </w:pPr>
    </w:p>
    <w:p>
      <w:pPr>
        <w:ind w:left="1900" w:hanging="395"/>
        <w:spacing w:after="0"/>
        <w:tabs>
          <w:tab w:leader="none" w:pos="190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assets in Russia; and</w:t>
      </w:r>
    </w:p>
    <w:p>
      <w:pPr>
        <w:spacing w:after="0" w:line="215" w:lineRule="exact"/>
        <w:rPr>
          <w:rFonts w:ascii="Arial" w:cs="Arial" w:eastAsia="Arial" w:hAnsi="Arial"/>
          <w:sz w:val="20"/>
          <w:szCs w:val="20"/>
          <w:b w:val="1"/>
          <w:bCs w:val="1"/>
          <w:color w:val="auto"/>
        </w:rPr>
      </w:pPr>
    </w:p>
    <w:p>
      <w:pPr>
        <w:jc w:val="both"/>
        <w:ind w:firstLine="1505"/>
        <w:spacing w:after="0" w:line="275" w:lineRule="auto"/>
        <w:tabs>
          <w:tab w:leader="none" w:pos="192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Any Tax prepayment, refund, offset or other similar Tax asset of the Seller or any Seller Affiliate (i) arising or resulting from or in connection with the ownership of the Purchased Assets or operation of the Business in any Pre-Closing Tax Period; or</w:t>
      </w:r>
    </w:p>
    <w:p>
      <w:pPr>
        <w:ind w:left="300" w:hanging="292"/>
        <w:spacing w:after="0"/>
        <w:tabs>
          <w:tab w:leader="none" w:pos="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with regard to the other assets of the Seller for all taxable periods.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1.3  Assumption of Assumed Liabilities.</w:t>
      </w:r>
    </w:p>
    <w:p>
      <w:pPr>
        <w:spacing w:after="0" w:line="216" w:lineRule="exact"/>
        <w:rPr>
          <w:sz w:val="20"/>
          <w:szCs w:val="20"/>
          <w:color w:val="auto"/>
        </w:rPr>
      </w:pPr>
    </w:p>
    <w:p>
      <w:pPr>
        <w:jc w:val="both"/>
        <w:ind w:firstLine="1505"/>
        <w:spacing w:after="0" w:line="270" w:lineRule="auto"/>
        <w:tabs>
          <w:tab w:leader="none" w:pos="1893"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Excluded Liabilities.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1.3(b)</w:t>
      </w:r>
      <w:r>
        <w:rPr>
          <w:rFonts w:ascii="Arial" w:cs="Arial" w:eastAsia="Arial" w:hAnsi="Arial"/>
          <w:sz w:val="18"/>
          <w:szCs w:val="18"/>
          <w:color w:val="auto"/>
        </w:rPr>
        <w:t>, the Purchaser shall not assume, and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liability for, any Liabilities of the Seller or any Seller Affiliate of any kind, character or description, whether accrued, absolute, contingent or otherwise, it being understood that the Purchaser is expressly disclaiming any express or implied assumption of any Liabilities other than the Assumed Liabilities, including (i) any accounts payable, (ii) Liabilities of the Seller or any Seller Affiliate of any kind, character or description, whether accrued, absolute, contingent or otherwise to the extent relating to or arising out of the operation or conduct of the Business or the ownership of the Purchased Assets prior to the Closing (other than those Liabilities specified in </w:t>
      </w:r>
      <w:r>
        <w:rPr>
          <w:rFonts w:ascii="Arial" w:cs="Arial" w:eastAsia="Arial" w:hAnsi="Arial"/>
          <w:sz w:val="18"/>
          <w:szCs w:val="18"/>
          <w:u w:val="single" w:color="auto"/>
          <w:color w:val="auto"/>
        </w:rPr>
        <w:t>Section 1.3(b)(v)</w:t>
      </w:r>
      <w:r>
        <w:rPr>
          <w:rFonts w:ascii="Arial" w:cs="Arial" w:eastAsia="Arial" w:hAnsi="Arial"/>
          <w:sz w:val="18"/>
          <w:szCs w:val="18"/>
          <w:color w:val="auto"/>
        </w:rPr>
        <w:t xml:space="preserve">); (iii) any Liability of the Seller and any claims by any stockholder of the Seller arising out of or relating to the execution, delivery or performance of the Transactional Agreements, (iv) any Liability of the Seller or any Seller Affiliate to the extent relating to or arising out of the Excluded Assets, including the Excluded Contracts, except Liabilities related to the Business Portion of any Shared Contract but only in the event they are assumed by Purchaser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(v) any Excluded Taxes, (vi) the Seller Severance Liabilities, (vii) any Liabilities relating to the Non-Designated Employees, whether arising before, on or after Closing, (viii) any Liabilities relating to the Transferred Employees, including all wages, accrued bonuses, retention amounts, salaries and other compensation and employee benefits (including any severance pay, notice pay, insurance, supplemental pension, deferred compensation, “stay” or other similar incentive bonuses, change-in-control bonuses (or other bonuses or compensation related in any way to the execution, delivery or performance of</w:t>
      </w:r>
    </w:p>
    <w:p>
      <w:pPr>
        <w:spacing w:after="0" w:line="175"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7" w:name="page128"/>
    <w:bookmarkEnd w:id="127"/>
    <w:p>
      <w:pPr>
        <w:ind w:right="420" w:firstLine="8"/>
        <w:spacing w:after="0" w:line="293" w:lineRule="auto"/>
        <w:tabs>
          <w:tab w:leader="none" w:pos="352" w:val="left"/>
        </w:tabs>
        <w:numPr>
          <w:ilvl w:val="0"/>
          <w:numId w:val="8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Agreement), retirement and any other benefits, premiums, claims and related costs) to any of the employees, former employees or retirees of the Seller or any Seller Affiliate to the extent related to or arising out of their employment with the Seller or any Seller Affiliate prior to the Closing Date (other than the Purchaser Severance Liabilities), including any and all Liabilities in connection with any cash and non-cash awards and incentives owed to Transferred Employees under the Seller’s “President’s Club” incentive program (the “President Club Awards”); (ix) all Liabilities in connection with the Leases to the extent related to the period prior to the Closing and (x) any indebtedness for borrowed money (collectively, the “</w:t>
      </w:r>
      <w:r>
        <w:rPr>
          <w:rFonts w:ascii="Arial" w:cs="Arial" w:eastAsia="Arial" w:hAnsi="Arial"/>
          <w:sz w:val="19"/>
          <w:szCs w:val="19"/>
          <w:b w:val="1"/>
          <w:bCs w:val="1"/>
          <w:color w:val="auto"/>
        </w:rPr>
        <w:t>Excluded Liabilities</w:t>
      </w:r>
      <w:r>
        <w:rPr>
          <w:rFonts w:ascii="Arial" w:cs="Arial" w:eastAsia="Arial" w:hAnsi="Arial"/>
          <w:sz w:val="19"/>
          <w:szCs w:val="19"/>
          <w:color w:val="auto"/>
        </w:rPr>
        <w:t>”).</w:t>
      </w:r>
    </w:p>
    <w:p>
      <w:pPr>
        <w:spacing w:after="0" w:line="172" w:lineRule="exact"/>
        <w:rPr>
          <w:sz w:val="20"/>
          <w:szCs w:val="20"/>
          <w:color w:val="auto"/>
        </w:rPr>
      </w:pPr>
    </w:p>
    <w:p>
      <w:pPr>
        <w:jc w:val="both"/>
        <w:ind w:firstLine="1505"/>
        <w:spacing w:after="0" w:line="254" w:lineRule="auto"/>
        <w:tabs>
          <w:tab w:leader="none" w:pos="1893"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Assumed Liabilities. </w:t>
      </w:r>
      <w:r>
        <w:rPr>
          <w:rFonts w:ascii="Arial" w:cs="Arial" w:eastAsia="Arial" w:hAnsi="Arial"/>
          <w:sz w:val="19"/>
          <w:szCs w:val="19"/>
          <w:color w:val="auto"/>
        </w:rPr>
        <w:t>Upon and subject to the terms, conditions, representations and warranties of the Seller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contained herein, and subject to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the Purchaser hereby assumes (i) any and all Liabilities of the Seller or any Seller Affiliate of any kind, character or description, whether accrued, absolute, contingent or otherwise, to the extent relating to or arising out of the operation or conduct of the Business or the ownership of the Purchased Assets on or after the Closing, (ii) all Taxes with regard to the Business or the Purchased Assets other than Excluded Taxes, (iii) the Purchaser Severance Liabilities, (iv) all Liabilities and obligations in respect of the Transferred Employees, including all wages, salaries and other compensation and employee benefits (including any termination pay, severance pay, notice pay (contractual, statutory and/or common law), insurance, supplemental pension, deferred compensation, “stay” or other similar incentive bonuses, change-in-control bonuses (or other bonuses or compensation related in any way to the execution, delivery or performance of any Transactional Agreement), retirement and any other benefits, premiums, claims and related costs) to the extent relating to or arising out of their employment with the Purchaser or any Purchaser Affiliate on or after the Closing, (v) all Liabilities in connection with the Leases to the extent relating to or arising during the period on or after the Closing and (v) the following Liabilities relating to or arising out of the operation or conduct of the Business or the ownership of the Purchased Assets prior to the Closing: (A) Liabilities under the Seller Contracts, (B) Liabilities associated with outstanding service and warranty commitments in connection with the sale of Products in the Ordinary Course of Business and (C) Liabilities associated with factory guarantees or warranty commitments pursuant to the sale of Products in the Ordinary Course of Business (Liabilities assumed under clauses (i) through (v) of this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Assumed</w:t>
      </w:r>
      <w:r>
        <w:rPr>
          <w:rFonts w:ascii="Arial" w:cs="Arial" w:eastAsia="Arial" w:hAnsi="Arial"/>
          <w:sz w:val="19"/>
          <w:szCs w:val="19"/>
          <w:color w:val="auto"/>
        </w:rPr>
        <w:t xml:space="preserve"> </w:t>
      </w:r>
      <w:r>
        <w:rPr>
          <w:rFonts w:ascii="Arial" w:cs="Arial" w:eastAsia="Arial" w:hAnsi="Arial"/>
          <w:sz w:val="19"/>
          <w:szCs w:val="19"/>
          <w:b w:val="1"/>
          <w:bCs w:val="1"/>
          <w:color w:val="auto"/>
        </w:rPr>
        <w:t>Liabilities</w:t>
      </w:r>
      <w:r>
        <w:rPr>
          <w:rFonts w:ascii="Arial" w:cs="Arial" w:eastAsia="Arial" w:hAnsi="Arial"/>
          <w:sz w:val="19"/>
          <w:szCs w:val="19"/>
          <w:color w:val="auto"/>
        </w:rPr>
        <w:t>”)).</w:t>
      </w:r>
    </w:p>
    <w:p>
      <w:pPr>
        <w:spacing w:after="0" w:line="188" w:lineRule="exact"/>
        <w:rPr>
          <w:sz w:val="20"/>
          <w:szCs w:val="20"/>
          <w:color w:val="auto"/>
        </w:rPr>
      </w:pPr>
    </w:p>
    <w:p>
      <w:pPr>
        <w:jc w:val="both"/>
        <w:ind w:firstLine="1310"/>
        <w:spacing w:after="0" w:line="269" w:lineRule="auto"/>
        <w:rPr>
          <w:sz w:val="20"/>
          <w:szCs w:val="20"/>
          <w:color w:val="auto"/>
        </w:rPr>
      </w:pPr>
      <w:r>
        <w:rPr>
          <w:rFonts w:ascii="Arial" w:cs="Arial" w:eastAsia="Arial" w:hAnsi="Arial"/>
          <w:sz w:val="18"/>
          <w:szCs w:val="18"/>
          <w:b w:val="1"/>
          <w:bCs w:val="1"/>
          <w:color w:val="auto"/>
        </w:rPr>
        <w:t>1.4 License and Right of Reference</w:t>
      </w:r>
      <w:r>
        <w:rPr>
          <w:rFonts w:ascii="Arial" w:cs="Arial" w:eastAsia="Arial" w:hAnsi="Arial"/>
          <w:sz w:val="18"/>
          <w:szCs w:val="18"/>
          <w:color w:val="auto"/>
        </w:rPr>
        <w:t>. Effective as of the Closing Date, the Seller, on behalf of itself, each Seller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and their respective transferees, successors and assigns: (a) (i) hereby grants to the Purchaser and its Affiliates, to the extent legally permissible and practicable, a worldwide, exclusive, irrevocable, perpetual, royalty-free, fully paid-up, non-transferable license (except in connection with a permitted assignment of this Agreement or any other Transactional Agreement), with the right to grant sublicenses through multiple tiers, under the Intellectual Property set forth on Part 1.4 of the Disclosure Schedule (the “</w:t>
      </w:r>
      <w:r>
        <w:rPr>
          <w:rFonts w:ascii="Arial" w:cs="Arial" w:eastAsia="Arial" w:hAnsi="Arial"/>
          <w:sz w:val="18"/>
          <w:szCs w:val="18"/>
          <w:b w:val="1"/>
          <w:bCs w:val="1"/>
          <w:color w:val="auto"/>
        </w:rPr>
        <w:t>Licensed Intellectual Property</w:t>
      </w:r>
      <w:r>
        <w:rPr>
          <w:rFonts w:ascii="Arial" w:cs="Arial" w:eastAsia="Arial" w:hAnsi="Arial"/>
          <w:sz w:val="18"/>
          <w:szCs w:val="18"/>
          <w:color w:val="auto"/>
        </w:rPr>
        <w:t>”) in connection with, and to the extent necessary for, the operation of the Purchaser’s flow cytometry business, including for the manufacture, sale and use of Products by or on behalf of Purchaser or its Affiliates, and (ii) hereby covenants, to the extent legally permissible, not to commence or maintain anywhere in the world any action or proceeding against Purchaser or any of its Affiliates or its or their customers (solely in connection with such customers’ use of the Products as provided by Purchaser and its Affiliates) based upon assertion of infringement of any Intellectual Property or Technology owned by Seller or any Seller Affiliate as of the Closing Date by the operation of the Purchaser’s flow cytometry business, including by the manufacture, use, sale or importation of Products by or on behalf of Purchaser or its Affiliates, in substantially the same manner as conducted by the Seller and the Seller Affiliates as of the Closing Date; and (b) hereby grants to the Purchaser and its Affiliates, to the extent legally permissible and practicable, a worldwide, non-exclusive, perpetual, irrevocable, royalty-free, fully paid-up and non-transferable (except in connection with a permitted assignment of this Agreement or any other Transactional Agreement) right of reference to all Governmental Authorizations that are necessary for the operation of the Business by the Seller, Controlled by the Seller</w:t>
      </w:r>
    </w:p>
    <w:p>
      <w:pPr>
        <w:spacing w:after="0" w:line="18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ind w:right="420" w:firstLine="8"/>
        <w:spacing w:after="0" w:line="293" w:lineRule="auto"/>
        <w:tabs>
          <w:tab w:leader="none" w:pos="352" w:val="left"/>
        </w:tabs>
        <w:numPr>
          <w:ilvl w:val="0"/>
          <w:numId w:val="8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any Seller Affiliate and that are not included in the Purchased Assets (“</w:t>
      </w:r>
      <w:r>
        <w:rPr>
          <w:rFonts w:ascii="Arial" w:cs="Arial" w:eastAsia="Arial" w:hAnsi="Arial"/>
          <w:sz w:val="18"/>
          <w:szCs w:val="18"/>
          <w:b w:val="1"/>
          <w:bCs w:val="1"/>
          <w:color w:val="auto"/>
        </w:rPr>
        <w:t>Retained Governmental Authorizations</w:t>
      </w:r>
      <w:r>
        <w:rPr>
          <w:rFonts w:ascii="Arial" w:cs="Arial" w:eastAsia="Arial" w:hAnsi="Arial"/>
          <w:sz w:val="18"/>
          <w:szCs w:val="18"/>
          <w:color w:val="auto"/>
        </w:rPr>
        <w:t xml:space="preserve">”) solely for purposes of the Purchaser’s or any of its Affiliate’s operation or conduct of the Business. For a period of [***] after Closing, upon the Purchaser’s reasonable request, the Seller shall promptly (A) provide to the Purchaser or its designated Affiliate copies of the Retained Governmental Authorizations as requested by the Purchaser solely as necessary to give effect to the right of reference set out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(B) provide to any specified Governmental Body a letter, in the form reasonably requested by the Purchaser, acknowledging that the Purchaser, its designated Affiliate has the right of reference to Retained Governmental Authorizations as provided under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6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1.5 Purchase Price; Payment of Purchase Price. </w:t>
      </w:r>
      <w:r>
        <w:rPr>
          <w:rFonts w:ascii="Arial" w:cs="Arial" w:eastAsia="Arial" w:hAnsi="Arial"/>
          <w:sz w:val="20"/>
          <w:szCs w:val="20"/>
          <w:color w:val="auto"/>
        </w:rPr>
        <w:t>As consideration for the sale, transfer, conveyance, assignment and delivery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 (or to any Purchaser Affiliate designated by the Purchaser) of the Business and the Purchased Assets at the Closing, the Purchaser shall pay to the Seller the Closing Consideration by wire transfer of immediately available funds to a bank account designated by the Seller.</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1.6  Accounts Payable and Accounts Receivable</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315" w:lineRule="auto"/>
        <w:tabs>
          <w:tab w:leader="none" w:pos="1893"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Statement </w:t>
      </w:r>
      <w:r>
        <w:rPr>
          <w:rFonts w:ascii="Arial" w:cs="Arial" w:eastAsia="Arial" w:hAnsi="Arial"/>
          <w:sz w:val="16"/>
          <w:szCs w:val="16"/>
          <w:color w:val="auto"/>
        </w:rPr>
        <w:t>. At least five (5) Business Days prior to the Closing Date, the Seller shall deliver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 statement (the “</w:t>
      </w:r>
      <w:r>
        <w:rPr>
          <w:rFonts w:ascii="Arial" w:cs="Arial" w:eastAsia="Arial" w:hAnsi="Arial"/>
          <w:sz w:val="16"/>
          <w:szCs w:val="16"/>
          <w:b w:val="1"/>
          <w:bCs w:val="1"/>
          <w:color w:val="auto"/>
        </w:rPr>
        <w:t>AR/AP Statement</w:t>
      </w:r>
      <w:r>
        <w:rPr>
          <w:rFonts w:ascii="Arial" w:cs="Arial" w:eastAsia="Arial" w:hAnsi="Arial"/>
          <w:sz w:val="16"/>
          <w:szCs w:val="16"/>
          <w:color w:val="auto"/>
        </w:rPr>
        <w:t xml:space="preserve">”) setting forth in reasonable detail the Seller’s good faith estimates of Accounts Receivable, Accounts Payable and the Net Adjustment Amount, accompanied by reasonably detailed back-up documentation for such estimates;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consider in good faith any comments Purchaser might have with respect to the AR/AP Statement, but if the Parties cannot resolve any disagreement with regard to any such comments by the date the Closing is to occur pursuant to this Agreement, the AR/AP Statement shall be based upon the Seller’s good faith estimates and such a disagreement shall in no event cause a delay to the Closing (it being understood that the post-Closing true-up mechanism provided for in </w:t>
      </w:r>
      <w:r>
        <w:rPr>
          <w:rFonts w:ascii="Arial" w:cs="Arial" w:eastAsia="Arial" w:hAnsi="Arial"/>
          <w:sz w:val="16"/>
          <w:szCs w:val="16"/>
          <w:u w:val="single" w:color="auto"/>
          <w:color w:val="auto"/>
        </w:rPr>
        <w:t>Section 1.6(c)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shall continue to be available).</w:t>
      </w:r>
    </w:p>
    <w:p>
      <w:pPr>
        <w:spacing w:after="0" w:line="132" w:lineRule="exact"/>
        <w:rPr>
          <w:rFonts w:ascii="Arial" w:cs="Arial" w:eastAsia="Arial" w:hAnsi="Arial"/>
          <w:sz w:val="16"/>
          <w:szCs w:val="16"/>
          <w:b w:val="1"/>
          <w:bCs w:val="1"/>
          <w:color w:val="auto"/>
        </w:rPr>
      </w:pPr>
    </w:p>
    <w:p>
      <w:pPr>
        <w:ind w:firstLine="1505"/>
        <w:spacing w:after="0" w:line="267" w:lineRule="auto"/>
        <w:tabs>
          <w:tab w:leader="none" w:pos="1893"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Net Adjustment Amount</w:t>
      </w:r>
      <w:r>
        <w:rPr>
          <w:rFonts w:ascii="Arial" w:cs="Arial" w:eastAsia="Arial" w:hAnsi="Arial"/>
          <w:sz w:val="20"/>
          <w:szCs w:val="20"/>
          <w:color w:val="auto"/>
        </w:rPr>
        <w:t>. Any Net Adjustment Amount as shown on the AR/AP Statement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paid at the Closing as follows:</w:t>
      </w:r>
    </w:p>
    <w:p>
      <w:pPr>
        <w:spacing w:after="0" w:line="169" w:lineRule="exact"/>
        <w:rPr>
          <w:rFonts w:ascii="Arial" w:cs="Arial" w:eastAsia="Arial" w:hAnsi="Arial"/>
          <w:sz w:val="20"/>
          <w:szCs w:val="20"/>
          <w:b w:val="1"/>
          <w:bCs w:val="1"/>
          <w:color w:val="auto"/>
        </w:rPr>
      </w:pPr>
    </w:p>
    <w:p>
      <w:pPr>
        <w:ind w:right="20" w:firstLine="2254"/>
        <w:spacing w:after="0" w:line="260" w:lineRule="auto"/>
        <w:tabs>
          <w:tab w:leader="none" w:pos="2642"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 xml:space="preserve">If the Net Adjustment Amount is a positive amount, then an amount equal to the Net Adjustment Amount shall be deducted from the Closing Consideration payable by the Purchaser at the Closing pursuant to </w:t>
      </w:r>
      <w:r>
        <w:rPr>
          <w:rFonts w:ascii="Arial" w:cs="Arial" w:eastAsia="Arial" w:hAnsi="Arial"/>
          <w:sz w:val="20"/>
          <w:szCs w:val="20"/>
          <w:u w:val="single" w:color="auto"/>
          <w:color w:val="auto"/>
        </w:rPr>
        <w:t>Section 1.5.</w:t>
      </w:r>
    </w:p>
    <w:p>
      <w:pPr>
        <w:spacing w:after="0" w:line="176" w:lineRule="exact"/>
        <w:rPr>
          <w:rFonts w:ascii="Arial" w:cs="Arial" w:eastAsia="Arial" w:hAnsi="Arial"/>
          <w:sz w:val="20"/>
          <w:szCs w:val="20"/>
          <w:b w:val="1"/>
          <w:bCs w:val="1"/>
          <w:color w:val="auto"/>
        </w:rPr>
      </w:pPr>
    </w:p>
    <w:p>
      <w:pPr>
        <w:jc w:val="both"/>
        <w:ind w:firstLine="2254"/>
        <w:spacing w:after="0" w:line="250" w:lineRule="auto"/>
        <w:tabs>
          <w:tab w:leader="none" w:pos="2655"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If the Net Adjustment Amount is a negative amount, then the Purchaser shall pay, or cause to be paid, by wire transfer of immediately available funds to an account (or accounts) specified in writing by the Seller, an amount in cash equal to the Net Adjustment Amount.</w:t>
      </w:r>
    </w:p>
    <w:p>
      <w:pPr>
        <w:spacing w:after="0" w:line="179" w:lineRule="exact"/>
        <w:rPr>
          <w:rFonts w:ascii="Arial" w:cs="Arial" w:eastAsia="Arial" w:hAnsi="Arial"/>
          <w:sz w:val="20"/>
          <w:szCs w:val="20"/>
          <w:b w:val="1"/>
          <w:bCs w:val="1"/>
          <w:color w:val="auto"/>
        </w:rPr>
      </w:pPr>
    </w:p>
    <w:p>
      <w:pPr>
        <w:ind w:right="20" w:firstLine="1505"/>
        <w:spacing w:after="0" w:line="267" w:lineRule="auto"/>
        <w:tabs>
          <w:tab w:leader="none" w:pos="1893"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Post-Closing Adjustment </w:t>
      </w:r>
      <w:r>
        <w:rPr>
          <w:rFonts w:ascii="Arial" w:cs="Arial" w:eastAsia="Arial" w:hAnsi="Arial"/>
          <w:sz w:val="20"/>
          <w:szCs w:val="20"/>
          <w:color w:val="auto"/>
        </w:rPr>
        <w:t xml:space="preserve">. The AR/AP Statement and the Net Adjustment Amount shall be subject to a post-Closing true-up mechanism pursuant to the terms and provisions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63" w:lineRule="exact"/>
        <w:rPr>
          <w:rFonts w:ascii="Arial" w:cs="Arial" w:eastAsia="Arial" w:hAnsi="Arial"/>
          <w:sz w:val="20"/>
          <w:szCs w:val="20"/>
          <w:b w:val="1"/>
          <w:bCs w:val="1"/>
          <w:color w:val="auto"/>
        </w:rPr>
      </w:pPr>
    </w:p>
    <w:p>
      <w:pPr>
        <w:ind w:firstLine="1505"/>
        <w:spacing w:after="0" w:line="267" w:lineRule="auto"/>
        <w:tabs>
          <w:tab w:leader="none" w:pos="1893"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 Treatment. </w:t>
      </w:r>
      <w:r>
        <w:rPr>
          <w:rFonts w:ascii="Arial" w:cs="Arial" w:eastAsia="Arial" w:hAnsi="Arial"/>
          <w:sz w:val="20"/>
          <w:szCs w:val="20"/>
          <w:color w:val="auto"/>
        </w:rPr>
        <w:t>The Purchaser and the Seller shall treat any payment of the Net Adjustment Amount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adjustment thereof pursuant to the terms hereof as an adjustment to the Purchase Price for Tax purposes.</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1.7 Shared Contracts. </w:t>
      </w:r>
      <w:r>
        <w:rPr>
          <w:rFonts w:ascii="Arial" w:cs="Arial" w:eastAsia="Arial" w:hAnsi="Arial"/>
          <w:sz w:val="20"/>
          <w:szCs w:val="20"/>
          <w:color w:val="auto"/>
        </w:rPr>
        <w:t>With respect to the Shared Contracts, the Purchaser and the Seller shall, for a period of up to [***]</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Closing, cooperate to provide the Purchaser with the benefits under the Business Portion of each such Shared Contract (including, if possible, by means of amending such Shared Contract or entering into any licensing, operating, subcontracting, sublicensing, subleasing or</w:t>
      </w:r>
    </w:p>
    <w:p>
      <w:pPr>
        <w:spacing w:after="0" w:line="189"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9" w:name="page130"/>
    <w:bookmarkEnd w:id="129"/>
    <w:p>
      <w:pPr>
        <w:ind w:right="420" w:firstLine="8"/>
        <w:spacing w:after="0" w:line="293" w:lineRule="auto"/>
        <w:tabs>
          <w:tab w:leader="none" w:pos="352" w:val="left"/>
        </w:tabs>
        <w:numPr>
          <w:ilvl w:val="0"/>
          <w:numId w:val="9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similar arrangement) and in the event that such arrangement is entered into and the Purchaser is provided with the benefits under the Business Portion of a Shared Contract, the Purchaser shall bear the costs, liabilities and burdens with respect to the Business Portion of such Shared Contract.</w:t>
      </w:r>
    </w:p>
    <w:p>
      <w:pPr>
        <w:spacing w:after="0" w:line="39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b w:val="1"/>
          <w:bCs w:val="1"/>
          <w:color w:val="auto"/>
        </w:rPr>
        <w:t xml:space="preserve">1.8 Withholding. </w:t>
      </w:r>
      <w:r>
        <w:rPr>
          <w:rFonts w:ascii="Arial" w:cs="Arial" w:eastAsia="Arial" w:hAnsi="Arial"/>
          <w:sz w:val="18"/>
          <w:szCs w:val="18"/>
          <w:color w:val="auto"/>
        </w:rPr>
        <w:t>The Purchaser and any Purchaser Affiliate shall be entitled to deduct and withhold from any payments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such amounts as are required to be deducted and withheld with respect to such payments under the Code or any other applicable Tax Law, from any consideration paid to the Seller, each applicable Seller Affiliate and any other recipient pursuant to this Agreement. To the extent that amounts are so withheld and paid to the appropriate taxing authority, such withheld amounts shall be treated for all purposes of this Agreement as having been paid to the Person in respect of which such deduction and withholding was made. The foregoing notwithstanding, if the Purchaser determines that any Taxes are required to be deducted and withheld, then the Purchaser shall provide notice to the Seller of such determination and allow the Seller the opportunity to provide any Tax forms, reports or certificates as may be permitted by applicable Law to reduce or eliminate such withholding or deduction. The Purchaser and the Seller shall use commercially reasonable efforts to cooperate in good faith to address and mitigate any proposed deduction or withholding. Any amount withheld pursuant to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be remitted to the appropriate Governmental Body in accordance with applicable Law. For the avoidance of doubt, to the extent Purchaser or any Purchaser Affiliate pay any consideration pursuant to this Agreement to Seller and such consideration is in respect of any Purchased Assets sold by a Seller Affiliate, Seller shall act as the withholding agent for U.S. federal income Tax purposes with respect to such consideration.</w:t>
      </w:r>
    </w:p>
    <w:p>
      <w:pPr>
        <w:spacing w:after="0" w:line="17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 xml:space="preserve">1.9 Allocation of Purchase Price. </w:t>
      </w:r>
      <w:r>
        <w:rPr>
          <w:rFonts w:ascii="Arial" w:cs="Arial" w:eastAsia="Arial" w:hAnsi="Arial"/>
          <w:sz w:val="18"/>
          <w:szCs w:val="18"/>
          <w:color w:val="auto"/>
        </w:rPr>
        <w:t>Within ninety (90) days after the Closing, the Purchaser shall prepare an allocation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setting forth the allocation of the Purchase Price (together with the Assumed Liabilities and all other relevant items required pursuant to Section 1060 of the Code and any similar U.S. state, local or non-U.S. Tax Laws) among the Purchased Assets for Tax purposes pursuant to applicable Tax Laws (as the same may be revised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the “</w:t>
      </w:r>
      <w:r>
        <w:rPr>
          <w:rFonts w:ascii="Arial" w:cs="Arial" w:eastAsia="Arial" w:hAnsi="Arial"/>
          <w:sz w:val="18"/>
          <w:szCs w:val="18"/>
          <w:b w:val="1"/>
          <w:bCs w:val="1"/>
          <w:color w:val="auto"/>
        </w:rPr>
        <w:t>Allocation Statement</w:t>
      </w:r>
      <w:r>
        <w:rPr>
          <w:rFonts w:ascii="Arial" w:cs="Arial" w:eastAsia="Arial" w:hAnsi="Arial"/>
          <w:sz w:val="18"/>
          <w:szCs w:val="18"/>
          <w:color w:val="auto"/>
        </w:rPr>
        <w:t>”). As soon as practicable following the date of receipt but in any event within thirty (30) days after receiving the Allocation Statement, the Seller shall notify the Purchaser in writing of any dispute with regard to the Allocation Statement (a “</w:t>
      </w:r>
      <w:r>
        <w:rPr>
          <w:rFonts w:ascii="Arial" w:cs="Arial" w:eastAsia="Arial" w:hAnsi="Arial"/>
          <w:sz w:val="18"/>
          <w:szCs w:val="18"/>
          <w:b w:val="1"/>
          <w:bCs w:val="1"/>
          <w:color w:val="auto"/>
        </w:rPr>
        <w:t>Disputed Item</w:t>
      </w:r>
      <w:r>
        <w:rPr>
          <w:rFonts w:ascii="Arial" w:cs="Arial" w:eastAsia="Arial" w:hAnsi="Arial"/>
          <w:sz w:val="18"/>
          <w:szCs w:val="18"/>
          <w:color w:val="auto"/>
        </w:rPr>
        <w:t xml:space="preserve">”). In the event of any such objection, the Seller and the Purchaser shall negotiate in good faith to resolve such dispute;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Seller and the Purchaser are unable to resolve any dispute with respect to the Allocation Statement within thirty (30) days after the delivery of the Allocation Statement to the Seller, then this Agreement shall not provide for an allocation of the sales price. If the Purchaser and the Seller reach an agreement on allocation of the Purchase Price both the Purchaser and the Seller shall prepare, and shall file, all Tax Returns (such as IRS Form 8594 or any other forms or reports required to be filed pursuant to Section 1060 of the Code or any comparable provisions of applicable Law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1060 Forms</w:t>
      </w:r>
      <w:r>
        <w:rPr>
          <w:rFonts w:ascii="Arial" w:cs="Arial" w:eastAsia="Arial" w:hAnsi="Arial"/>
          <w:sz w:val="18"/>
          <w:szCs w:val="18"/>
          <w:color w:val="auto"/>
        </w:rPr>
        <w:t>”)) in a manner that is consistent with the Allocation Statement and refrain from taking any action inconsistent therewith unless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required by applicable law. The Purchaser and the Seller shall, and the Seller and the Purchaser shall cause each Seller Affiliate or Purchaser Affiliate, as applicable, to, cooperate in the preparation of Section 1060 Forms and file such Section 1060 Forms timely and in the manner required by applicable Law. The Parties further agree that to the extent the Parties agree on the Allocation Statement: (a) the Allocation Statement shall be used in filing all required forms under Section 1060 of the Code and all Tax Returns; and (b) they will not take any position inconsistent with the Allocation Statement upon any examination of any such Tax Return, in any refund claim or in any tax litigation; provided, that no such Person shall be required to litigate before any court any proposed deficiency or adjustment arising out of the Allocation Statement. In the event of any adjustment to the Purchase Price (including pursuant to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of this Agreement), the Allocation Statement, if any, shall be prepared and delivered by the Purchaser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and the Parties agree to comply with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with respect to any such Allocation Statement.</w:t>
      </w:r>
    </w:p>
    <w:p>
      <w:pPr>
        <w:spacing w:after="0" w:line="188"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ind w:right="420" w:firstLine="8"/>
        <w:spacing w:after="0" w:line="293" w:lineRule="auto"/>
        <w:tabs>
          <w:tab w:leader="none" w:pos="352" w:val="left"/>
        </w:tabs>
        <w:numPr>
          <w:ilvl w:val="0"/>
          <w:numId w:val="92"/>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1.10 Closing.</w:t>
      </w:r>
    </w:p>
    <w:p>
      <w:pPr>
        <w:spacing w:after="0" w:line="222" w:lineRule="exact"/>
        <w:rPr>
          <w:sz w:val="20"/>
          <w:szCs w:val="20"/>
          <w:color w:val="auto"/>
        </w:rPr>
      </w:pPr>
    </w:p>
    <w:p>
      <w:pPr>
        <w:jc w:val="both"/>
        <w:ind w:firstLine="1505"/>
        <w:spacing w:after="0" w:line="248" w:lineRule="auto"/>
        <w:tabs>
          <w:tab w:leader="none" w:pos="1934" w:val="left"/>
        </w:tabs>
        <w:numPr>
          <w:ilvl w:val="0"/>
          <w:numId w:val="93"/>
        </w:numPr>
        <w:rPr>
          <w:rFonts w:ascii="Arial" w:cs="Arial" w:eastAsia="Arial" w:hAnsi="Arial"/>
          <w:sz w:val="19"/>
          <w:szCs w:val="19"/>
          <w:b w:val="1"/>
          <w:bCs w:val="1"/>
          <w:color w:val="auto"/>
        </w:rPr>
      </w:pPr>
      <w:r>
        <w:rPr>
          <w:rFonts w:ascii="Arial" w:cs="Arial" w:eastAsia="Arial" w:hAnsi="Arial"/>
          <w:sz w:val="19"/>
          <w:szCs w:val="19"/>
          <w:color w:val="auto"/>
        </w:rPr>
        <w:t>Unless otherwise agreed to by the Parties in writing, the closing of the transactions contemplated under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including the sale of the Business and Purchased Assets to the Purchaser and the assumption of the Assumed Liabilities by the Purchaser, shall take place remotely via the exchange of documents and signatures on the third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Business Day following the satisfaction and/or waiver of all conditions to the Closing set forth in </w:t>
      </w:r>
      <w:r>
        <w:rPr>
          <w:rFonts w:ascii="Arial" w:cs="Arial" w:eastAsia="Arial" w:hAnsi="Arial"/>
          <w:sz w:val="19"/>
          <w:szCs w:val="19"/>
          <w:u w:val="single" w:color="auto"/>
          <w:color w:val="auto"/>
        </w:rPr>
        <w:t>Sections 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(other than those conditions that by their nature are to be satisfied at the Closing, but subject to the satisfaction and/or waiver of such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day is not the [***], the Seller and the Purchaser shall each have the right, exercisable at any time prior to the Closing by written notice to the other Party in its sole discretion, to defer the Closing to the [***] in which the Closing otherwise would have occurred,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Closing shall in no event occur earlier than [***]. For purposes of this Agreement, “</w:t>
      </w:r>
      <w:r>
        <w:rPr>
          <w:rFonts w:ascii="Arial" w:cs="Arial" w:eastAsia="Arial" w:hAnsi="Arial"/>
          <w:sz w:val="19"/>
          <w:szCs w:val="19"/>
          <w:b w:val="1"/>
          <w:bCs w:val="1"/>
          <w:color w:val="auto"/>
        </w:rPr>
        <w:t>Closing Date</w:t>
      </w:r>
      <w:r>
        <w:rPr>
          <w:rFonts w:ascii="Arial" w:cs="Arial" w:eastAsia="Arial" w:hAnsi="Arial"/>
          <w:sz w:val="19"/>
          <w:szCs w:val="19"/>
          <w:color w:val="auto"/>
        </w:rPr>
        <w:t>” shall mean the time and date as of which the Closing actually takes place.</w:t>
      </w:r>
    </w:p>
    <w:p>
      <w:pPr>
        <w:spacing w:after="0" w:line="185" w:lineRule="exact"/>
        <w:rPr>
          <w:rFonts w:ascii="Arial" w:cs="Arial" w:eastAsia="Arial" w:hAnsi="Arial"/>
          <w:sz w:val="19"/>
          <w:szCs w:val="19"/>
          <w:b w:val="1"/>
          <w:bCs w:val="1"/>
          <w:color w:val="auto"/>
        </w:rPr>
      </w:pPr>
    </w:p>
    <w:p>
      <w:pPr>
        <w:ind w:left="1900" w:hanging="395"/>
        <w:spacing w:after="0"/>
        <w:tabs>
          <w:tab w:leader="none" w:pos="190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At the Closing:</w:t>
      </w:r>
    </w:p>
    <w:p>
      <w:pPr>
        <w:spacing w:after="0" w:line="221" w:lineRule="exact"/>
        <w:rPr>
          <w:rFonts w:ascii="Arial" w:cs="Arial" w:eastAsia="Arial" w:hAnsi="Arial"/>
          <w:sz w:val="20"/>
          <w:szCs w:val="20"/>
          <w:b w:val="1"/>
          <w:bCs w:val="1"/>
          <w:color w:val="auto"/>
        </w:rPr>
      </w:pPr>
    </w:p>
    <w:p>
      <w:pPr>
        <w:jc w:val="both"/>
        <w:ind w:firstLine="2254"/>
        <w:spacing w:after="0" w:line="263" w:lineRule="auto"/>
        <w:tabs>
          <w:tab w:leader="none" w:pos="2655"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 xml:space="preserve">the Purchaser and the Seller shall execute and deliver such bills of sale, endorsements, assignments and other documents as may be reasonably necessary to assign, convey, transfer and deliver to the Purchaser good and valid title to the Purchased Assets free of any Encumbrances (other than Permitted Encumbrances), including the Bill of Sale and Assignment and Assumption Agreement in substantially the form attached hereto as </w:t>
      </w:r>
      <w:r>
        <w:rPr>
          <w:rFonts w:ascii="Arial" w:cs="Arial" w:eastAsia="Arial" w:hAnsi="Arial"/>
          <w:sz w:val="19"/>
          <w:szCs w:val="19"/>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B</w:t>
      </w:r>
      <w:r>
        <w:rPr>
          <w:rFonts w:ascii="Arial" w:cs="Arial" w:eastAsia="Arial" w:hAnsi="Arial"/>
          <w:sz w:val="19"/>
          <w:szCs w:val="19"/>
          <w:color w:val="auto"/>
        </w:rPr>
        <w:t xml:space="preserve"> (the “</w:t>
      </w:r>
      <w:r>
        <w:rPr>
          <w:rFonts w:ascii="Arial" w:cs="Arial" w:eastAsia="Arial" w:hAnsi="Arial"/>
          <w:sz w:val="19"/>
          <w:szCs w:val="19"/>
          <w:b w:val="1"/>
          <w:bCs w:val="1"/>
          <w:color w:val="auto"/>
        </w:rPr>
        <w:t>Bill of Sale and Assumption Agreement</w:t>
      </w:r>
      <w:r>
        <w:rPr>
          <w:rFonts w:ascii="Arial" w:cs="Arial" w:eastAsia="Arial" w:hAnsi="Arial"/>
          <w:sz w:val="19"/>
          <w:szCs w:val="19"/>
          <w:color w:val="auto"/>
        </w:rPr>
        <w:t>”);</w:t>
      </w:r>
    </w:p>
    <w:p>
      <w:pPr>
        <w:spacing w:after="0" w:line="176" w:lineRule="exact"/>
        <w:rPr>
          <w:rFonts w:ascii="Arial" w:cs="Arial" w:eastAsia="Arial" w:hAnsi="Arial"/>
          <w:sz w:val="19"/>
          <w:szCs w:val="19"/>
          <w:b w:val="1"/>
          <w:bCs w:val="1"/>
          <w:color w:val="auto"/>
        </w:rPr>
      </w:pPr>
    </w:p>
    <w:p>
      <w:pPr>
        <w:ind w:firstLine="2254"/>
        <w:spacing w:after="0" w:line="316" w:lineRule="auto"/>
        <w:tabs>
          <w:tab w:leader="none" w:pos="2642"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the Purchaser and the Seller shall execute and deliver certain intellectual property assignment agreements in substantially the form attached hereto as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C-2</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C-3</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IP Assignment Agreements</w:t>
      </w:r>
      <w:r>
        <w:rPr>
          <w:rFonts w:ascii="Arial" w:cs="Arial" w:eastAsia="Arial" w:hAnsi="Arial"/>
          <w:sz w:val="18"/>
          <w:szCs w:val="18"/>
          <w:color w:val="auto"/>
        </w:rPr>
        <w:t>”);</w:t>
      </w:r>
    </w:p>
    <w:p>
      <w:pPr>
        <w:spacing w:after="0" w:line="129" w:lineRule="exact"/>
        <w:rPr>
          <w:rFonts w:ascii="Arial" w:cs="Arial" w:eastAsia="Arial" w:hAnsi="Arial"/>
          <w:sz w:val="18"/>
          <w:szCs w:val="18"/>
          <w:b w:val="1"/>
          <w:bCs w:val="1"/>
          <w:color w:val="auto"/>
        </w:rPr>
      </w:pPr>
    </w:p>
    <w:p>
      <w:pPr>
        <w:ind w:left="2660" w:hanging="406"/>
        <w:spacing w:after="0"/>
        <w:tabs>
          <w:tab w:leader="none" w:pos="266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the Seller shall deliver to the Purchaser all Books and Records;</w:t>
      </w:r>
    </w:p>
    <w:p>
      <w:pPr>
        <w:spacing w:after="0" w:line="215" w:lineRule="exact"/>
        <w:rPr>
          <w:rFonts w:ascii="Arial" w:cs="Arial" w:eastAsia="Arial" w:hAnsi="Arial"/>
          <w:sz w:val="20"/>
          <w:szCs w:val="20"/>
          <w:b w:val="1"/>
          <w:bCs w:val="1"/>
          <w:color w:val="auto"/>
        </w:rPr>
      </w:pPr>
    </w:p>
    <w:p>
      <w:pPr>
        <w:jc w:val="both"/>
        <w:ind w:firstLine="2254"/>
        <w:spacing w:after="0" w:line="250" w:lineRule="auto"/>
        <w:tabs>
          <w:tab w:leader="none" w:pos="2642"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 xml:space="preserve">the Seller shall execute and deliver to the Purchaser a certificate, in form and substance satisfactory to the Purchaser, dated as of the Closing Date, stating that the conditions specified in </w:t>
      </w:r>
      <w:r>
        <w:rPr>
          <w:rFonts w:ascii="Arial" w:cs="Arial" w:eastAsia="Arial" w:hAnsi="Arial"/>
          <w:sz w:val="20"/>
          <w:szCs w:val="20"/>
          <w:u w:val="single" w:color="auto"/>
          <w:color w:val="auto"/>
        </w:rPr>
        <w:t>Sections 5.1</w:t>
      </w:r>
      <w:r>
        <w:rPr>
          <w:rFonts w:ascii="Arial" w:cs="Arial" w:eastAsia="Arial" w:hAnsi="Arial"/>
          <w:sz w:val="20"/>
          <w:szCs w:val="20"/>
          <w:color w:val="auto"/>
        </w:rPr>
        <w:t xml:space="preserve"> and 5.3(b) have been satisfied (the “</w:t>
      </w:r>
      <w:r>
        <w:rPr>
          <w:rFonts w:ascii="Arial" w:cs="Arial" w:eastAsia="Arial" w:hAnsi="Arial"/>
          <w:sz w:val="20"/>
          <w:szCs w:val="20"/>
          <w:b w:val="1"/>
          <w:bCs w:val="1"/>
          <w:color w:val="auto"/>
        </w:rPr>
        <w:t>Seller</w:t>
      </w:r>
      <w:r>
        <w:rPr>
          <w:rFonts w:ascii="Arial" w:cs="Arial" w:eastAsia="Arial" w:hAnsi="Arial"/>
          <w:sz w:val="20"/>
          <w:szCs w:val="20"/>
          <w:color w:val="auto"/>
        </w:rPr>
        <w:t xml:space="preserve"> </w:t>
      </w:r>
      <w:r>
        <w:rPr>
          <w:rFonts w:ascii="Arial" w:cs="Arial" w:eastAsia="Arial" w:hAnsi="Arial"/>
          <w:sz w:val="20"/>
          <w:szCs w:val="20"/>
          <w:b w:val="1"/>
          <w:bCs w:val="1"/>
          <w:color w:val="auto"/>
        </w:rPr>
        <w:t>Closing Certificate</w:t>
      </w:r>
      <w:r>
        <w:rPr>
          <w:rFonts w:ascii="Arial" w:cs="Arial" w:eastAsia="Arial" w:hAnsi="Arial"/>
          <w:sz w:val="20"/>
          <w:szCs w:val="20"/>
          <w:color w:val="auto"/>
        </w:rPr>
        <w:t>”);</w:t>
      </w:r>
    </w:p>
    <w:p>
      <w:pPr>
        <w:spacing w:after="0" w:line="185" w:lineRule="exact"/>
        <w:rPr>
          <w:rFonts w:ascii="Arial" w:cs="Arial" w:eastAsia="Arial" w:hAnsi="Arial"/>
          <w:sz w:val="20"/>
          <w:szCs w:val="20"/>
          <w:b w:val="1"/>
          <w:bCs w:val="1"/>
          <w:color w:val="auto"/>
        </w:rPr>
      </w:pPr>
    </w:p>
    <w:p>
      <w:pPr>
        <w:ind w:right="20" w:firstLine="2254"/>
        <w:spacing w:after="0" w:line="287" w:lineRule="auto"/>
        <w:tabs>
          <w:tab w:leader="none" w:pos="2642"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 xml:space="preserve">the Purchaser shall execute and deliver to the Seller a certificate, in form and substance satisfactory to the Seller, dated as of the Closing Date, stating that the conditions specified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6.2(b)</w:t>
      </w:r>
      <w:r>
        <w:rPr>
          <w:rFonts w:ascii="Arial" w:cs="Arial" w:eastAsia="Arial" w:hAnsi="Arial"/>
          <w:sz w:val="19"/>
          <w:szCs w:val="19"/>
          <w:color w:val="auto"/>
        </w:rPr>
        <w:t xml:space="preserve"> have been satisfied;</w:t>
      </w:r>
    </w:p>
    <w:p>
      <w:pPr>
        <w:spacing w:after="0" w:line="152" w:lineRule="exact"/>
        <w:rPr>
          <w:rFonts w:ascii="Arial" w:cs="Arial" w:eastAsia="Arial" w:hAnsi="Arial"/>
          <w:sz w:val="19"/>
          <w:szCs w:val="19"/>
          <w:b w:val="1"/>
          <w:bCs w:val="1"/>
          <w:color w:val="auto"/>
        </w:rPr>
      </w:pPr>
    </w:p>
    <w:p>
      <w:pPr>
        <w:ind w:left="2660" w:hanging="406"/>
        <w:spacing w:after="0"/>
        <w:tabs>
          <w:tab w:leader="none" w:pos="266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the Seller shall deliver a properly completed and validly executed IRS Form W-9;</w:t>
      </w:r>
    </w:p>
    <w:p>
      <w:pPr>
        <w:spacing w:after="0" w:line="215" w:lineRule="exact"/>
        <w:rPr>
          <w:rFonts w:ascii="Arial" w:cs="Arial" w:eastAsia="Arial" w:hAnsi="Arial"/>
          <w:sz w:val="20"/>
          <w:szCs w:val="20"/>
          <w:b w:val="1"/>
          <w:bCs w:val="1"/>
          <w:color w:val="auto"/>
        </w:rPr>
      </w:pPr>
    </w:p>
    <w:p>
      <w:pPr>
        <w:ind w:firstLine="2254"/>
        <w:spacing w:after="0" w:line="260" w:lineRule="auto"/>
        <w:tabs>
          <w:tab w:leader="none" w:pos="2709"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 xml:space="preserve">the Purchaser and the Seller shall execute and deliver a manufacturing and supply agreement in substantially the form attached hereto as </w:t>
      </w: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w:t>
      </w:r>
      <w:r>
        <w:rPr>
          <w:rFonts w:ascii="Arial" w:cs="Arial" w:eastAsia="Arial" w:hAnsi="Arial"/>
          <w:sz w:val="20"/>
          <w:szCs w:val="20"/>
          <w:color w:val="auto"/>
        </w:rPr>
        <w:t xml:space="preserve"> (the “</w:t>
      </w:r>
      <w:r>
        <w:rPr>
          <w:rFonts w:ascii="Arial" w:cs="Arial" w:eastAsia="Arial" w:hAnsi="Arial"/>
          <w:sz w:val="20"/>
          <w:szCs w:val="20"/>
          <w:b w:val="1"/>
          <w:bCs w:val="1"/>
          <w:color w:val="auto"/>
        </w:rPr>
        <w:t>Manufacturing and Supply Agreement</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ind w:left="3040" w:hanging="786"/>
        <w:spacing w:after="0"/>
        <w:tabs>
          <w:tab w:leader="none" w:pos="304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the Seattle Landlord Consent shall be in full force and effect; and</w:t>
      </w:r>
    </w:p>
    <w:p>
      <w:pPr>
        <w:spacing w:after="0" w:line="215" w:lineRule="exact"/>
        <w:rPr>
          <w:rFonts w:ascii="Arial" w:cs="Arial" w:eastAsia="Arial" w:hAnsi="Arial"/>
          <w:sz w:val="20"/>
          <w:szCs w:val="20"/>
          <w:b w:val="1"/>
          <w:bCs w:val="1"/>
          <w:color w:val="auto"/>
        </w:rPr>
      </w:pPr>
    </w:p>
    <w:p>
      <w:pPr>
        <w:ind w:firstLine="2254"/>
        <w:spacing w:after="0" w:line="260" w:lineRule="auto"/>
        <w:tabs>
          <w:tab w:leader="none" w:pos="2655"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 xml:space="preserve">the Purchaser and the Seller shall execute and deliver a transition services agreement in substantially the form attached hereto as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E</w:t>
      </w:r>
      <w:r>
        <w:rPr>
          <w:rFonts w:ascii="Arial" w:cs="Arial" w:eastAsia="Arial" w:hAnsi="Arial"/>
          <w:sz w:val="20"/>
          <w:szCs w:val="20"/>
          <w:color w:val="auto"/>
        </w:rPr>
        <w:t xml:space="preserve"> (the “</w:t>
      </w:r>
      <w:r>
        <w:rPr>
          <w:rFonts w:ascii="Arial" w:cs="Arial" w:eastAsia="Arial" w:hAnsi="Arial"/>
          <w:sz w:val="20"/>
          <w:szCs w:val="20"/>
          <w:b w:val="1"/>
          <w:bCs w:val="1"/>
          <w:color w:val="auto"/>
        </w:rPr>
        <w:t>Transition Services Agreement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-2036445</wp:posOffset>
            </wp:positionV>
            <wp:extent cx="3517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151" w:lineRule="exact"/>
        <w:rPr>
          <w:sz w:val="20"/>
          <w:szCs w:val="20"/>
          <w:color w:val="auto"/>
        </w:rPr>
      </w:pPr>
    </w:p>
    <w:p>
      <w:pPr>
        <w:jc w:val="both"/>
        <w:ind w:firstLine="1310"/>
        <w:spacing w:after="0" w:line="253" w:lineRule="auto"/>
        <w:rPr>
          <w:sz w:val="20"/>
          <w:szCs w:val="20"/>
          <w:color w:val="auto"/>
        </w:rPr>
      </w:pPr>
      <w:r>
        <w:rPr>
          <w:rFonts w:ascii="Arial" w:cs="Arial" w:eastAsia="Arial" w:hAnsi="Arial"/>
          <w:sz w:val="20"/>
          <w:szCs w:val="20"/>
          <w:b w:val="1"/>
          <w:bCs w:val="1"/>
          <w:color w:val="auto"/>
        </w:rPr>
        <w:t xml:space="preserve">1.11 Transfer Taxes. </w:t>
      </w:r>
      <w:r>
        <w:rPr>
          <w:rFonts w:ascii="Arial" w:cs="Arial" w:eastAsia="Arial" w:hAnsi="Arial"/>
          <w:sz w:val="20"/>
          <w:szCs w:val="20"/>
          <w:color w:val="auto"/>
        </w:rPr>
        <w:t>All transfer, documentary, sales, use, value-added, gross receipts, stamp, registration, property, excise,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 other similar taxes, charges or fees (collectively, “</w:t>
      </w:r>
      <w:r>
        <w:rPr>
          <w:rFonts w:ascii="Arial" w:cs="Arial" w:eastAsia="Arial" w:hAnsi="Arial"/>
          <w:sz w:val="20"/>
          <w:szCs w:val="20"/>
          <w:b w:val="1"/>
          <w:bCs w:val="1"/>
          <w:color w:val="auto"/>
        </w:rPr>
        <w:t>Transfer Taxes</w:t>
      </w:r>
      <w:r>
        <w:rPr>
          <w:rFonts w:ascii="Arial" w:cs="Arial" w:eastAsia="Arial" w:hAnsi="Arial"/>
          <w:sz w:val="20"/>
          <w:szCs w:val="20"/>
          <w:color w:val="auto"/>
        </w:rPr>
        <w:t>”) incurred in connection with the transfer and sale of the Purchased Assets as contemplated by the</w:t>
      </w:r>
    </w:p>
    <w:p>
      <w:pPr>
        <w:spacing w:after="0" w:line="183"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1" w:name="page132"/>
    <w:bookmarkEnd w:id="131"/>
    <w:p>
      <w:pPr>
        <w:ind w:right="420" w:firstLine="8"/>
        <w:spacing w:after="0" w:line="293" w:lineRule="auto"/>
        <w:tabs>
          <w:tab w:leader="none" w:pos="352" w:val="left"/>
        </w:tabs>
        <w:numPr>
          <w:ilvl w:val="0"/>
          <w:numId w:val="9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terms of this Agreement, including all recording or filing fees and other similar costs of Closing, that may be imposed, payable, collectible or incurred, shall be [***], and the Parties will cooperate to make all filings, returns, reports and forms as may be required to comply with the provisions of all applicable Law relating to Transfer Taxes.</w:t>
      </w:r>
    </w:p>
    <w:p>
      <w:pPr>
        <w:spacing w:after="0" w:line="180"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 the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eller</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Except as disclosed in the Disclosure Schedule (subject to </w:t>
      </w:r>
      <w:r>
        <w:rPr>
          <w:rFonts w:ascii="Arial" w:cs="Arial" w:eastAsia="Arial" w:hAnsi="Arial"/>
          <w:sz w:val="20"/>
          <w:szCs w:val="20"/>
          <w:u w:val="single" w:color="auto"/>
          <w:color w:val="auto"/>
        </w:rPr>
        <w:t>Section 10.14)</w:t>
      </w:r>
      <w:r>
        <w:rPr>
          <w:rFonts w:ascii="Arial" w:cs="Arial" w:eastAsia="Arial" w:hAnsi="Arial"/>
          <w:sz w:val="20"/>
          <w:szCs w:val="20"/>
          <w:color w:val="auto"/>
        </w:rPr>
        <w:t>, the Seller represents and warrants to and for the benefit of the Purchaser as follows: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2.1 Due Organization, Standing and Power. </w:t>
      </w:r>
      <w:r>
        <w:rPr>
          <w:rFonts w:ascii="Arial" w:cs="Arial" w:eastAsia="Arial" w:hAnsi="Arial"/>
          <w:sz w:val="20"/>
          <w:szCs w:val="20"/>
          <w:color w:val="auto"/>
        </w:rPr>
        <w:t>The Seller is a corporation duly incorporated, validly existing and in good 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laws of the State of Delaware. The Seller has all requisite corporate power and authority and possesses all material governmental franchises, licenses, permits, authorizations and approvals necessary (a) to enable it to own, lease or otherwise hold its Purchased Assets and (b) to conduct the Business as currently conducted.</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2.2  Title To and Sufficiency of Purchased Assets.</w:t>
      </w:r>
    </w:p>
    <w:p>
      <w:pPr>
        <w:spacing w:after="0" w:line="222" w:lineRule="exact"/>
        <w:rPr>
          <w:sz w:val="20"/>
          <w:szCs w:val="20"/>
          <w:color w:val="auto"/>
        </w:rPr>
      </w:pPr>
    </w:p>
    <w:p>
      <w:pPr>
        <w:jc w:val="both"/>
        <w:ind w:firstLine="1505"/>
        <w:spacing w:after="0" w:line="259" w:lineRule="auto"/>
        <w:tabs>
          <w:tab w:leader="none" w:pos="1907" w:val="left"/>
        </w:tabs>
        <w:numPr>
          <w:ilvl w:val="0"/>
          <w:numId w:val="96"/>
        </w:numPr>
        <w:rPr>
          <w:rFonts w:ascii="Arial" w:cs="Arial" w:eastAsia="Arial" w:hAnsi="Arial"/>
          <w:sz w:val="19"/>
          <w:szCs w:val="19"/>
          <w:b w:val="1"/>
          <w:bCs w:val="1"/>
          <w:color w:val="auto"/>
        </w:rPr>
      </w:pPr>
      <w:r>
        <w:rPr>
          <w:rFonts w:ascii="Arial" w:cs="Arial" w:eastAsia="Arial" w:hAnsi="Arial"/>
          <w:sz w:val="19"/>
          <w:szCs w:val="19"/>
          <w:color w:val="auto"/>
        </w:rPr>
        <w:t xml:space="preserve">Seller or a Seller Affiliate holds good and valid title to or has the right to use (subject to the terms of the Inbound Licenses) and transfer in accordance with this Agreement, all of the Purchased Assets free and clear of all Encumbrances, other than Permitted Encumbrances and the terms of the Outbound Licenses;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deemed a representation with respect to no infringement, misappropriation, other violation or unlawful use of third-party Intellectual Property, which is solely and exclusively addressed in </w:t>
      </w:r>
      <w:r>
        <w:rPr>
          <w:rFonts w:ascii="Arial" w:cs="Arial" w:eastAsia="Arial" w:hAnsi="Arial"/>
          <w:sz w:val="19"/>
          <w:szCs w:val="19"/>
          <w:u w:val="single" w:color="auto"/>
          <w:color w:val="auto"/>
        </w:rPr>
        <w:t>Section 2.4</w:t>
      </w:r>
      <w:r>
        <w:rPr>
          <w:rFonts w:ascii="Arial" w:cs="Arial" w:eastAsia="Arial" w:hAnsi="Arial"/>
          <w:sz w:val="19"/>
          <w:szCs w:val="19"/>
          <w:color w:val="auto"/>
        </w:rPr>
        <w:t>. All Equipment and other items of tangible personal property of the Business are in good operating condition and repair in all material respects, normal wear and tear excepted.</w:t>
      </w:r>
    </w:p>
    <w:p>
      <w:pPr>
        <w:spacing w:after="0" w:line="178" w:lineRule="exact"/>
        <w:rPr>
          <w:rFonts w:ascii="Arial" w:cs="Arial" w:eastAsia="Arial" w:hAnsi="Arial"/>
          <w:sz w:val="19"/>
          <w:szCs w:val="19"/>
          <w:b w:val="1"/>
          <w:bCs w:val="1"/>
          <w:color w:val="auto"/>
        </w:rPr>
      </w:pPr>
    </w:p>
    <w:p>
      <w:pPr>
        <w:jc w:val="both"/>
        <w:ind w:firstLine="1505"/>
        <w:spacing w:after="0" w:line="244" w:lineRule="auto"/>
        <w:tabs>
          <w:tab w:leader="none" w:pos="1907"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The Purchased Assets, together with the rights and licenses of the Purchaser under this Agreement and the other Transactional Agreements, collectively constitute all of the properties, rights, interests and other tangible and intangible assets used, held, owned, licensed or otherwise used by the Seller and the Seller Affiliates in connection with the operation and conduct of the Business and necessary to conduct the Business in substantially the same manner in which the Business is currently being conducted, except for the Excluded Assets.</w:t>
      </w:r>
    </w:p>
    <w:p>
      <w:pPr>
        <w:spacing w:after="0" w:line="188"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 xml:space="preserve">2.3 Inventory. </w:t>
      </w:r>
      <w:r>
        <w:rPr>
          <w:rFonts w:ascii="Arial" w:cs="Arial" w:eastAsia="Arial" w:hAnsi="Arial"/>
          <w:sz w:val="18"/>
          <w:szCs w:val="18"/>
          <w:color w:val="auto"/>
        </w:rPr>
        <w:t>As of the date of this Agreement, all Inventory is (a) of such quality and quantity as to be usable by the Seller 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Seller Affiliate in the Ordinary Course of Business; (b) sufficient to operate the Business in the Ordinary Course of Business in substantially the same manner in which the Business is currently being conducted and (c) free of any defect or deficiency, in each case, in all material respects. All such Inventory was manufactured (solely to the extent such Inventory was manufactured by the Seller or any Seller Affiliate) and has been stored and otherwise maintained in accordance with [***] practices and any applicable Law in all material respects.</w:t>
      </w:r>
    </w:p>
    <w:p>
      <w:pPr>
        <w:spacing w:after="0" w:line="37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2.4  Intellectual Property.</w:t>
      </w:r>
    </w:p>
    <w:p>
      <w:pPr>
        <w:spacing w:after="0" w:line="216" w:lineRule="exact"/>
        <w:rPr>
          <w:sz w:val="20"/>
          <w:szCs w:val="20"/>
          <w:color w:val="auto"/>
        </w:rPr>
      </w:pPr>
    </w:p>
    <w:p>
      <w:pPr>
        <w:ind w:right="20" w:firstLine="1505"/>
        <w:spacing w:after="0" w:line="267" w:lineRule="auto"/>
        <w:tabs>
          <w:tab w:leader="none" w:pos="1893"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Products and Services. </w:t>
      </w:r>
      <w:r>
        <w:rPr>
          <w:rFonts w:ascii="Arial" w:cs="Arial" w:eastAsia="Arial" w:hAnsi="Arial"/>
          <w:sz w:val="20"/>
          <w:szCs w:val="20"/>
          <w:color w:val="auto"/>
        </w:rPr>
        <w:t>Part 2.4(a) of the Disclosure Schedule identifies each Product sold or offered for sale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Seller or any Seller Affiliate as of the date of this Agreement.</w:t>
      </w:r>
    </w:p>
    <w:p>
      <w:pPr>
        <w:spacing w:after="0" w:line="163" w:lineRule="exact"/>
        <w:rPr>
          <w:rFonts w:ascii="Arial" w:cs="Arial" w:eastAsia="Arial" w:hAnsi="Arial"/>
          <w:sz w:val="20"/>
          <w:szCs w:val="20"/>
          <w:b w:val="1"/>
          <w:bCs w:val="1"/>
          <w:color w:val="auto"/>
        </w:rPr>
      </w:pPr>
    </w:p>
    <w:p>
      <w:pPr>
        <w:jc w:val="both"/>
        <w:ind w:firstLine="1505"/>
        <w:spacing w:after="0" w:line="253" w:lineRule="auto"/>
        <w:tabs>
          <w:tab w:leader="none" w:pos="1893"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Registered IP. </w:t>
      </w:r>
      <w:r>
        <w:rPr>
          <w:rFonts w:ascii="Arial" w:cs="Arial" w:eastAsia="Arial" w:hAnsi="Arial"/>
          <w:sz w:val="20"/>
          <w:szCs w:val="20"/>
          <w:color w:val="auto"/>
        </w:rPr>
        <w:t>Part 2.4(b) of the Disclosure Schedule identifies as of the date of this Agreement: (i) each item of</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IP; (ii) the jurisdiction in which such item of Registered IP has been registered or filed and the applicable registration or serial number; and (iii) any Person, other than the Seller</w:t>
      </w:r>
    </w:p>
    <w:p>
      <w:pPr>
        <w:spacing w:after="0" w:line="183"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2" w:name="page133"/>
    <w:bookmarkEnd w:id="132"/>
    <w:p>
      <w:pPr>
        <w:ind w:right="420" w:firstLine="8"/>
        <w:spacing w:after="0" w:line="293" w:lineRule="auto"/>
        <w:tabs>
          <w:tab w:leader="none" w:pos="352" w:val="left"/>
        </w:tabs>
        <w:numPr>
          <w:ilvl w:val="0"/>
          <w:numId w:val="9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or any Seller Affiliate, that has an ownership interest in such item of Registered IP and the nature of such ownership interest.</w:t>
      </w:r>
    </w:p>
    <w:p>
      <w:pPr>
        <w:spacing w:after="0" w:line="210" w:lineRule="exact"/>
        <w:rPr>
          <w:sz w:val="20"/>
          <w:szCs w:val="20"/>
          <w:color w:val="auto"/>
        </w:rPr>
      </w:pPr>
    </w:p>
    <w:p>
      <w:pPr>
        <w:jc w:val="both"/>
        <w:ind w:firstLine="1505"/>
        <w:spacing w:after="0" w:line="235" w:lineRule="exact"/>
        <w:tabs>
          <w:tab w:leader="none" w:pos="189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Inbound Licenses</w:t>
      </w:r>
      <w:r>
        <w:rPr>
          <w:rFonts w:ascii="Arial" w:cs="Arial" w:eastAsia="Arial" w:hAnsi="Arial"/>
          <w:sz w:val="18"/>
          <w:szCs w:val="18"/>
          <w:color w:val="auto"/>
        </w:rPr>
        <w:t>. Part 2.4(c) of the Disclosure Schedule identifies as of the date of this Agreement each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any third-party Intellectual Property necessary for the conduct of the Business is licensed, sold, assigned, or otherwise conveyed or provided to the Seller or any Seller Affiliate (the “</w:t>
      </w:r>
      <w:r>
        <w:rPr>
          <w:rFonts w:ascii="Arial" w:cs="Arial" w:eastAsia="Arial" w:hAnsi="Arial"/>
          <w:sz w:val="18"/>
          <w:szCs w:val="18"/>
          <w:b w:val="1"/>
          <w:bCs w:val="1"/>
          <w:color w:val="auto"/>
        </w:rPr>
        <w:t>Inbound Licenses</w:t>
      </w:r>
      <w:r>
        <w:rPr>
          <w:rFonts w:ascii="Arial" w:cs="Arial" w:eastAsia="Arial" w:hAnsi="Arial"/>
          <w:sz w:val="18"/>
          <w:szCs w:val="18"/>
          <w:color w:val="auto"/>
        </w:rPr>
        <w:t>”) (other than (i) commercially available software or software</w:t>
      </w:r>
      <w:r>
        <w:rPr>
          <w:rFonts w:ascii="MS PGothic" w:cs="MS PGothic" w:eastAsia="MS PGothic" w:hAnsi="MS PGothic"/>
          <w:sz w:val="18"/>
          <w:szCs w:val="18"/>
          <w:color w:val="auto"/>
        </w:rPr>
        <w:t>‑</w:t>
      </w:r>
      <w:r>
        <w:rPr>
          <w:rFonts w:ascii="Arial" w:cs="Arial" w:eastAsia="Arial" w:hAnsi="Arial"/>
          <w:sz w:val="18"/>
          <w:szCs w:val="18"/>
          <w:color w:val="auto"/>
        </w:rPr>
        <w:t>as</w:t>
      </w:r>
      <w:r>
        <w:rPr>
          <w:rFonts w:ascii="MS PGothic" w:cs="MS PGothic" w:eastAsia="MS PGothic" w:hAnsi="MS PGothic"/>
          <w:sz w:val="18"/>
          <w:szCs w:val="18"/>
          <w:color w:val="auto"/>
        </w:rPr>
        <w:t>‑</w:t>
      </w:r>
      <w:r>
        <w:rPr>
          <w:rFonts w:ascii="Arial" w:cs="Arial" w:eastAsia="Arial" w:hAnsi="Arial"/>
          <w:sz w:val="18"/>
          <w:szCs w:val="18"/>
          <w:color w:val="auto"/>
        </w:rPr>
        <w:t>a-service agreements or (ii) licenses or grants of rights ancillary to commercial agreements entered into in the Ordinary Course of Business (including with respect to manufacturing, customer, supply, distribution, retail and marketing agreements)).</w:t>
      </w:r>
    </w:p>
    <w:p>
      <w:pPr>
        <w:spacing w:after="0" w:line="190" w:lineRule="exact"/>
        <w:rPr>
          <w:rFonts w:ascii="Arial" w:cs="Arial" w:eastAsia="Arial" w:hAnsi="Arial"/>
          <w:sz w:val="18"/>
          <w:szCs w:val="18"/>
          <w:b w:val="1"/>
          <w:bCs w:val="1"/>
          <w:color w:val="auto"/>
        </w:rPr>
      </w:pPr>
    </w:p>
    <w:p>
      <w:pPr>
        <w:jc w:val="both"/>
        <w:ind w:firstLine="1505"/>
        <w:spacing w:after="0" w:line="259" w:lineRule="auto"/>
        <w:tabs>
          <w:tab w:leader="none" w:pos="1893"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Outbound Licenses. </w:t>
      </w:r>
      <w:r>
        <w:rPr>
          <w:rFonts w:ascii="Arial" w:cs="Arial" w:eastAsia="Arial" w:hAnsi="Arial"/>
          <w:sz w:val="19"/>
          <w:szCs w:val="19"/>
          <w:color w:val="auto"/>
        </w:rPr>
        <w:t>Part 2.4(d) of the Disclosure Schedule identifies as of the date of this Agreement each Contract</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which any Person has been granted any material license under, or otherwise has received or acquired any material right (whether or not currently exercisable) or interest in, any Product IP or Transferred Technology (the “</w:t>
      </w:r>
      <w:r>
        <w:rPr>
          <w:rFonts w:ascii="Arial" w:cs="Arial" w:eastAsia="Arial" w:hAnsi="Arial"/>
          <w:sz w:val="19"/>
          <w:szCs w:val="19"/>
          <w:b w:val="1"/>
          <w:bCs w:val="1"/>
          <w:color w:val="auto"/>
        </w:rPr>
        <w:t>Outbound Licenses</w:t>
      </w:r>
      <w:r>
        <w:rPr>
          <w:rFonts w:ascii="Arial" w:cs="Arial" w:eastAsia="Arial" w:hAnsi="Arial"/>
          <w:sz w:val="19"/>
          <w:szCs w:val="19"/>
          <w:color w:val="auto"/>
        </w:rPr>
        <w:t>”) (other than immaterial licenses or grants of rights ancillary to commercial agreements entered into in the Ordinary Course of Business (including with respect to manufacturing, customer, supply, distribution, retail and marketing agreements)). Other than as set forth in Part 2.4(d) of the Disclosure Schedule, the Seller is not bound by, and no Product IP or Transferred Technology is subject to, any Contract that restricts the ability of the Seller to use, exploit, assert, or enforce any Product IP anywhere in the world.</w:t>
      </w:r>
    </w:p>
    <w:p>
      <w:pPr>
        <w:spacing w:after="0" w:line="172" w:lineRule="exact"/>
        <w:rPr>
          <w:rFonts w:ascii="Arial" w:cs="Arial" w:eastAsia="Arial" w:hAnsi="Arial"/>
          <w:sz w:val="19"/>
          <w:szCs w:val="19"/>
          <w:b w:val="1"/>
          <w:bCs w:val="1"/>
          <w:color w:val="auto"/>
        </w:rPr>
      </w:pPr>
    </w:p>
    <w:p>
      <w:pPr>
        <w:jc w:val="both"/>
        <w:ind w:firstLine="1505"/>
        <w:spacing w:after="0" w:line="248" w:lineRule="auto"/>
        <w:tabs>
          <w:tab w:leader="none" w:pos="1893"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Royalty Obligations. </w:t>
      </w:r>
      <w:r>
        <w:rPr>
          <w:rFonts w:ascii="Arial" w:cs="Arial" w:eastAsia="Arial" w:hAnsi="Arial"/>
          <w:sz w:val="20"/>
          <w:szCs w:val="20"/>
          <w:color w:val="auto"/>
        </w:rPr>
        <w:t>Part 2.4(e) of the Disclosure Schedule contains a complete and accurate list and summary of</w:t>
      </w:r>
      <w:r>
        <w:rPr>
          <w:rFonts w:ascii="Arial" w:cs="Arial" w:eastAsia="Arial" w:hAnsi="Arial"/>
          <w:sz w:val="20"/>
          <w:szCs w:val="20"/>
          <w:b w:val="1"/>
          <w:bCs w:val="1"/>
          <w:color w:val="auto"/>
        </w:rPr>
        <w:t xml:space="preserve"> </w:t>
      </w:r>
      <w:r>
        <w:rPr>
          <w:rFonts w:ascii="Arial" w:cs="Arial" w:eastAsia="Arial" w:hAnsi="Arial"/>
          <w:sz w:val="20"/>
          <w:szCs w:val="20"/>
          <w:color w:val="auto"/>
        </w:rPr>
        <w:t>all royalties, fees, milestone payments, commissions and other amounts payable by the Seller or any Seller Affiliate to any other Person (other than sales commissions paid to employees according to the Seller’s standard commissions plan) for the manufacture, sale, or distribution of any Product or the use of any Product IP as of the date of this Agreement.</w:t>
      </w:r>
    </w:p>
    <w:p>
      <w:pPr>
        <w:spacing w:after="0" w:line="183" w:lineRule="exact"/>
        <w:rPr>
          <w:rFonts w:ascii="Arial" w:cs="Arial" w:eastAsia="Arial" w:hAnsi="Arial"/>
          <w:sz w:val="20"/>
          <w:szCs w:val="20"/>
          <w:b w:val="1"/>
          <w:bCs w:val="1"/>
          <w:color w:val="auto"/>
        </w:rPr>
      </w:pPr>
    </w:p>
    <w:p>
      <w:pPr>
        <w:jc w:val="both"/>
        <w:ind w:right="20" w:firstLine="1505"/>
        <w:spacing w:after="0" w:line="272" w:lineRule="auto"/>
        <w:tabs>
          <w:tab w:leader="none" w:pos="1893"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 Form IP Agreements. </w:t>
      </w:r>
      <w:r>
        <w:rPr>
          <w:rFonts w:ascii="Arial" w:cs="Arial" w:eastAsia="Arial" w:hAnsi="Arial"/>
          <w:sz w:val="19"/>
          <w:szCs w:val="19"/>
          <w:color w:val="auto"/>
        </w:rPr>
        <w:t>The Seller has provided to the Purchaser a complete and accurate copy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 form of Contract used by the Seller or any Seller Affiliate as of the date of this Agreement covering the standard form of employee agreement containing any assignment or license of Intellectual Property to the Seller or any Seller Affiliate.</w:t>
      </w:r>
    </w:p>
    <w:p>
      <w:pPr>
        <w:spacing w:after="0" w:line="161" w:lineRule="exact"/>
        <w:rPr>
          <w:rFonts w:ascii="Arial" w:cs="Arial" w:eastAsia="Arial" w:hAnsi="Arial"/>
          <w:sz w:val="19"/>
          <w:szCs w:val="19"/>
          <w:b w:val="1"/>
          <w:bCs w:val="1"/>
          <w:color w:val="auto"/>
        </w:rPr>
      </w:pPr>
    </w:p>
    <w:p>
      <w:pPr>
        <w:jc w:val="both"/>
        <w:ind w:firstLine="1505"/>
        <w:spacing w:after="0" w:line="248" w:lineRule="auto"/>
        <w:tabs>
          <w:tab w:leader="none" w:pos="1893"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Ownership Free and Clear. </w:t>
      </w:r>
      <w:r>
        <w:rPr>
          <w:rFonts w:ascii="Arial" w:cs="Arial" w:eastAsia="Arial" w:hAnsi="Arial"/>
          <w:sz w:val="20"/>
          <w:szCs w:val="20"/>
          <w:color w:val="auto"/>
        </w:rPr>
        <w:t>The Seller or a Seller Affiliate owns all right, title, and interest to and in the Product IP</w:t>
      </w:r>
      <w:r>
        <w:rPr>
          <w:rFonts w:ascii="Arial" w:cs="Arial" w:eastAsia="Arial" w:hAnsi="Arial"/>
          <w:sz w:val="20"/>
          <w:szCs w:val="20"/>
          <w:b w:val="1"/>
          <w:bCs w:val="1"/>
          <w:color w:val="auto"/>
        </w:rPr>
        <w:t xml:space="preserve"> </w:t>
      </w:r>
      <w:r>
        <w:rPr>
          <w:rFonts w:ascii="Arial" w:cs="Arial" w:eastAsia="Arial" w:hAnsi="Arial"/>
          <w:sz w:val="20"/>
          <w:szCs w:val="20"/>
          <w:color w:val="auto"/>
        </w:rPr>
        <w:t>and Transferred Technology (other than Intellectual Property licensed to the Seller or a Seller Affiliate, as identified in Part 2.4(c) of the Disclosure Schedule) free and clear of any Encumbrances (other than non-exclusive licenses granted in the Ordinary Course of Business). Without limiting the generality of the foregoing:</w:t>
      </w:r>
    </w:p>
    <w:p>
      <w:pPr>
        <w:spacing w:after="0" w:line="183" w:lineRule="exact"/>
        <w:rPr>
          <w:rFonts w:ascii="Arial" w:cs="Arial" w:eastAsia="Arial" w:hAnsi="Arial"/>
          <w:sz w:val="20"/>
          <w:szCs w:val="20"/>
          <w:b w:val="1"/>
          <w:bCs w:val="1"/>
          <w:color w:val="auto"/>
        </w:rPr>
      </w:pPr>
    </w:p>
    <w:p>
      <w:pPr>
        <w:jc w:val="both"/>
        <w:ind w:firstLine="2254"/>
        <w:spacing w:after="0" w:line="277" w:lineRule="auto"/>
        <w:tabs>
          <w:tab w:leader="none" w:pos="2642"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Employees and Contractors. </w:t>
      </w:r>
      <w:r>
        <w:rPr>
          <w:rFonts w:ascii="Arial" w:cs="Arial" w:eastAsia="Arial" w:hAnsi="Arial"/>
          <w:sz w:val="18"/>
          <w:szCs w:val="18"/>
          <w:color w:val="auto"/>
        </w:rPr>
        <w:t>Each Person who is or was an employee, consultant or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of the Seller or any Seller Affiliate and who is or was involved in the creation or development of any Product IP or Transferred Technology has signed a valid agreement containing an assignment of Intellectual Property pertaining to such Product IP or Transferred Technology to the Seller and confidentiality provisions protecting the Product IP or Transferred Technology (as applicable). To the Knowledge of the Seller, no current or former member, officer, director, employee, consultant or independent contractor of the Seller or any Seller Affiliate has any claim, right (whether or not currently exercisable), or interest to or in any Product IP or Transferred Technology.</w:t>
      </w:r>
    </w:p>
    <w:p>
      <w:pPr>
        <w:spacing w:after="0" w:line="159" w:lineRule="exact"/>
        <w:rPr>
          <w:rFonts w:ascii="Arial" w:cs="Arial" w:eastAsia="Arial" w:hAnsi="Arial"/>
          <w:sz w:val="18"/>
          <w:szCs w:val="18"/>
          <w:b w:val="1"/>
          <w:bCs w:val="1"/>
          <w:color w:val="auto"/>
        </w:rPr>
      </w:pPr>
    </w:p>
    <w:p>
      <w:pPr>
        <w:ind w:right="20" w:firstLine="2254"/>
        <w:spacing w:after="0" w:line="267" w:lineRule="auto"/>
        <w:tabs>
          <w:tab w:leader="none" w:pos="2642" w:val="left"/>
        </w:tabs>
        <w:numPr>
          <w:ilvl w:val="1"/>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Government Rights. </w:t>
      </w:r>
      <w:r>
        <w:rPr>
          <w:rFonts w:ascii="Arial" w:cs="Arial" w:eastAsia="Arial" w:hAnsi="Arial"/>
          <w:sz w:val="20"/>
          <w:szCs w:val="20"/>
          <w:color w:val="auto"/>
        </w:rPr>
        <w:t>To the Knowledge of the Seller, no funding, facilities or personnel of any</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Body or any public or private university, college or other educational or</w:t>
      </w:r>
    </w:p>
    <w:p>
      <w:pPr>
        <w:spacing w:after="0" w:line="169"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3" w:name="page134"/>
    <w:bookmarkEnd w:id="133"/>
    <w:p>
      <w:pPr>
        <w:ind w:right="420" w:firstLine="8"/>
        <w:spacing w:after="0" w:line="293" w:lineRule="auto"/>
        <w:tabs>
          <w:tab w:leader="none" w:pos="352" w:val="left"/>
        </w:tabs>
        <w:numPr>
          <w:ilvl w:val="0"/>
          <w:numId w:val="10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research institution were used, directly or indirectly, to develop or create, in whole or in part, any Product or Product IP or Transferred Technology.</w:t>
      </w:r>
    </w:p>
    <w:p>
      <w:pPr>
        <w:spacing w:after="0" w:line="171" w:lineRule="exact"/>
        <w:rPr>
          <w:sz w:val="20"/>
          <w:szCs w:val="20"/>
          <w:color w:val="auto"/>
        </w:rPr>
      </w:pPr>
    </w:p>
    <w:p>
      <w:pPr>
        <w:ind w:firstLine="2254"/>
        <w:spacing w:after="0" w:line="267" w:lineRule="auto"/>
        <w:tabs>
          <w:tab w:leader="none" w:pos="2642"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Protection of Proprietary Information. </w:t>
      </w:r>
      <w:r>
        <w:rPr>
          <w:rFonts w:ascii="Arial" w:cs="Arial" w:eastAsia="Arial" w:hAnsi="Arial"/>
          <w:sz w:val="20"/>
          <w:szCs w:val="20"/>
          <w:color w:val="auto"/>
        </w:rPr>
        <w:t>The Seller has taken [***] steps to maintain the confidentiality of</w:t>
      </w:r>
      <w:r>
        <w:rPr>
          <w:rFonts w:ascii="Arial" w:cs="Arial" w:eastAsia="Arial" w:hAnsi="Arial"/>
          <w:sz w:val="20"/>
          <w:szCs w:val="20"/>
          <w:b w:val="1"/>
          <w:bCs w:val="1"/>
          <w:color w:val="auto"/>
        </w:rPr>
        <w:t xml:space="preserve"> </w:t>
      </w:r>
      <w:r>
        <w:rPr>
          <w:rFonts w:ascii="Arial" w:cs="Arial" w:eastAsia="Arial" w:hAnsi="Arial"/>
          <w:sz w:val="20"/>
          <w:szCs w:val="20"/>
          <w:color w:val="auto"/>
        </w:rPr>
        <w:t>and otherwise protect and enforce its rights in all proprietary information pertaining to the Products.</w:t>
      </w:r>
    </w:p>
    <w:p>
      <w:pPr>
        <w:spacing w:after="0" w:line="163" w:lineRule="exact"/>
        <w:rPr>
          <w:rFonts w:ascii="Arial" w:cs="Arial" w:eastAsia="Arial" w:hAnsi="Arial"/>
          <w:sz w:val="20"/>
          <w:szCs w:val="20"/>
          <w:b w:val="1"/>
          <w:bCs w:val="1"/>
          <w:color w:val="auto"/>
        </w:rPr>
      </w:pPr>
    </w:p>
    <w:p>
      <w:pPr>
        <w:jc w:val="both"/>
        <w:ind w:firstLine="2254"/>
        <w:spacing w:after="0" w:line="253" w:lineRule="auto"/>
        <w:tabs>
          <w:tab w:leader="none" w:pos="2642" w:val="left"/>
        </w:tabs>
        <w:numPr>
          <w:ilvl w:val="1"/>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Perfection of Rights </w:t>
      </w:r>
      <w:r>
        <w:rPr>
          <w:rFonts w:ascii="Arial" w:cs="Arial" w:eastAsia="Arial" w:hAnsi="Arial"/>
          <w:sz w:val="20"/>
          <w:szCs w:val="20"/>
          <w:color w:val="auto"/>
        </w:rPr>
        <w:t>. All documents and instruments necessary to establish, perfect and maintain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ownership rights of the Seller or a Seller Affiliate in the Product IP and Transferred Technology have been validly executed and (except as set forth on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filed with the appropriate Governmental Body.</w:t>
      </w:r>
    </w:p>
    <w:p>
      <w:pPr>
        <w:spacing w:after="0" w:line="190" w:lineRule="exact"/>
        <w:rPr>
          <w:rFonts w:ascii="Arial" w:cs="Arial" w:eastAsia="Arial" w:hAnsi="Arial"/>
          <w:sz w:val="20"/>
          <w:szCs w:val="20"/>
          <w:b w:val="1"/>
          <w:bCs w:val="1"/>
          <w:color w:val="auto"/>
        </w:rPr>
      </w:pPr>
    </w:p>
    <w:p>
      <w:pPr>
        <w:ind w:left="1900" w:hanging="395"/>
        <w:spacing w:after="0"/>
        <w:tabs>
          <w:tab w:leader="none" w:pos="19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 and Enforceable.  </w:t>
      </w:r>
      <w:r>
        <w:rPr>
          <w:rFonts w:ascii="Arial" w:cs="Arial" w:eastAsia="Arial" w:hAnsi="Arial"/>
          <w:sz w:val="18"/>
          <w:szCs w:val="18"/>
          <w:color w:val="auto"/>
        </w:rPr>
        <w:t>All Product IP is valid, subsisting and enforceable. Without limiting the generality of the</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foregoing:</w:t>
      </w:r>
    </w:p>
    <w:p>
      <w:pPr>
        <w:spacing w:after="0" w:line="193" w:lineRule="exact"/>
        <w:rPr>
          <w:rFonts w:ascii="Arial" w:cs="Arial" w:eastAsia="Arial" w:hAnsi="Arial"/>
          <w:sz w:val="18"/>
          <w:szCs w:val="18"/>
          <w:b w:val="1"/>
          <w:bCs w:val="1"/>
          <w:color w:val="auto"/>
        </w:rPr>
      </w:pPr>
    </w:p>
    <w:p>
      <w:pPr>
        <w:ind w:right="20" w:firstLine="2254"/>
        <w:spacing w:after="0" w:line="267" w:lineRule="auto"/>
        <w:tabs>
          <w:tab w:leader="none" w:pos="2642" w:val="left"/>
        </w:tabs>
        <w:numPr>
          <w:ilvl w:val="1"/>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Misuse and Inequitable Conduct. </w:t>
      </w:r>
      <w:r>
        <w:rPr>
          <w:rFonts w:ascii="Arial" w:cs="Arial" w:eastAsia="Arial" w:hAnsi="Arial"/>
          <w:sz w:val="20"/>
          <w:szCs w:val="20"/>
          <w:color w:val="auto"/>
        </w:rPr>
        <w:t>Neither the Seller nor any Seller Affiliate has engaged in any patent</w:t>
      </w:r>
      <w:r>
        <w:rPr>
          <w:rFonts w:ascii="Arial" w:cs="Arial" w:eastAsia="Arial" w:hAnsi="Arial"/>
          <w:sz w:val="20"/>
          <w:szCs w:val="20"/>
          <w:b w:val="1"/>
          <w:bCs w:val="1"/>
          <w:color w:val="auto"/>
        </w:rPr>
        <w:t xml:space="preserve"> </w:t>
      </w:r>
      <w:r>
        <w:rPr>
          <w:rFonts w:ascii="Arial" w:cs="Arial" w:eastAsia="Arial" w:hAnsi="Arial"/>
          <w:sz w:val="20"/>
          <w:szCs w:val="20"/>
          <w:color w:val="auto"/>
        </w:rPr>
        <w:t>misuse, fraud or inequitable conduct in connection with the prosecution or registration of any Registered IP.</w:t>
      </w:r>
    </w:p>
    <w:p>
      <w:pPr>
        <w:spacing w:after="0" w:line="163" w:lineRule="exact"/>
        <w:rPr>
          <w:rFonts w:ascii="Arial" w:cs="Arial" w:eastAsia="Arial" w:hAnsi="Arial"/>
          <w:sz w:val="20"/>
          <w:szCs w:val="20"/>
          <w:b w:val="1"/>
          <w:bCs w:val="1"/>
          <w:color w:val="auto"/>
        </w:rPr>
      </w:pPr>
    </w:p>
    <w:p>
      <w:pPr>
        <w:jc w:val="both"/>
        <w:ind w:firstLine="2254"/>
        <w:spacing w:after="0" w:line="262" w:lineRule="auto"/>
        <w:tabs>
          <w:tab w:leader="none" w:pos="2642" w:val="left"/>
        </w:tabs>
        <w:numPr>
          <w:ilvl w:val="1"/>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Legal Requirements and Deadlines. </w:t>
      </w:r>
      <w:r>
        <w:rPr>
          <w:rFonts w:ascii="Arial" w:cs="Arial" w:eastAsia="Arial" w:hAnsi="Arial"/>
          <w:sz w:val="19"/>
          <w:szCs w:val="19"/>
          <w:color w:val="auto"/>
        </w:rPr>
        <w:t>All filings, payments and other actions required to be made to or</w:t>
      </w:r>
      <w:r>
        <w:rPr>
          <w:rFonts w:ascii="Arial" w:cs="Arial" w:eastAsia="Arial" w:hAnsi="Arial"/>
          <w:sz w:val="19"/>
          <w:szCs w:val="19"/>
          <w:b w:val="1"/>
          <w:bCs w:val="1"/>
          <w:color w:val="auto"/>
        </w:rPr>
        <w:t xml:space="preserve"> </w:t>
      </w:r>
      <w:r>
        <w:rPr>
          <w:rFonts w:ascii="Arial" w:cs="Arial" w:eastAsia="Arial" w:hAnsi="Arial"/>
          <w:sz w:val="19"/>
          <w:szCs w:val="19"/>
          <w:color w:val="auto"/>
        </w:rPr>
        <w:t>taken before a Governmental Body to maintain each item of Registered IP in full force and effect have been made by the applicable deadline. No application for a patent or trademark registration or any other type of Registered IP filed by or on behalf of the Seller or any Seller Affiliate has been abandoned, allowed to lapse, canceled or rejected, except as would not materially impair the operation or conduct of the Business and has been abandoned or allowed to lapse in the reasonable business judgment of the Seller.</w:t>
      </w:r>
    </w:p>
    <w:p>
      <w:pPr>
        <w:spacing w:after="0" w:line="170" w:lineRule="exact"/>
        <w:rPr>
          <w:rFonts w:ascii="Arial" w:cs="Arial" w:eastAsia="Arial" w:hAnsi="Arial"/>
          <w:sz w:val="19"/>
          <w:szCs w:val="19"/>
          <w:b w:val="1"/>
          <w:bCs w:val="1"/>
          <w:color w:val="auto"/>
        </w:rPr>
      </w:pPr>
    </w:p>
    <w:p>
      <w:pPr>
        <w:jc w:val="both"/>
        <w:ind w:firstLine="2254"/>
        <w:spacing w:after="0" w:line="246" w:lineRule="auto"/>
        <w:tabs>
          <w:tab w:leader="none" w:pos="2642" w:val="left"/>
        </w:tabs>
        <w:numPr>
          <w:ilvl w:val="1"/>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Interference Proceedings and Similar Claims. </w:t>
      </w:r>
      <w:r>
        <w:rPr>
          <w:rFonts w:ascii="Arial" w:cs="Arial" w:eastAsia="Arial" w:hAnsi="Arial"/>
          <w:sz w:val="20"/>
          <w:szCs w:val="20"/>
          <w:color w:val="auto"/>
        </w:rPr>
        <w:t>Except as set forth in Part 2.4(h)(iii) of the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 no interference, opposition, reissue, reexamination or other Proceeding is or has been pending or, to the Knowledge of the Seller, has been threatened against the Seller or any Seller Affiliate, in which the scope, validity or enforceability of any Registered IP is being or has been contested or challenged. To the Knowledge of the Seller, there is no basis for a claim that any Registered IP is invalid or unenforceable.</w:t>
      </w:r>
    </w:p>
    <w:p>
      <w:pPr>
        <w:spacing w:after="0" w:line="184" w:lineRule="exact"/>
        <w:rPr>
          <w:rFonts w:ascii="Arial" w:cs="Arial" w:eastAsia="Arial" w:hAnsi="Arial"/>
          <w:sz w:val="20"/>
          <w:szCs w:val="20"/>
          <w:b w:val="1"/>
          <w:bCs w:val="1"/>
          <w:color w:val="auto"/>
        </w:rPr>
      </w:pPr>
    </w:p>
    <w:p>
      <w:pPr>
        <w:jc w:val="both"/>
        <w:ind w:firstLine="2254"/>
        <w:spacing w:after="0" w:line="265" w:lineRule="auto"/>
        <w:tabs>
          <w:tab w:leader="none" w:pos="2642" w:val="left"/>
        </w:tabs>
        <w:numPr>
          <w:ilvl w:val="1"/>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Marks. </w:t>
      </w:r>
      <w:r>
        <w:rPr>
          <w:rFonts w:ascii="Arial" w:cs="Arial" w:eastAsia="Arial" w:hAnsi="Arial"/>
          <w:sz w:val="19"/>
          <w:szCs w:val="19"/>
          <w:color w:val="auto"/>
        </w:rPr>
        <w:t>(A) None of the Marks included in the Product IP conflict or interfere with any Mark registered or</w:t>
      </w:r>
      <w:r>
        <w:rPr>
          <w:rFonts w:ascii="Arial" w:cs="Arial" w:eastAsia="Arial" w:hAnsi="Arial"/>
          <w:sz w:val="19"/>
          <w:szCs w:val="19"/>
          <w:b w:val="1"/>
          <w:bCs w:val="1"/>
          <w:color w:val="auto"/>
        </w:rPr>
        <w:t xml:space="preserve"> </w:t>
      </w:r>
      <w:r>
        <w:rPr>
          <w:rFonts w:ascii="Arial" w:cs="Arial" w:eastAsia="Arial" w:hAnsi="Arial"/>
          <w:sz w:val="19"/>
          <w:szCs w:val="19"/>
          <w:color w:val="auto"/>
        </w:rPr>
        <w:t>applied for by any other Person and (B) no event or circumstance has occurred or exists that has resulted in or could reasonably be expected to result in the abandonment of any of the Marks included in the Product IP, except as would not materially impair the operation or conduct of the Business or has been abandoned or allowed to lapse in the reasonable business judgement of the Seller.</w:t>
      </w:r>
    </w:p>
    <w:p>
      <w:pPr>
        <w:spacing w:after="0" w:line="169" w:lineRule="exact"/>
        <w:rPr>
          <w:rFonts w:ascii="Arial" w:cs="Arial" w:eastAsia="Arial" w:hAnsi="Arial"/>
          <w:sz w:val="19"/>
          <w:szCs w:val="19"/>
          <w:b w:val="1"/>
          <w:bCs w:val="1"/>
          <w:color w:val="auto"/>
        </w:rPr>
      </w:pPr>
    </w:p>
    <w:p>
      <w:pPr>
        <w:jc w:val="both"/>
        <w:ind w:firstLine="1505"/>
        <w:spacing w:after="0" w:line="246" w:lineRule="auto"/>
        <w:tabs>
          <w:tab w:leader="none" w:pos="1893"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Third-Party Infringement of Product IP. </w:t>
      </w:r>
      <w:r>
        <w:rPr>
          <w:rFonts w:ascii="Arial" w:cs="Arial" w:eastAsia="Arial" w:hAnsi="Arial"/>
          <w:sz w:val="20"/>
          <w:szCs w:val="20"/>
          <w:color w:val="auto"/>
        </w:rPr>
        <w:t>To the Knowledge of the Seller, no Person has infringed,</w:t>
      </w:r>
      <w:r>
        <w:rPr>
          <w:rFonts w:ascii="Arial" w:cs="Arial" w:eastAsia="Arial" w:hAnsi="Arial"/>
          <w:sz w:val="20"/>
          <w:szCs w:val="20"/>
          <w:b w:val="1"/>
          <w:bCs w:val="1"/>
          <w:color w:val="auto"/>
        </w:rPr>
        <w:t xml:space="preserve"> </w:t>
      </w:r>
      <w:r>
        <w:rPr>
          <w:rFonts w:ascii="Arial" w:cs="Arial" w:eastAsia="Arial" w:hAnsi="Arial"/>
          <w:sz w:val="20"/>
          <w:szCs w:val="20"/>
          <w:color w:val="auto"/>
        </w:rPr>
        <w:t>misappropriated or otherwise violated, and no Person is currently infringing, misappropriating or otherwise violating, any Product IP or Transferred Technology. Except as set forth in Part 2.4(i) of the Disclosure Schedule, neither the Seller nor any Seller Affiliate has sent or otherwise delivered any written notice or other communication to any Person regarding any actual, alleged or suspected infringement or misappropriation of any Product IP or Transferred Technology.</w:t>
      </w:r>
    </w:p>
    <w:p>
      <w:pPr>
        <w:spacing w:after="0" w:line="184" w:lineRule="exact"/>
        <w:rPr>
          <w:rFonts w:ascii="Arial" w:cs="Arial" w:eastAsia="Arial" w:hAnsi="Arial"/>
          <w:sz w:val="20"/>
          <w:szCs w:val="20"/>
          <w:b w:val="1"/>
          <w:bCs w:val="1"/>
          <w:color w:val="auto"/>
        </w:rPr>
      </w:pPr>
    </w:p>
    <w:p>
      <w:pPr>
        <w:jc w:val="both"/>
        <w:ind w:firstLine="1505"/>
        <w:spacing w:after="0" w:line="253" w:lineRule="auto"/>
        <w:tabs>
          <w:tab w:leader="none" w:pos="1893"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Effects of This Transaction. </w:t>
      </w:r>
      <w:r>
        <w:rPr>
          <w:rFonts w:ascii="Arial" w:cs="Arial" w:eastAsia="Arial" w:hAnsi="Arial"/>
          <w:sz w:val="20"/>
          <w:szCs w:val="20"/>
          <w:color w:val="auto"/>
        </w:rPr>
        <w:t>Neither the execution, delivery, or performance of this Agreement (or any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Transactional Agreements) nor the consummation of any of the transactions contemplated by this Agreement (or any of the other Transactional Agreements) will result in, (i) a material</w:t>
      </w:r>
    </w:p>
    <w:p>
      <w:pPr>
        <w:spacing w:after="0" w:line="183"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ind w:right="420" w:firstLine="8"/>
        <w:spacing w:after="0" w:line="293" w:lineRule="auto"/>
        <w:tabs>
          <w:tab w:leader="none" w:pos="352" w:val="left"/>
        </w:tabs>
        <w:numPr>
          <w:ilvl w:val="0"/>
          <w:numId w:val="10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breach of or default under any Contract pursuant to which the Seller or any Seller Affiliate has obtained any license or other right or interest in, under or to any Product IP or Transferred Technology; (ii) the release, disclosure or delivery of any confidential and proprietary source code included in the Product IP by or to any escrow agent; or (iii) the grant, assignment or transfer to any other Person of any license, option or similar right in or to, or the loss of or Encumbrance on, any Product IP or Transferred Technology.</w:t>
      </w:r>
    </w:p>
    <w:p>
      <w:pPr>
        <w:spacing w:after="0" w:line="170" w:lineRule="exact"/>
        <w:rPr>
          <w:sz w:val="20"/>
          <w:szCs w:val="20"/>
          <w:color w:val="auto"/>
        </w:rPr>
      </w:pPr>
    </w:p>
    <w:p>
      <w:pPr>
        <w:jc w:val="both"/>
        <w:ind w:firstLine="1505"/>
        <w:spacing w:after="0" w:line="246" w:lineRule="auto"/>
        <w:tabs>
          <w:tab w:leader="none" w:pos="1893"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Infringement of Third Party IP Rights. </w:t>
      </w:r>
      <w:r>
        <w:rPr>
          <w:rFonts w:ascii="Arial" w:cs="Arial" w:eastAsia="Arial" w:hAnsi="Arial"/>
          <w:sz w:val="20"/>
          <w:szCs w:val="20"/>
          <w:color w:val="auto"/>
        </w:rPr>
        <w:t>(A) Neither the Seller nor any Seller Affiliate is infringing,</w:t>
      </w:r>
      <w:r>
        <w:rPr>
          <w:rFonts w:ascii="Arial" w:cs="Arial" w:eastAsia="Arial" w:hAnsi="Arial"/>
          <w:sz w:val="20"/>
          <w:szCs w:val="20"/>
          <w:b w:val="1"/>
          <w:bCs w:val="1"/>
          <w:color w:val="auto"/>
        </w:rPr>
        <w:t xml:space="preserve"> </w:t>
      </w:r>
      <w:r>
        <w:rPr>
          <w:rFonts w:ascii="Arial" w:cs="Arial" w:eastAsia="Arial" w:hAnsi="Arial"/>
          <w:sz w:val="20"/>
          <w:szCs w:val="20"/>
          <w:color w:val="auto"/>
        </w:rPr>
        <w:t>misappropriating or otherwise violating or making unlawful use of any Intellectual Property of any other Person in connection with the manufacture, use, commercialization, sale or import of any Product or the Product IP or the Transferred Technology, (B) no Product infringes or violates any Intellectual Property of or contains any Intellectual Property misappropriated from, any other Person, and (C) to the Knowledge of the Seller, there is no basis for a claim alleging any of the foregoing.</w:t>
      </w:r>
    </w:p>
    <w:p>
      <w:pPr>
        <w:spacing w:after="0" w:line="184" w:lineRule="exact"/>
        <w:rPr>
          <w:rFonts w:ascii="Arial" w:cs="Arial" w:eastAsia="Arial" w:hAnsi="Arial"/>
          <w:sz w:val="20"/>
          <w:szCs w:val="20"/>
          <w:b w:val="1"/>
          <w:bCs w:val="1"/>
          <w:color w:val="auto"/>
        </w:rPr>
      </w:pPr>
    </w:p>
    <w:p>
      <w:pPr>
        <w:jc w:val="both"/>
        <w:ind w:firstLine="1505"/>
        <w:spacing w:after="0" w:line="256" w:lineRule="auto"/>
        <w:tabs>
          <w:tab w:leader="none" w:pos="1893"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Infringement Claims. </w:t>
      </w:r>
      <w:r>
        <w:rPr>
          <w:rFonts w:ascii="Arial" w:cs="Arial" w:eastAsia="Arial" w:hAnsi="Arial"/>
          <w:sz w:val="19"/>
          <w:szCs w:val="19"/>
          <w:color w:val="auto"/>
        </w:rPr>
        <w:t>Except as set forth in Part 2.4(l) of the Disclosure Schedule, no infringement,</w:t>
      </w:r>
      <w:r>
        <w:rPr>
          <w:rFonts w:ascii="Arial" w:cs="Arial" w:eastAsia="Arial" w:hAnsi="Arial"/>
          <w:sz w:val="19"/>
          <w:szCs w:val="19"/>
          <w:b w:val="1"/>
          <w:bCs w:val="1"/>
          <w:color w:val="auto"/>
        </w:rPr>
        <w:t xml:space="preserve"> </w:t>
      </w:r>
      <w:r>
        <w:rPr>
          <w:rFonts w:ascii="Arial" w:cs="Arial" w:eastAsia="Arial" w:hAnsi="Arial"/>
          <w:sz w:val="19"/>
          <w:szCs w:val="19"/>
          <w:color w:val="auto"/>
        </w:rPr>
        <w:t>misappropriation or similar claim or Proceeding is pending or, to the Knowledge of the Seller, threatened against the Seller or any Seller Affiliate or, against any other Person who is or may be entitled to be indemnified, defended, held harmless or reimbursed by the Seller or any Seller Affiliate and no Contract binds the Seller or any Seller Affiliate to indemnify, defend or hold harmless any Person with respect to any infringement, misappropriation or similar claim, in each case relating to the Business (other than indemnification provisions in the Seller’s or any Seller Affiliate’s standard forms of Contracts). Except as set forth in Part 2.4(l) of the Disclosure Schedule, the Seller has not received any written notice or other communication relating to any actual, alleged or suspected infringement, misappropriation or violation by the Seller or any of the Seller’s Representatives in conducting the Business, or in developing, manufacturing, promoting or selling any Product, of any Intellectual Property of another Person, including any letter or other communication suggesting or offering that the Seller obtain a license to any Intellectual Property of another Person.</w:t>
      </w:r>
    </w:p>
    <w:p>
      <w:pPr>
        <w:sectPr>
          <w:pgSz w:w="11900" w:h="16838" w:orient="portrait"/>
          <w:cols w:equalWidth="0" w:num="1">
            <w:col w:w="11240"/>
          </w:cols>
          <w:pgMar w:left="320" w:top="130" w:right="339" w:bottom="1440" w:gutter="0" w:footer="0" w:header="0"/>
        </w:sectPr>
      </w:pPr>
    </w:p>
    <w:p>
      <w:pPr>
        <w:spacing w:after="0" w:line="180" w:lineRule="exact"/>
        <w:rPr>
          <w:sz w:val="20"/>
          <w:szCs w:val="20"/>
          <w:color w:val="auto"/>
        </w:rPr>
      </w:pPr>
    </w:p>
    <w:p>
      <w:pPr>
        <w:jc w:val="both"/>
        <w:ind w:firstLine="1505"/>
        <w:spacing w:after="0" w:line="272" w:lineRule="auto"/>
        <w:tabs>
          <w:tab w:leader="none" w:pos="1893"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Infringement Claims Affecting In-Licensed IP. </w:t>
      </w:r>
      <w:r>
        <w:rPr>
          <w:rFonts w:ascii="Arial" w:cs="Arial" w:eastAsia="Arial" w:hAnsi="Arial"/>
          <w:sz w:val="19"/>
          <w:szCs w:val="19"/>
          <w:color w:val="auto"/>
        </w:rPr>
        <w:t>any Intellectual Property licensed to the Seller or any Seller Affiliate threatened against the Seller or any Seller Affiliate.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firstLine="56"/>
        <w:spacing w:after="0" w:line="316" w:lineRule="auto"/>
        <w:rPr>
          <w:sz w:val="20"/>
          <w:szCs w:val="20"/>
          <w:color w:val="auto"/>
        </w:rPr>
      </w:pPr>
      <w:r>
        <w:rPr>
          <w:rFonts w:ascii="Arial" w:cs="Arial" w:eastAsia="Arial" w:hAnsi="Arial"/>
          <w:sz w:val="18"/>
          <w:szCs w:val="18"/>
          <w:color w:val="auto"/>
        </w:rPr>
        <w:t>To the Knowledge of the Seller, no claim or Proceeding involving relating to the Products or the Business is pending or has been</w:t>
      </w:r>
    </w:p>
    <w:p>
      <w:pPr>
        <w:spacing w:after="0" w:line="353" w:lineRule="exact"/>
        <w:rPr>
          <w:sz w:val="20"/>
          <w:szCs w:val="20"/>
          <w:color w:val="auto"/>
        </w:rPr>
      </w:pPr>
    </w:p>
    <w:p>
      <w:pPr>
        <w:sectPr>
          <w:pgSz w:w="11900" w:h="16838" w:orient="portrait"/>
          <w:cols w:equalWidth="0" w:num="2">
            <w:col w:w="5840" w:space="60"/>
            <w:col w:w="5340"/>
          </w:cols>
          <w:pgMar w:left="320" w:top="130" w:right="339" w:bottom="1440" w:gutter="0" w:footer="0" w:header="0"/>
          <w:type w:val="continuous"/>
        </w:sectPr>
      </w:pPr>
    </w:p>
    <w:p>
      <w:pPr>
        <w:ind w:left="760"/>
        <w:spacing w:after="0"/>
        <w:rPr>
          <w:sz w:val="20"/>
          <w:szCs w:val="20"/>
          <w:color w:val="auto"/>
        </w:rPr>
      </w:pPr>
      <w:r>
        <w:rPr>
          <w:rFonts w:ascii="Arial" w:cs="Arial" w:eastAsia="Arial" w:hAnsi="Arial"/>
          <w:sz w:val="20"/>
          <w:szCs w:val="20"/>
          <w:b w:val="1"/>
          <w:bCs w:val="1"/>
          <w:color w:val="auto"/>
        </w:rPr>
        <w:t>2.5  Contracts.</w:t>
      </w:r>
    </w:p>
    <w:p>
      <w:pPr>
        <w:spacing w:after="0" w:line="222" w:lineRule="exact"/>
        <w:rPr>
          <w:sz w:val="20"/>
          <w:szCs w:val="20"/>
          <w:color w:val="auto"/>
        </w:rPr>
      </w:pPr>
    </w:p>
    <w:p>
      <w:pPr>
        <w:ind w:right="60" w:firstLine="1505"/>
        <w:spacing w:after="0" w:line="260" w:lineRule="auto"/>
        <w:tabs>
          <w:tab w:leader="none" w:pos="1893" w:val="left"/>
        </w:tabs>
        <w:numPr>
          <w:ilvl w:val="0"/>
          <w:numId w:val="106"/>
        </w:numPr>
        <w:rPr>
          <w:rFonts w:ascii="Arial" w:cs="Arial" w:eastAsia="Arial" w:hAnsi="Arial"/>
          <w:sz w:val="20"/>
          <w:szCs w:val="20"/>
          <w:b w:val="1"/>
          <w:bCs w:val="1"/>
          <w:color w:val="auto"/>
        </w:rPr>
      </w:pPr>
      <w:r>
        <w:rPr>
          <w:rFonts w:ascii="Arial" w:cs="Arial" w:eastAsia="Arial" w:hAnsi="Arial"/>
          <w:sz w:val="20"/>
          <w:szCs w:val="20"/>
          <w:color w:val="auto"/>
        </w:rPr>
        <w:t>Part 2.5(a) of the Disclosure Schedule lists every Seller Contract of the following types as in effect on the date of this Agreement (each, a “</w:t>
      </w:r>
      <w:r>
        <w:rPr>
          <w:rFonts w:ascii="Arial" w:cs="Arial" w:eastAsia="Arial" w:hAnsi="Arial"/>
          <w:sz w:val="20"/>
          <w:szCs w:val="20"/>
          <w:b w:val="1"/>
          <w:bCs w:val="1"/>
          <w:color w:val="auto"/>
        </w:rPr>
        <w:t>Material Contract</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jc w:val="both"/>
        <w:ind w:left="940" w:firstLine="1314"/>
        <w:spacing w:after="0" w:line="250" w:lineRule="auto"/>
        <w:tabs>
          <w:tab w:leader="none" w:pos="2646"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any Contract that is required by its terms or is currently expected to result in the payment or receipt by the Business of more than [***] in the current fiscal year or in any [***] period over its remaining term, in each case, other than any purchase orders entered into in the Ordinary Course of Business;</w:t>
      </w:r>
    </w:p>
    <w:p>
      <w:pPr>
        <w:spacing w:after="0" w:line="185" w:lineRule="exact"/>
        <w:rPr>
          <w:rFonts w:ascii="Arial" w:cs="Arial" w:eastAsia="Arial" w:hAnsi="Arial"/>
          <w:sz w:val="20"/>
          <w:szCs w:val="20"/>
          <w:b w:val="1"/>
          <w:bCs w:val="1"/>
          <w:color w:val="auto"/>
        </w:rPr>
      </w:pPr>
    </w:p>
    <w:p>
      <w:pPr>
        <w:ind w:left="940" w:firstLine="1314"/>
        <w:spacing w:after="0" w:line="260" w:lineRule="auto"/>
        <w:tabs>
          <w:tab w:leader="none" w:pos="2646"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any Contract that is not terminable by the Seller or any Seller Affiliate by notice of less than [***] months other than outstanding purchase orders entered into in the Ordinary Course of Business;</w:t>
      </w:r>
    </w:p>
    <w:p>
      <w:pPr>
        <w:spacing w:after="0" w:line="176" w:lineRule="exact"/>
        <w:rPr>
          <w:rFonts w:ascii="Arial" w:cs="Arial" w:eastAsia="Arial" w:hAnsi="Arial"/>
          <w:sz w:val="20"/>
          <w:szCs w:val="20"/>
          <w:b w:val="1"/>
          <w:bCs w:val="1"/>
          <w:color w:val="auto"/>
        </w:rPr>
      </w:pPr>
    </w:p>
    <w:p>
      <w:pPr>
        <w:ind w:left="2660" w:hanging="406"/>
        <w:spacing w:after="0"/>
        <w:tabs>
          <w:tab w:leader="none" w:pos="2660"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any Contract that restricts the Business from competing in any line of business in any geographic region in</w:t>
      </w:r>
    </w:p>
    <w:p>
      <w:pPr>
        <w:spacing w:after="0" w:line="38"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20"/>
          <w:szCs w:val="20"/>
          <w:color w:val="auto"/>
        </w:rPr>
        <w:t>the world;</w:t>
      </w:r>
    </w:p>
    <w:p>
      <w:pPr>
        <w:spacing w:after="0" w:line="20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5" w:name="page136"/>
    <w:bookmarkEnd w:id="135"/>
    <w:p>
      <w:pPr>
        <w:ind w:right="420" w:firstLine="8"/>
        <w:spacing w:after="0" w:line="293" w:lineRule="auto"/>
        <w:tabs>
          <w:tab w:leader="none" w:pos="352" w:val="left"/>
        </w:tabs>
        <w:numPr>
          <w:ilvl w:val="0"/>
          <w:numId w:val="10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ind w:left="2660" w:hanging="406"/>
        <w:spacing w:after="0"/>
        <w:tabs>
          <w:tab w:leader="none" w:pos="2660" w:val="left"/>
        </w:tabs>
        <w:numPr>
          <w:ilvl w:val="1"/>
          <w:numId w:val="107"/>
        </w:numPr>
        <w:rPr>
          <w:rFonts w:ascii="Arial" w:cs="Arial" w:eastAsia="Arial" w:hAnsi="Arial"/>
          <w:sz w:val="19"/>
          <w:szCs w:val="19"/>
          <w:b w:val="1"/>
          <w:bCs w:val="1"/>
          <w:color w:val="auto"/>
        </w:rPr>
      </w:pPr>
      <w:r>
        <w:rPr>
          <w:rFonts w:ascii="Arial" w:cs="Arial" w:eastAsia="Arial" w:hAnsi="Arial"/>
          <w:sz w:val="19"/>
          <w:szCs w:val="19"/>
          <w:color w:val="auto"/>
        </w:rPr>
        <w:t>any Contract pursuant to which the Business has granted exclusive rights to a customer or a supplier;</w:t>
      </w:r>
    </w:p>
    <w:p>
      <w:pPr>
        <w:spacing w:after="0" w:line="227" w:lineRule="exact"/>
        <w:rPr>
          <w:rFonts w:ascii="Arial" w:cs="Arial" w:eastAsia="Arial" w:hAnsi="Arial"/>
          <w:sz w:val="19"/>
          <w:szCs w:val="19"/>
          <w:b w:val="1"/>
          <w:bCs w:val="1"/>
          <w:color w:val="auto"/>
        </w:rPr>
      </w:pPr>
    </w:p>
    <w:p>
      <w:pPr>
        <w:ind w:left="940" w:firstLine="1314"/>
        <w:spacing w:after="0" w:line="260" w:lineRule="auto"/>
        <w:tabs>
          <w:tab w:leader="none" w:pos="2646"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joint venture, limited liability company or partnership Contract involving a sharing of profits, revenue or expenses of any Person;</w:t>
      </w:r>
    </w:p>
    <w:p>
      <w:pPr>
        <w:spacing w:after="0" w:line="176" w:lineRule="exact"/>
        <w:rPr>
          <w:rFonts w:ascii="Arial" w:cs="Arial" w:eastAsia="Arial" w:hAnsi="Arial"/>
          <w:sz w:val="20"/>
          <w:szCs w:val="20"/>
          <w:b w:val="1"/>
          <w:bCs w:val="1"/>
          <w:color w:val="auto"/>
        </w:rPr>
      </w:pPr>
    </w:p>
    <w:p>
      <w:pPr>
        <w:jc w:val="both"/>
        <w:ind w:left="940" w:firstLine="1314"/>
        <w:spacing w:after="0" w:line="250" w:lineRule="auto"/>
        <w:tabs>
          <w:tab w:leader="none" w:pos="2646"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Contract evidencing an outstanding loan, advance or investment by the Business to or in any Person, or guarantee by the Business of the obligations of any Person in respect of any Liability of such Person, including letters of credit and surety bonds;</w:t>
      </w:r>
    </w:p>
    <w:p>
      <w:pPr>
        <w:spacing w:after="0" w:line="185" w:lineRule="exact"/>
        <w:rPr>
          <w:rFonts w:ascii="Arial" w:cs="Arial" w:eastAsia="Arial" w:hAnsi="Arial"/>
          <w:sz w:val="20"/>
          <w:szCs w:val="20"/>
          <w:b w:val="1"/>
          <w:bCs w:val="1"/>
          <w:color w:val="auto"/>
        </w:rPr>
      </w:pPr>
    </w:p>
    <w:p>
      <w:pPr>
        <w:ind w:left="940" w:right="20" w:firstLine="1314"/>
        <w:spacing w:after="0" w:line="260" w:lineRule="auto"/>
        <w:tabs>
          <w:tab w:leader="none" w:pos="2646"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Contract (including any note, debenture or loan agreement) relating to indebtedness of the Business or by which the Purchased Assets are bound;</w:t>
      </w:r>
    </w:p>
    <w:p>
      <w:pPr>
        <w:spacing w:after="0" w:line="176" w:lineRule="exact"/>
        <w:rPr>
          <w:rFonts w:ascii="Arial" w:cs="Arial" w:eastAsia="Arial" w:hAnsi="Arial"/>
          <w:sz w:val="20"/>
          <w:szCs w:val="20"/>
          <w:b w:val="1"/>
          <w:bCs w:val="1"/>
          <w:color w:val="auto"/>
        </w:rPr>
      </w:pPr>
    </w:p>
    <w:p>
      <w:pPr>
        <w:ind w:left="940" w:right="20" w:firstLine="1314"/>
        <w:spacing w:after="0" w:line="260" w:lineRule="auto"/>
        <w:tabs>
          <w:tab w:leader="none" w:pos="3042"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distributor, original equipment manufacturer, reseller, value added reseller, sales agent, advertising, agency or manufacturer’s representative Contract;</w:t>
      </w:r>
    </w:p>
    <w:p>
      <w:pPr>
        <w:spacing w:after="0" w:line="176" w:lineRule="exact"/>
        <w:rPr>
          <w:rFonts w:ascii="Arial" w:cs="Arial" w:eastAsia="Arial" w:hAnsi="Arial"/>
          <w:sz w:val="20"/>
          <w:szCs w:val="20"/>
          <w:b w:val="1"/>
          <w:bCs w:val="1"/>
          <w:color w:val="auto"/>
        </w:rPr>
      </w:pPr>
    </w:p>
    <w:p>
      <w:pPr>
        <w:ind w:left="940" w:firstLine="1314"/>
        <w:spacing w:after="0" w:line="260" w:lineRule="auto"/>
        <w:tabs>
          <w:tab w:leader="none" w:pos="2646"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confidentiality or non-disclosure Contract by which the Purchaser would be bound other than any such Contracts entered into by the Seller in the Ordinary Course of Business;</w:t>
      </w:r>
    </w:p>
    <w:p>
      <w:pPr>
        <w:spacing w:after="0" w:line="176" w:lineRule="exact"/>
        <w:rPr>
          <w:rFonts w:ascii="Arial" w:cs="Arial" w:eastAsia="Arial" w:hAnsi="Arial"/>
          <w:sz w:val="20"/>
          <w:szCs w:val="20"/>
          <w:b w:val="1"/>
          <w:bCs w:val="1"/>
          <w:color w:val="auto"/>
        </w:rPr>
      </w:pPr>
    </w:p>
    <w:p>
      <w:pPr>
        <w:jc w:val="both"/>
        <w:ind w:left="940" w:firstLine="1314"/>
        <w:spacing w:after="0" w:line="246" w:lineRule="auto"/>
        <w:tabs>
          <w:tab w:leader="none" w:pos="2673"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any agreement of indemnification or warranty or any Contract containing any support, maintenance or service obligation on the part of the Business (in each case, other than obligations ancillary to commercial agreements entered into in the Ordinary Course of Business (including with respect to customer, supply, distribution, retail and marketing agreements));</w:t>
      </w:r>
    </w:p>
    <w:p>
      <w:pPr>
        <w:spacing w:after="0" w:line="191" w:lineRule="exact"/>
        <w:rPr>
          <w:rFonts w:ascii="Arial" w:cs="Arial" w:eastAsia="Arial" w:hAnsi="Arial"/>
          <w:sz w:val="20"/>
          <w:szCs w:val="20"/>
          <w:b w:val="1"/>
          <w:bCs w:val="1"/>
          <w:color w:val="auto"/>
        </w:rPr>
      </w:pPr>
    </w:p>
    <w:p>
      <w:pPr>
        <w:ind w:left="2660" w:hanging="406"/>
        <w:spacing w:after="0"/>
        <w:tabs>
          <w:tab w:leader="none" w:pos="2660" w:val="left"/>
        </w:tabs>
        <w:numPr>
          <w:ilvl w:val="1"/>
          <w:numId w:val="107"/>
        </w:numPr>
        <w:rPr>
          <w:rFonts w:ascii="Arial" w:cs="Arial" w:eastAsia="Arial" w:hAnsi="Arial"/>
          <w:sz w:val="16"/>
          <w:szCs w:val="16"/>
          <w:b w:val="1"/>
          <w:bCs w:val="1"/>
          <w:color w:val="auto"/>
        </w:rPr>
      </w:pPr>
      <w:r>
        <w:rPr>
          <w:rFonts w:ascii="Arial" w:cs="Arial" w:eastAsia="Arial" w:hAnsi="Arial"/>
          <w:sz w:val="16"/>
          <w:szCs w:val="16"/>
          <w:color w:val="auto"/>
        </w:rPr>
        <w:t>any settlement agreement, consent decree, or other similar agreement with any Governmental Body relating</w:t>
      </w:r>
    </w:p>
    <w:p>
      <w:pPr>
        <w:spacing w:after="0" w:line="61" w:lineRule="exact"/>
        <w:rPr>
          <w:rFonts w:ascii="Arial" w:cs="Arial" w:eastAsia="Arial" w:hAnsi="Arial"/>
          <w:sz w:val="16"/>
          <w:szCs w:val="16"/>
          <w:b w:val="1"/>
          <w:bCs w:val="1"/>
          <w:color w:val="auto"/>
        </w:rPr>
      </w:pPr>
    </w:p>
    <w:p>
      <w:pPr>
        <w:ind w:left="940"/>
        <w:spacing w:after="0"/>
        <w:rPr>
          <w:rFonts w:ascii="Arial" w:cs="Arial" w:eastAsia="Arial" w:hAnsi="Arial"/>
          <w:sz w:val="16"/>
          <w:szCs w:val="16"/>
          <w:b w:val="1"/>
          <w:bCs w:val="1"/>
          <w:color w:val="auto"/>
        </w:rPr>
      </w:pPr>
      <w:r>
        <w:rPr>
          <w:rFonts w:ascii="Arial" w:cs="Arial" w:eastAsia="Arial" w:hAnsi="Arial"/>
          <w:sz w:val="20"/>
          <w:szCs w:val="20"/>
          <w:color w:val="auto"/>
        </w:rPr>
        <w:t>to the Business; and</w:t>
      </w:r>
    </w:p>
    <w:p>
      <w:pPr>
        <w:spacing w:after="0" w:line="199" w:lineRule="exact"/>
        <w:rPr>
          <w:rFonts w:ascii="Arial" w:cs="Arial" w:eastAsia="Arial" w:hAnsi="Arial"/>
          <w:sz w:val="16"/>
          <w:szCs w:val="16"/>
          <w:b w:val="1"/>
          <w:bCs w:val="1"/>
          <w:color w:val="auto"/>
        </w:rPr>
      </w:pPr>
    </w:p>
    <w:p>
      <w:pPr>
        <w:jc w:val="both"/>
        <w:ind w:left="940" w:firstLine="1314"/>
        <w:spacing w:after="0" w:line="282" w:lineRule="auto"/>
        <w:tabs>
          <w:tab w:leader="none" w:pos="2646"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all material agreements pursuant to which the Seller or any Seller Affiliate receives or grants, with respect to the Business, a license to Intellectual Property from or to any other Person (other than (x) commercially available software or software-as-a-service agreements or (y) licenses or grants of rights ancillary to commercial agreements entered into in the Ordinary Course of Business (including with respect to customer, supply, distribution, retail and marketing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avoidance of doubt, no representation and warranty is made in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regarding any Contract that is an Excluded Contract.</w:t>
      </w:r>
    </w:p>
    <w:p>
      <w:pPr>
        <w:spacing w:after="0" w:line="239" w:lineRule="exact"/>
        <w:rPr>
          <w:sz w:val="20"/>
          <w:szCs w:val="20"/>
          <w:color w:val="auto"/>
        </w:rPr>
      </w:pPr>
    </w:p>
    <w:p>
      <w:pPr>
        <w:ind w:firstLine="1505"/>
        <w:spacing w:after="0" w:line="260" w:lineRule="auto"/>
        <w:tabs>
          <w:tab w:leader="none" w:pos="1907" w:val="left"/>
        </w:tabs>
        <w:numPr>
          <w:ilvl w:val="0"/>
          <w:numId w:val="108"/>
        </w:numPr>
        <w:rPr>
          <w:rFonts w:ascii="Arial" w:cs="Arial" w:eastAsia="Arial" w:hAnsi="Arial"/>
          <w:sz w:val="20"/>
          <w:szCs w:val="20"/>
          <w:b w:val="1"/>
          <w:bCs w:val="1"/>
          <w:color w:val="auto"/>
        </w:rPr>
      </w:pPr>
      <w:r>
        <w:rPr>
          <w:rFonts w:ascii="Arial" w:cs="Arial" w:eastAsia="Arial" w:hAnsi="Arial"/>
          <w:sz w:val="20"/>
          <w:szCs w:val="20"/>
          <w:color w:val="auto"/>
        </w:rPr>
        <w:t>Part 2.5(b) of the Disclosure Schedule lists every Shared Contract other than outstanding purchase orders entered into in the Ordinary Course of Business.</w:t>
      </w:r>
    </w:p>
    <w:p>
      <w:pPr>
        <w:spacing w:after="0" w:line="176" w:lineRule="exact"/>
        <w:rPr>
          <w:rFonts w:ascii="Arial" w:cs="Arial" w:eastAsia="Arial" w:hAnsi="Arial"/>
          <w:sz w:val="20"/>
          <w:szCs w:val="20"/>
          <w:b w:val="1"/>
          <w:bCs w:val="1"/>
          <w:color w:val="auto"/>
        </w:rPr>
      </w:pPr>
    </w:p>
    <w:p>
      <w:pPr>
        <w:jc w:val="both"/>
        <w:ind w:firstLine="1505"/>
        <w:spacing w:after="0" w:line="274" w:lineRule="auto"/>
        <w:tabs>
          <w:tab w:leader="none" w:pos="1945"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 xml:space="preserve">Except for terminations in accordance with the terms of Seller Contracts after the date hereof, each Seller Contract is a legal, valid and binding obligation of the Seller or a Seller Affiliate, enforceable against such Person in accordance with its terms and, to the Knowledge of the Seller, each other party thereto, subject in all cases to the General Enforceability Exceptions, except for such failures to be a legal, valid and binding obligation or enforceable that would not reasonably be expected to be material to the Business. The Seller has made available to the Purchaser a complete and correct copy of each written Material Contract, in each case as amended, supplemented or otherwise modified through (and including)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employment agreement, a redacted version of such agreement has been provided in the event that the Seller or a Seller Affiliate is prohibited by such</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6" w:name="page137"/>
    <w:bookmarkEnd w:id="136"/>
    <w:p>
      <w:pPr>
        <w:ind w:right="420" w:firstLine="8"/>
        <w:spacing w:after="0" w:line="293" w:lineRule="auto"/>
        <w:tabs>
          <w:tab w:leader="none" w:pos="352" w:val="left"/>
        </w:tabs>
        <w:numPr>
          <w:ilvl w:val="0"/>
          <w:numId w:val="10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agreement or applicable Laws relating to the safeguarding of data privacy from making available to the Purchaser an unredacted version of such agreement.</w:t>
      </w:r>
    </w:p>
    <w:p>
      <w:pPr>
        <w:spacing w:after="0" w:line="177" w:lineRule="exact"/>
        <w:rPr>
          <w:sz w:val="20"/>
          <w:szCs w:val="20"/>
          <w:color w:val="auto"/>
        </w:rPr>
      </w:pPr>
    </w:p>
    <w:p>
      <w:pPr>
        <w:jc w:val="both"/>
        <w:ind w:firstLine="1505"/>
        <w:spacing w:after="0" w:line="276" w:lineRule="auto"/>
        <w:tabs>
          <w:tab w:leader="none" w:pos="1893"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Except, in each case, as would not reasonably be expected to be material to the Business, neither the Seller nor any Seller Affiliate is in breach or default under any Seller Contract and, to the Knowledge of the Seller, no other party to any such Contract is in breach or default thereunder and, to the Knowledge of the Seller, no event has occurred, and no circumstance or condition exists, that might (with or without notice or lapse of time) (i) result in a violation or breach of any of the provisions of any Seller Contract, or (ii) give any counterparty to a Seller Contract the right (A) to declare a default or exercise any remedy under such Seller Contract, (B) to accelerate the maturity or performance of such Seller Contract or (C) to cancel, terminate or modify any term or provision of such Seller Contract.</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2.6  Compliance with Law.</w:t>
      </w:r>
    </w:p>
    <w:p>
      <w:pPr>
        <w:spacing w:after="0" w:line="222" w:lineRule="exact"/>
        <w:rPr>
          <w:sz w:val="20"/>
          <w:szCs w:val="20"/>
          <w:color w:val="auto"/>
        </w:rPr>
      </w:pPr>
    </w:p>
    <w:p>
      <w:pPr>
        <w:jc w:val="both"/>
        <w:ind w:firstLine="1505"/>
        <w:spacing w:after="0" w:line="244" w:lineRule="auto"/>
        <w:tabs>
          <w:tab w:leader="none" w:pos="1893" w:val="left"/>
        </w:tabs>
        <w:numPr>
          <w:ilvl w:val="1"/>
          <w:numId w:val="111"/>
        </w:numPr>
        <w:rPr>
          <w:rFonts w:ascii="Arial" w:cs="Arial" w:eastAsia="Arial" w:hAnsi="Arial"/>
          <w:sz w:val="20"/>
          <w:szCs w:val="20"/>
          <w:b w:val="1"/>
          <w:bCs w:val="1"/>
          <w:color w:val="auto"/>
        </w:rPr>
      </w:pPr>
      <w:r>
        <w:rPr>
          <w:rFonts w:ascii="Arial" w:cs="Arial" w:eastAsia="Arial" w:hAnsi="Arial"/>
          <w:sz w:val="20"/>
          <w:szCs w:val="20"/>
          <w:color w:val="auto"/>
        </w:rPr>
        <w:t>Since January 1, 2020, the Seller and each Seller Affiliate has been in compliance in all material respects with each applicable Law that is applicable to the conduct of the Business or the ownership or use of any of the Purchased Assets. Since January 1, 2020, neither the Seller nor any Seller Affiliate has received any written notice or other written communication from a Governmental Body that alleges that the Business is not in material compliance with any material Law applicable to the Business or the operations, properties or assets of the Business.</w:t>
      </w:r>
    </w:p>
    <w:p>
      <w:pPr>
        <w:spacing w:after="0" w:line="194" w:lineRule="exact"/>
        <w:rPr>
          <w:rFonts w:ascii="Arial" w:cs="Arial" w:eastAsia="Arial" w:hAnsi="Arial"/>
          <w:sz w:val="20"/>
          <w:szCs w:val="20"/>
          <w:b w:val="1"/>
          <w:bCs w:val="1"/>
          <w:color w:val="auto"/>
        </w:rPr>
      </w:pPr>
    </w:p>
    <w:p>
      <w:pPr>
        <w:jc w:val="both"/>
        <w:ind w:firstLine="1505"/>
        <w:spacing w:after="0" w:line="268" w:lineRule="auto"/>
        <w:tabs>
          <w:tab w:leader="none" w:pos="1893"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Since January 1, 2020, neither the Seller nor any Seller Affiliate has been in violation of any applicable Law relating to bribery or corruption (“</w:t>
      </w:r>
      <w:r>
        <w:rPr>
          <w:rFonts w:ascii="Arial" w:cs="Arial" w:eastAsia="Arial" w:hAnsi="Arial"/>
          <w:sz w:val="18"/>
          <w:szCs w:val="18"/>
          <w:b w:val="1"/>
          <w:bCs w:val="1"/>
          <w:color w:val="auto"/>
        </w:rPr>
        <w:t>Applicable Anti-Bribery Law</w:t>
      </w:r>
      <w:r>
        <w:rPr>
          <w:rFonts w:ascii="Arial" w:cs="Arial" w:eastAsia="Arial" w:hAnsi="Arial"/>
          <w:sz w:val="18"/>
          <w:szCs w:val="18"/>
          <w:color w:val="auto"/>
        </w:rPr>
        <w:t>”), or directly or indirectly, in each case in connection with the conduct of the Business or the use of the Purchased Assets: (i) used any corporate funds (A) to make any unlawful political contribution or gift or for any other unlawful purpose relating to any political activity, (B) to make any unlawful payment to any governmental official or employee, or (C) to establish or maintain any unlawful or unrecorded fund or account of any nature; (ii) made any false or fictitious entry, or failed to make any entry that should have been made, in any of the books of account or other records of the Seller; (iii) made any payoff, influence payment, bribe, rebate, kickback or unlawful payment to any Person; (iv) performed any favor or given any gift which was not deductible for federal income tax purposes; (v) made any payment (whether or not lawful) to any Person, or provided (whether lawfully or unlawfully) any favor or anything of value (whether in the form of property or services, or in any other form) to any Person, for the purpose of obtaining or paying for</w:t>
      </w:r>
    </w:p>
    <w:p>
      <w:pPr>
        <w:spacing w:after="0" w:line="1" w:lineRule="exact"/>
        <w:rPr>
          <w:rFonts w:ascii="Arial" w:cs="Arial" w:eastAsia="Arial" w:hAnsi="Arial"/>
          <w:sz w:val="18"/>
          <w:szCs w:val="18"/>
          <w:b w:val="1"/>
          <w:bCs w:val="1"/>
          <w:color w:val="auto"/>
        </w:rPr>
      </w:pPr>
    </w:p>
    <w:p>
      <w:pPr>
        <w:ind w:firstLine="8"/>
        <w:spacing w:after="0" w:line="244" w:lineRule="auto"/>
        <w:tabs>
          <w:tab w:leader="none" w:pos="36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favorable treatment in securing business, or (B) any other special concession; or (vi) agreed, committed or offered (in writing or otherwise) to take any of the actions described in clauses “(i)” through “(v)” above.</w:t>
      </w:r>
    </w:p>
    <w:p>
      <w:pPr>
        <w:spacing w:after="0" w:line="191" w:lineRule="exact"/>
        <w:rPr>
          <w:rFonts w:ascii="Arial" w:cs="Arial" w:eastAsia="Arial" w:hAnsi="Arial"/>
          <w:sz w:val="20"/>
          <w:szCs w:val="20"/>
          <w:color w:val="auto"/>
        </w:rPr>
      </w:pPr>
    </w:p>
    <w:p>
      <w:pPr>
        <w:jc w:val="both"/>
        <w:ind w:firstLine="1505"/>
        <w:spacing w:after="0" w:line="246" w:lineRule="auto"/>
        <w:tabs>
          <w:tab w:leader="none" w:pos="1920" w:val="left"/>
        </w:tabs>
        <w:numPr>
          <w:ilvl w:val="1"/>
          <w:numId w:val="112"/>
        </w:numPr>
        <w:rPr>
          <w:rFonts w:ascii="Arial" w:cs="Arial" w:eastAsia="Arial" w:hAnsi="Arial"/>
          <w:sz w:val="20"/>
          <w:szCs w:val="20"/>
          <w:b w:val="1"/>
          <w:bCs w:val="1"/>
          <w:color w:val="auto"/>
        </w:rPr>
      </w:pPr>
      <w:r>
        <w:rPr>
          <w:rFonts w:ascii="Arial" w:cs="Arial" w:eastAsia="Arial" w:hAnsi="Arial"/>
          <w:sz w:val="20"/>
          <w:szCs w:val="20"/>
          <w:color w:val="auto"/>
        </w:rPr>
        <w:t>Since January 1, 2020, the Seller and Seller Affiliates materially complied with applicable laws and regulations pertaining to export controls and trade and economic sanctions (collectively, “</w:t>
      </w:r>
      <w:r>
        <w:rPr>
          <w:rFonts w:ascii="Arial" w:cs="Arial" w:eastAsia="Arial" w:hAnsi="Arial"/>
          <w:sz w:val="20"/>
          <w:szCs w:val="20"/>
          <w:b w:val="1"/>
          <w:bCs w:val="1"/>
          <w:color w:val="auto"/>
        </w:rPr>
        <w:t>Trade Control Laws</w:t>
      </w:r>
      <w:r>
        <w:rPr>
          <w:rFonts w:ascii="Arial" w:cs="Arial" w:eastAsia="Arial" w:hAnsi="Arial"/>
          <w:sz w:val="20"/>
          <w:szCs w:val="20"/>
          <w:color w:val="auto"/>
        </w:rPr>
        <w:t>”), and have obtained any material licenses, registrations, and other authorizations required under applicable Trade Controls Laws, in each case in connection with the conduct of the Business or the use of the Purchased Assets.</w:t>
      </w:r>
    </w:p>
    <w:p>
      <w:pPr>
        <w:spacing w:after="0" w:line="191" w:lineRule="exact"/>
        <w:rPr>
          <w:rFonts w:ascii="Arial" w:cs="Arial" w:eastAsia="Arial" w:hAnsi="Arial"/>
          <w:sz w:val="20"/>
          <w:szCs w:val="20"/>
          <w:b w:val="1"/>
          <w:bCs w:val="1"/>
          <w:color w:val="auto"/>
        </w:rPr>
      </w:pPr>
    </w:p>
    <w:p>
      <w:pPr>
        <w:jc w:val="both"/>
        <w:ind w:firstLine="1505"/>
        <w:spacing w:after="0" w:line="276" w:lineRule="auto"/>
        <w:tabs>
          <w:tab w:leader="none" w:pos="1893"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Since January 1, 2020, none of the Seller, Seller Affiliates nor their respective directors, officers, or employees, nor to the Knowledge of the foregoing, any agents acting on their behalf, has been, in each case in connection with the conduct of the Business or the use of the Purchased Assets: (1) located or organized, or resident in a country or territory that is, or whose government is, the subject of Trade Control Laws that broadly prohibit dealings therein (as of the date of this Agreement, Cuba, Iran, North Korea, Syria, and the Crimea, Donetsk, and Luhansk regions of Ukraine (each a “</w:t>
      </w:r>
      <w:r>
        <w:rPr>
          <w:rFonts w:ascii="Arial" w:cs="Arial" w:eastAsia="Arial" w:hAnsi="Arial"/>
          <w:sz w:val="18"/>
          <w:szCs w:val="18"/>
          <w:b w:val="1"/>
          <w:bCs w:val="1"/>
          <w:color w:val="auto"/>
        </w:rPr>
        <w:t>Sanctioned Country</w:t>
      </w:r>
      <w:r>
        <w:rPr>
          <w:rFonts w:ascii="Arial" w:cs="Arial" w:eastAsia="Arial" w:hAnsi="Arial"/>
          <w:sz w:val="18"/>
          <w:szCs w:val="18"/>
          <w:color w:val="auto"/>
        </w:rPr>
        <w:t>”)); (2) owned or controlled by the government of a Sanctioned Country; or (3) (i) designated on an applicable government prohibited parties list, including the U.S. Department of the Treasury’s Office of</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7" w:name="page138"/>
    <w:bookmarkEnd w:id="137"/>
    <w:p>
      <w:pPr>
        <w:ind w:right="420" w:firstLine="8"/>
        <w:spacing w:after="0" w:line="293" w:lineRule="auto"/>
        <w:tabs>
          <w:tab w:leader="none" w:pos="352" w:val="left"/>
        </w:tabs>
        <w:numPr>
          <w:ilvl w:val="0"/>
          <w:numId w:val="11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Foreign Assets Control’s (“</w:t>
      </w:r>
      <w:r>
        <w:rPr>
          <w:rFonts w:ascii="Arial" w:cs="Arial" w:eastAsia="Arial" w:hAnsi="Arial"/>
          <w:sz w:val="20"/>
          <w:szCs w:val="20"/>
          <w:b w:val="1"/>
          <w:bCs w:val="1"/>
          <w:color w:val="auto"/>
        </w:rPr>
        <w:t>OFAC</w:t>
      </w:r>
      <w:r>
        <w:rPr>
          <w:rFonts w:ascii="Arial" w:cs="Arial" w:eastAsia="Arial" w:hAnsi="Arial"/>
          <w:sz w:val="20"/>
          <w:szCs w:val="20"/>
          <w:color w:val="auto"/>
        </w:rPr>
        <w:t>”) Specially Designated Nationals (“</w:t>
      </w:r>
      <w:r>
        <w:rPr>
          <w:rFonts w:ascii="Arial" w:cs="Arial" w:eastAsia="Arial" w:hAnsi="Arial"/>
          <w:sz w:val="20"/>
          <w:szCs w:val="20"/>
          <w:b w:val="1"/>
          <w:bCs w:val="1"/>
          <w:color w:val="auto"/>
        </w:rPr>
        <w:t>SDN</w:t>
      </w:r>
      <w:r>
        <w:rPr>
          <w:rFonts w:ascii="Arial" w:cs="Arial" w:eastAsia="Arial" w:hAnsi="Arial"/>
          <w:sz w:val="20"/>
          <w:szCs w:val="20"/>
          <w:color w:val="auto"/>
        </w:rPr>
        <w:t>”) and Blocked Persons List or the European Union’s Consolidated List of Sanctions; or (ii) directly or indirectly owned or controlled by such listed party (each of the foregoing, a “</w:t>
      </w:r>
      <w:r>
        <w:rPr>
          <w:rFonts w:ascii="Arial" w:cs="Arial" w:eastAsia="Arial" w:hAnsi="Arial"/>
          <w:sz w:val="20"/>
          <w:szCs w:val="20"/>
          <w:b w:val="1"/>
          <w:bCs w:val="1"/>
          <w:color w:val="auto"/>
        </w:rPr>
        <w:t>Prohibited</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83" w:lineRule="exact"/>
        <w:rPr>
          <w:sz w:val="20"/>
          <w:szCs w:val="20"/>
          <w:color w:val="auto"/>
        </w:rPr>
      </w:pPr>
    </w:p>
    <w:p>
      <w:pPr>
        <w:jc w:val="both"/>
        <w:ind w:firstLine="1505"/>
        <w:spacing w:after="0" w:line="282" w:lineRule="auto"/>
        <w:tabs>
          <w:tab w:leader="none" w:pos="1893"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Since January 1, 2020, to the Knowledge of the Seller, no Proceeding, governmental investigation, or inquiry related to Trade Control Laws is or has been pending or threatened in writing against the Seller or Seller Affiliates, or any officer or director of the foregoing (in his or her capacity as an officer or director of the same) in connection with the conduct of the Business or the use of the Purchased Assets by or before (or, in the case of a threatened matter, that would come before) any Governmental Body.</w:t>
      </w:r>
    </w:p>
    <w:p>
      <w:pPr>
        <w:spacing w:after="0" w:line="161" w:lineRule="exact"/>
        <w:rPr>
          <w:rFonts w:ascii="Arial" w:cs="Arial" w:eastAsia="Arial" w:hAnsi="Arial"/>
          <w:sz w:val="18"/>
          <w:szCs w:val="18"/>
          <w:b w:val="1"/>
          <w:bCs w:val="1"/>
          <w:color w:val="auto"/>
        </w:rPr>
      </w:pPr>
    </w:p>
    <w:p>
      <w:pPr>
        <w:jc w:val="both"/>
        <w:ind w:firstLine="1505"/>
        <w:spacing w:after="0" w:line="250" w:lineRule="auto"/>
        <w:tabs>
          <w:tab w:leader="none" w:pos="1907"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Neither the Seller nor Seller Affiliates will directly or knowingly indirectly use the proceeds of this transaction or lend, contribute, or otherwise make available such proceeds to any Sanctioned Country or Prohibited Party, or in any manner that will result in a violation of Trade Controls Laws.</w:t>
      </w:r>
    </w:p>
    <w:p>
      <w:pPr>
        <w:spacing w:after="0" w:line="180" w:lineRule="exact"/>
        <w:rPr>
          <w:sz w:val="20"/>
          <w:szCs w:val="20"/>
          <w:color w:val="auto"/>
        </w:rPr>
      </w:pPr>
    </w:p>
    <w:p>
      <w:pPr>
        <w:jc w:val="both"/>
        <w:ind w:firstLine="1310"/>
        <w:spacing w:after="0" w:line="257" w:lineRule="auto"/>
        <w:rPr>
          <w:sz w:val="20"/>
          <w:szCs w:val="20"/>
          <w:color w:val="auto"/>
        </w:rPr>
      </w:pPr>
      <w:r>
        <w:rPr>
          <w:rFonts w:ascii="Arial" w:cs="Arial" w:eastAsia="Arial" w:hAnsi="Arial"/>
          <w:sz w:val="19"/>
          <w:szCs w:val="19"/>
          <w:b w:val="1"/>
          <w:bCs w:val="1"/>
          <w:color w:val="auto"/>
        </w:rPr>
        <w:t xml:space="preserve">2.7 Environmental Matters. </w:t>
      </w:r>
      <w:r>
        <w:rPr>
          <w:rFonts w:ascii="Arial" w:cs="Arial" w:eastAsia="Arial" w:hAnsi="Arial"/>
          <w:sz w:val="19"/>
          <w:szCs w:val="19"/>
          <w:color w:val="auto"/>
        </w:rPr>
        <w:t>The Seller and each of the Seller Affiliates, in respect of the Business, the Purchased Assets,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Assumed Liabilities, is and has been in material compliance in all respects with all Environmental Laws, including possession of, and the compliance with, all permits required under applicable Environmental Laws and has not received any notice or other communication (in writing or otherwise) from any Governmental Body or other Person regarding any actual, alleged, possible or potential Liability arising from or relating to the presence, generation, manufacture, production, transportation, importation, use, treatment, refinement, processing, handling, storage, discharge, release, emission or disposal of any Hazardous Material, except, in each case, as would not be material to the Business. No Person has ever commenced or threatened to commence any contribution action or other Proceeding against the Seller or any of the Seller Affiliates in connection with any such actual, alleged, possible or potential Liability, except as would not reasonably be material to the Business.</w:t>
      </w:r>
    </w:p>
    <w:p>
      <w:pPr>
        <w:spacing w:after="0" w:line="176" w:lineRule="exact"/>
        <w:rPr>
          <w:sz w:val="20"/>
          <w:szCs w:val="20"/>
          <w:color w:val="auto"/>
        </w:rPr>
      </w:pPr>
    </w:p>
    <w:p>
      <w:pPr>
        <w:jc w:val="both"/>
        <w:ind w:firstLine="1310"/>
        <w:spacing w:after="0" w:line="255" w:lineRule="auto"/>
        <w:rPr>
          <w:sz w:val="20"/>
          <w:szCs w:val="20"/>
          <w:color w:val="auto"/>
        </w:rPr>
      </w:pPr>
      <w:r>
        <w:rPr>
          <w:rFonts w:ascii="Arial" w:cs="Arial" w:eastAsia="Arial" w:hAnsi="Arial"/>
          <w:sz w:val="19"/>
          <w:szCs w:val="19"/>
          <w:b w:val="1"/>
          <w:bCs w:val="1"/>
          <w:color w:val="auto"/>
        </w:rPr>
        <w:t xml:space="preserve">2.8 Governmental Authorization. </w:t>
      </w:r>
      <w:r>
        <w:rPr>
          <w:rFonts w:ascii="Arial" w:cs="Arial" w:eastAsia="Arial" w:hAnsi="Arial"/>
          <w:sz w:val="19"/>
          <w:szCs w:val="19"/>
          <w:color w:val="auto"/>
        </w:rPr>
        <w:t>Part 2.8 of the Disclosure Schedule identifies each Governmental Authorization held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Seller and/or any Seller Affiliate as of the date of this Agreement primarily related to or necessary for the operation of the Business or use of the Purchased Assets except those Governmental Authorizations that are not material to the Business or the use of the Purchased Assets. The Seller and each Seller Affiliate hold all material Governmental Authorizations that are necessary for the operation of the Business as currently operated. All such material Governmental Authorizations held by the Seller and Seller Affiliates are in full force and effect and no violation of, or default under, any such Governmental Authorizations has occurred which would give any Governmental Body any right of revocation, non-renewal, adverse modification or cancellation of, with or without notice or lapse of time or both, except where such revocation, non-renewal, adverse modification or cancellation of such Governmental Authorizations would not be material to the Business. Neither the Seller nor any Seller Affiliate has ever received any notice or other communication (in writing or otherwise) from any Governmental Body or any other Person regarding (x) any actual, alleged, possible or potential material violation of or failure to comply with any term or requirement of any material Governmental Authorization that is necessary for the operation of the Business as currently operated or use of the Purchased Assets, or (y) any actual, proposed, possible or potential revocation, withdrawal, suspension, cancellation, termination or modification of any material Governmental Authorization that is necessary for the operation of the Business as currently operated or use of the Purchased Assets.</w:t>
      </w:r>
    </w:p>
    <w:p>
      <w:pPr>
        <w:spacing w:after="0" w:line="179" w:lineRule="exact"/>
        <w:rPr>
          <w:sz w:val="20"/>
          <w:szCs w:val="20"/>
          <w:color w:val="auto"/>
        </w:rPr>
      </w:pPr>
    </w:p>
    <w:p>
      <w:pPr>
        <w:jc w:val="both"/>
        <w:ind w:right="20" w:firstLine="1310"/>
        <w:spacing w:after="0" w:line="253" w:lineRule="auto"/>
        <w:rPr>
          <w:sz w:val="20"/>
          <w:szCs w:val="20"/>
          <w:color w:val="auto"/>
        </w:rPr>
      </w:pPr>
      <w:r>
        <w:rPr>
          <w:rFonts w:ascii="Arial" w:cs="Arial" w:eastAsia="Arial" w:hAnsi="Arial"/>
          <w:sz w:val="20"/>
          <w:szCs w:val="20"/>
          <w:b w:val="1"/>
          <w:bCs w:val="1"/>
          <w:color w:val="auto"/>
        </w:rPr>
        <w:t xml:space="preserve">2.9 Proceedings; Orders. </w:t>
      </w:r>
      <w:r>
        <w:rPr>
          <w:rFonts w:ascii="Arial" w:cs="Arial" w:eastAsia="Arial" w:hAnsi="Arial"/>
          <w:sz w:val="20"/>
          <w:szCs w:val="20"/>
          <w:color w:val="auto"/>
        </w:rPr>
        <w:t>There are no Proceedings pending or, to the Knowledge of the Seller, threatened, (i) against the</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or the Seller and any Seller Affiliate with respect to the Business or (ii) that seeks to prevent, hinder, modify or delay the transactions contemplated hereby. No</w:t>
      </w:r>
    </w:p>
    <w:p>
      <w:pPr>
        <w:spacing w:after="0" w:line="183"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8" w:name="page139"/>
    <w:bookmarkEnd w:id="138"/>
    <w:p>
      <w:pPr>
        <w:ind w:right="420" w:firstLine="8"/>
        <w:spacing w:after="0" w:line="293" w:lineRule="auto"/>
        <w:tabs>
          <w:tab w:leader="none" w:pos="352" w:val="left"/>
        </w:tabs>
        <w:numPr>
          <w:ilvl w:val="0"/>
          <w:numId w:val="11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event has occurred that would reasonably be expected to give rise to or serve as a basis for the commencement of any such Proceeding.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 are no Orders that restrict the activities of the Business in any material respect, other than COVID-19 Measures.</w:t>
      </w:r>
    </w:p>
    <w:p>
      <w:pPr>
        <w:spacing w:after="0" w:line="194" w:lineRule="exact"/>
        <w:rPr>
          <w:sz w:val="20"/>
          <w:szCs w:val="20"/>
          <w:color w:val="auto"/>
        </w:rPr>
      </w:pPr>
    </w:p>
    <w:p>
      <w:pPr>
        <w:jc w:val="both"/>
        <w:ind w:firstLine="1310"/>
        <w:spacing w:after="0" w:line="273" w:lineRule="auto"/>
        <w:rPr>
          <w:sz w:val="20"/>
          <w:szCs w:val="20"/>
          <w:color w:val="auto"/>
        </w:rPr>
      </w:pPr>
      <w:r>
        <w:rPr>
          <w:rFonts w:ascii="Arial" w:cs="Arial" w:eastAsia="Arial" w:hAnsi="Arial"/>
          <w:sz w:val="18"/>
          <w:szCs w:val="18"/>
          <w:b w:val="1"/>
          <w:bCs w:val="1"/>
          <w:color w:val="auto"/>
        </w:rPr>
        <w:t xml:space="preserve">2.10 Authority; Binding Nature Of Agreements. </w:t>
      </w:r>
      <w:r>
        <w:rPr>
          <w:rFonts w:ascii="Arial" w:cs="Arial" w:eastAsia="Arial" w:hAnsi="Arial"/>
          <w:sz w:val="18"/>
          <w:szCs w:val="18"/>
          <w:color w:val="auto"/>
        </w:rPr>
        <w:t>The Seller has all requisite corporate power and authority 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and to perform its obligations under each of the Transactional Agreements to which it is or may become a party; and the execution, delivery and performance by the Seller of the Transactional Agreements to which it is or may become a party have been duly authorized by all necessary corporate action on the part of the Seller. This Agreement constitutes the legal, valid and binding obligation of the Seller, enforceable against the Seller in accordance with its terms, except in each case as may be limited by applicable bankruptcy, insolvency, reorganization, moratorium, liquidation, fraudulent conveyance, and other similar Laws and principles of equity affecting creditors’ rights and remedies generally (the “</w:t>
      </w:r>
      <w:r>
        <w:rPr>
          <w:rFonts w:ascii="Arial" w:cs="Arial" w:eastAsia="Arial" w:hAnsi="Arial"/>
          <w:sz w:val="18"/>
          <w:szCs w:val="18"/>
          <w:b w:val="1"/>
          <w:bCs w:val="1"/>
          <w:color w:val="auto"/>
        </w:rPr>
        <w:t>General Enforceability Exceptions</w:t>
      </w:r>
      <w:r>
        <w:rPr>
          <w:rFonts w:ascii="Arial" w:cs="Arial" w:eastAsia="Arial" w:hAnsi="Arial"/>
          <w:sz w:val="18"/>
          <w:szCs w:val="18"/>
          <w:color w:val="auto"/>
        </w:rPr>
        <w:t>”). Upon the execution of each of the other Transactional Agreements at the Closing, each of such other Transactional Agreements to which the Seller is a party will constitute the legal, valid and binding obligation of the Seller and will be enforceable against the Seller in accordance with its terms, subject to the General Enforceability Exceptions.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2.11 Non-Contravention; Consents. </w:t>
      </w:r>
      <w:r>
        <w:rPr>
          <w:rFonts w:ascii="Arial" w:cs="Arial" w:eastAsia="Arial" w:hAnsi="Arial"/>
          <w:sz w:val="20"/>
          <w:szCs w:val="20"/>
          <w:color w:val="auto"/>
        </w:rPr>
        <w:t>Except as set forth in Part 2.11 of the Disclosure Schedule, neither the execution and 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of any of the Transactional Agreements, nor the consummation or performance of any of the Transactions, will directly or indirectly (with or without notice or lapse of time):</w:t>
      </w:r>
    </w:p>
    <w:p>
      <w:pPr>
        <w:spacing w:after="0" w:line="183" w:lineRule="exact"/>
        <w:rPr>
          <w:sz w:val="20"/>
          <w:szCs w:val="20"/>
          <w:color w:val="auto"/>
        </w:rPr>
      </w:pPr>
    </w:p>
    <w:p>
      <w:pPr>
        <w:ind w:firstLine="1505"/>
        <w:spacing w:after="0" w:line="260" w:lineRule="auto"/>
        <w:tabs>
          <w:tab w:leader="none" w:pos="1893"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contravene, conflict with or result in a violation of any of the provisions of the Seller’s certificate of incorporation or bylaws or other organizational documents of the Seller;</w:t>
      </w:r>
    </w:p>
    <w:p>
      <w:pPr>
        <w:spacing w:after="0" w:line="176" w:lineRule="exact"/>
        <w:rPr>
          <w:rFonts w:ascii="Arial" w:cs="Arial" w:eastAsia="Arial" w:hAnsi="Arial"/>
          <w:sz w:val="20"/>
          <w:szCs w:val="20"/>
          <w:b w:val="1"/>
          <w:bCs w:val="1"/>
          <w:color w:val="auto"/>
        </w:rPr>
      </w:pPr>
    </w:p>
    <w:p>
      <w:pPr>
        <w:jc w:val="both"/>
        <w:ind w:firstLine="1505"/>
        <w:spacing w:after="0" w:line="250" w:lineRule="auto"/>
        <w:tabs>
          <w:tab w:leader="none" w:pos="1907"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contravene, conflict with or result in a violation of, or give any Governmental Body or other Person the right to challenge any of the Transactions or to exercise any remedy or obtain any relief under, any applicable Law or any Order to which the Seller, or any of the Purchased Assets or Transferred Technology, is subject;</w:t>
      </w:r>
    </w:p>
    <w:p>
      <w:pPr>
        <w:spacing w:after="0" w:line="185" w:lineRule="exact"/>
        <w:rPr>
          <w:rFonts w:ascii="Arial" w:cs="Arial" w:eastAsia="Arial" w:hAnsi="Arial"/>
          <w:sz w:val="20"/>
          <w:szCs w:val="20"/>
          <w:b w:val="1"/>
          <w:bCs w:val="1"/>
          <w:color w:val="auto"/>
        </w:rPr>
      </w:pPr>
    </w:p>
    <w:p>
      <w:pPr>
        <w:jc w:val="both"/>
        <w:ind w:firstLine="1505"/>
        <w:spacing w:after="0" w:line="246" w:lineRule="auto"/>
        <w:tabs>
          <w:tab w:leader="none" w:pos="1893"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conflict with, violate, result in the breach or termination of, or constitute (with or without notice or lapse of time or both) a default under, require the Seller or any Seller Affiliate to obtain any consent, approval or action of, make any filing with or give any notice to any Person under, give rise to any right of termination or acceleration or right to increase the obligations or otherwise adversely modify the terms under, any Seller Contract; or</w:t>
      </w:r>
    </w:p>
    <w:p>
      <w:pPr>
        <w:spacing w:after="0" w:line="191" w:lineRule="exact"/>
        <w:rPr>
          <w:rFonts w:ascii="Arial" w:cs="Arial" w:eastAsia="Arial" w:hAnsi="Arial"/>
          <w:sz w:val="20"/>
          <w:szCs w:val="20"/>
          <w:b w:val="1"/>
          <w:bCs w:val="1"/>
          <w:color w:val="auto"/>
        </w:rPr>
      </w:pPr>
    </w:p>
    <w:p>
      <w:pPr>
        <w:ind w:firstLine="1505"/>
        <w:spacing w:after="0" w:line="260" w:lineRule="auto"/>
        <w:tabs>
          <w:tab w:leader="none" w:pos="1893"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result in the creation of any Encumbrance (other than any Permitted Encumbrance or any Encumbrance created by or through the Purchaser) upon any of the Purchased Assets;</w:t>
      </w:r>
    </w:p>
    <w:p>
      <w:pPr>
        <w:spacing w:after="0" w:line="177"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except, in the case of (c) or (d) as would not reasonably be expected to be material to the Business or prevent or materially impair or delay the Seller from performing its obligations under this Agreement and the other Transactional Agreements or from consummating the transactions contemplated hereby or thereby.</w:t>
      </w:r>
    </w:p>
    <w:p>
      <w:pPr>
        <w:spacing w:after="0" w:line="180" w:lineRule="exact"/>
        <w:rPr>
          <w:sz w:val="20"/>
          <w:szCs w:val="20"/>
          <w:color w:val="auto"/>
        </w:rPr>
      </w:pPr>
    </w:p>
    <w:p>
      <w:pPr>
        <w:jc w:val="both"/>
        <w:ind w:firstLine="1310"/>
        <w:spacing w:after="0" w:line="285" w:lineRule="auto"/>
        <w:rPr>
          <w:sz w:val="20"/>
          <w:szCs w:val="20"/>
          <w:color w:val="auto"/>
        </w:rPr>
      </w:pPr>
      <w:r>
        <w:rPr>
          <w:rFonts w:ascii="Arial" w:cs="Arial" w:eastAsia="Arial" w:hAnsi="Arial"/>
          <w:sz w:val="18"/>
          <w:szCs w:val="18"/>
          <w:b w:val="1"/>
          <w:bCs w:val="1"/>
          <w:color w:val="auto"/>
        </w:rPr>
        <w:t xml:space="preserve">2.12 Brokers and Finders. </w:t>
      </w:r>
      <w:r>
        <w:rPr>
          <w:rFonts w:ascii="Arial" w:cs="Arial" w:eastAsia="Arial" w:hAnsi="Arial"/>
          <w:sz w:val="18"/>
          <w:szCs w:val="18"/>
          <w:color w:val="auto"/>
        </w:rPr>
        <w:t>No agent, broker, investment banker or other Person is or will be entitled to any broker’s or</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 or any other commission or similar fee from the Purchaser or the Purchaser Affiliates in connection with the transactions contemplated by this Agreement and the other Transactional Agreements as a result of any arrangements entered into by the Seller or the Seller Affiliates, other than fees due to Goldman Sachs Bank Europe SE, Succursale Italia which will be paid by the Seller.</w:t>
      </w:r>
    </w:p>
    <w:p>
      <w:pPr>
        <w:spacing w:after="0" w:line="15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9" w:name="page140"/>
    <w:bookmarkEnd w:id="139"/>
    <w:p>
      <w:pPr>
        <w:ind w:right="420" w:firstLine="8"/>
        <w:spacing w:after="0" w:line="293" w:lineRule="auto"/>
        <w:tabs>
          <w:tab w:leader="none" w:pos="352" w:val="left"/>
        </w:tabs>
        <w:numPr>
          <w:ilvl w:val="0"/>
          <w:numId w:val="11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1310"/>
        <w:spacing w:after="0" w:line="268" w:lineRule="auto"/>
        <w:rPr>
          <w:sz w:val="20"/>
          <w:szCs w:val="20"/>
          <w:color w:val="auto"/>
        </w:rPr>
      </w:pPr>
      <w:r>
        <w:rPr>
          <w:rFonts w:ascii="Arial" w:cs="Arial" w:eastAsia="Arial" w:hAnsi="Arial"/>
          <w:sz w:val="18"/>
          <w:szCs w:val="18"/>
          <w:b w:val="1"/>
          <w:bCs w:val="1"/>
          <w:color w:val="auto"/>
        </w:rPr>
        <w:t xml:space="preserve">2.13 Tax Matters. </w:t>
      </w:r>
      <w:r>
        <w:rPr>
          <w:rFonts w:ascii="Arial" w:cs="Arial" w:eastAsia="Arial" w:hAnsi="Arial"/>
          <w:sz w:val="18"/>
          <w:szCs w:val="18"/>
          <w:color w:val="auto"/>
        </w:rPr>
        <w:t>All of the material Tax Returns required to be filed by the Seller or an applicable Seller Affiliate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relate in whole or in part to the Business or the Purchased Assets have been timely filed and (a) all such Tax Returns are true, complete and correct in all material respects, and (b) all material Taxes required to be paid by the Seller or an applicable Seller Affiliate that relate in whole or in part to the Business or the Purchased Assets (whether or not shown on any Tax Return) have been paid in full, including any Taxes the non-payment of which has resulted or would reasonably be expected to result in a Encumbrance on any Purchased Asset that survives the Closing or would reasonably be expected to result in Purchaser becoming liable or responsible therefor. Neither the Seller nor any Seller Affiliate has deferred or delayed the payment of any Taxes under Laws promulgated in response to the COVID-19 pandemic that would reasonably be expected to result in the Purchaser or any Purchaser Affiliate becoming liable or responsible therefor. Neither the Seller nor any Seller Affiliate has received any notice of a material audit, procedure, proceeding or contest, and is not undergoing any material audit, procedure, proceeding or contest, of Tax Returns or Taxes relating to the Business or the Purchased Assets and has never received any notice of material deficiency or assessment from any taxing authority with respect to any Liability for Taxes relating to the Business or the Purchased Assets which has not been fully paid or finally settled. Seller and each applicable Seller Affiliate has complied in all respects with all applicable Laws relating to the payment and withholding of Taxes and has withheld all amounts required by Law to be withheld from the wages or salaries of employees and independent contractors relating to the Business (or any other amount payable to any other Person) and is not liable for any Taxes with respect to the employees and independent contractors relating to the Business (or any such other Person) for failure to comply with such Laws, except for such Liabilities with respect to which none of Purchaser or any Purchaser Affiliate would reasonably be expected to be liable after the Closing. There are no outstanding waivers of any limitation periods or agreements, other than waivers obtained in the Ordinary Course of Business, providing for an extension of time for (i) the filing of any income or other material Tax Return with respect to the Purchased Assets or the Business, (ii) the assessment or collection of any Tax by any relevant Governmental Body with respect to the Purchased Assets or the Business or (iii) the payment of any Tax by Seller or any Seller Affiliate with respect to the Purchased Assets or the Business, in each case, except for waivers that would not reasonably be expected to result in Taxes for which Purchaser or any Purchaser Affiliate could be liable after the Closing. No Seller Affiliate that is selling, assigning, transferring, conveying and/or delivering any Purchased Asset pursuant to this Agreement has made an election pursuant to Section 897(i) of the Code. No closing agreement, private letter ruling, technical advice memoranda, advance pricing agreement, consent to an extension of time to make an election or consent to a change a method of accounting, has been requested from, entered into with or issued by any Governmental Body with respect to the Purchased Assets or the Business.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2.14 Financial Information and Absence of Changes.</w:t>
      </w:r>
    </w:p>
    <w:p>
      <w:pPr>
        <w:spacing w:after="0" w:line="222" w:lineRule="exact"/>
        <w:rPr>
          <w:sz w:val="20"/>
          <w:szCs w:val="20"/>
          <w:color w:val="auto"/>
        </w:rPr>
      </w:pPr>
    </w:p>
    <w:p>
      <w:pPr>
        <w:jc w:val="both"/>
        <w:ind w:firstLine="1505"/>
        <w:spacing w:after="0" w:line="272" w:lineRule="auto"/>
        <w:tabs>
          <w:tab w:leader="none" w:pos="1893"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Part 2.14 of the Disclosure Schedule sets forth a copy of the unaudited balance sheet of the Business as of September 30, 2022, and the statement of income of the Business for the nine (9) months ended September 30, 2022 (the “</w:t>
      </w:r>
      <w:r>
        <w:rPr>
          <w:rFonts w:ascii="Arial" w:cs="Arial" w:eastAsia="Arial" w:hAnsi="Arial"/>
          <w:sz w:val="18"/>
          <w:szCs w:val="18"/>
          <w:b w:val="1"/>
          <w:bCs w:val="1"/>
          <w:color w:val="auto"/>
        </w:rPr>
        <w:t>Unaudited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 The Unaudited Business Financial Statements have been prepared in good faith from the Books and Records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in a manner consistent with the Seller’s accounting policies and, on that basis, fairly present, in all material respects, the financial position and results of operations of the Business as of the date and for the period indicated, subject, in each case, to the absence of notes and to normal year-end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Unaudited Business Financial Statements and the representations and warranties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are qualified by the fact that (a) the Business has not operated on a separate standalone basis and has historically been reported within the Seller’s consolidated financial statements and (b) the Unaudited Business Financial Statements are not necessarily indicative of the future financial position or results of operations of the Business.</w:t>
      </w:r>
    </w:p>
    <w:p>
      <w:pPr>
        <w:spacing w:after="0" w:line="17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0" w:name="page141"/>
    <w:bookmarkEnd w:id="140"/>
    <w:p>
      <w:pPr>
        <w:ind w:right="420" w:firstLine="8"/>
        <w:spacing w:after="0" w:line="293" w:lineRule="auto"/>
        <w:tabs>
          <w:tab w:leader="none" w:pos="352" w:val="left"/>
        </w:tabs>
        <w:numPr>
          <w:ilvl w:val="0"/>
          <w:numId w:val="11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firstLine="1505"/>
        <w:spacing w:after="0" w:line="244" w:lineRule="auto"/>
        <w:tabs>
          <w:tab w:leader="none" w:pos="1907" w:val="left"/>
        </w:tabs>
        <w:numPr>
          <w:ilvl w:val="1"/>
          <w:numId w:val="119"/>
        </w:numPr>
        <w:rPr>
          <w:rFonts w:ascii="Arial" w:cs="Arial" w:eastAsia="Arial" w:hAnsi="Arial"/>
          <w:sz w:val="20"/>
          <w:szCs w:val="20"/>
          <w:b w:val="1"/>
          <w:bCs w:val="1"/>
          <w:color w:val="auto"/>
        </w:rPr>
      </w:pPr>
      <w:r>
        <w:rPr>
          <w:rFonts w:ascii="Arial" w:cs="Arial" w:eastAsia="Arial" w:hAnsi="Arial"/>
          <w:sz w:val="20"/>
          <w:szCs w:val="20"/>
          <w:color w:val="auto"/>
        </w:rPr>
        <w:t>Other than (i) as set forth in the Unaudited Business Financial Statements; (ii) Liabilities incurred since September 30, 2022 in the Ordinary Course of Business; (iii) Liabilities that have been or will be incurred in connection with the transactions contemplated hereby or the announcement, negotiation, execution or performance of this Agreement or the other Transactional Agreements; and (iv) Liabilities that are not material to the Business, there are no Liabilities of the Business that are required to be reflected on a balance sheet prepared in accordance with GAAP.</w:t>
      </w:r>
    </w:p>
    <w:p>
      <w:pPr>
        <w:spacing w:after="0" w:line="194" w:lineRule="exact"/>
        <w:rPr>
          <w:rFonts w:ascii="Arial" w:cs="Arial" w:eastAsia="Arial" w:hAnsi="Arial"/>
          <w:sz w:val="20"/>
          <w:szCs w:val="20"/>
          <w:b w:val="1"/>
          <w:bCs w:val="1"/>
          <w:color w:val="auto"/>
        </w:rPr>
      </w:pPr>
    </w:p>
    <w:p>
      <w:pPr>
        <w:jc w:val="both"/>
        <w:ind w:firstLine="1505"/>
        <w:spacing w:after="0" w:line="250" w:lineRule="auto"/>
        <w:tabs>
          <w:tab w:leader="none" w:pos="1893" w:val="left"/>
        </w:tabs>
        <w:numPr>
          <w:ilvl w:val="1"/>
          <w:numId w:val="119"/>
        </w:numPr>
        <w:rPr>
          <w:rFonts w:ascii="Arial" w:cs="Arial" w:eastAsia="Arial" w:hAnsi="Arial"/>
          <w:sz w:val="20"/>
          <w:szCs w:val="20"/>
          <w:b w:val="1"/>
          <w:bCs w:val="1"/>
          <w:color w:val="auto"/>
        </w:rPr>
      </w:pPr>
      <w:r>
        <w:rPr>
          <w:rFonts w:ascii="Arial" w:cs="Arial" w:eastAsia="Arial" w:hAnsi="Arial"/>
          <w:sz w:val="20"/>
          <w:szCs w:val="20"/>
          <w:color w:val="auto"/>
        </w:rPr>
        <w:t>Except for the transactions contemplated by this Agreement and any COVID-19 Measures implemented by the Seller or any Seller Affiliates or with which they have complied, since September 30, 2022 through the date of this Agreement, the Seller has conducted the Business in the Ordinary Course of Business in all material respects.</w:t>
      </w:r>
    </w:p>
    <w:p>
      <w:pPr>
        <w:spacing w:after="0" w:line="185" w:lineRule="exact"/>
        <w:rPr>
          <w:rFonts w:ascii="Arial" w:cs="Arial" w:eastAsia="Arial" w:hAnsi="Arial"/>
          <w:sz w:val="20"/>
          <w:szCs w:val="20"/>
          <w:b w:val="1"/>
          <w:bCs w:val="1"/>
          <w:color w:val="auto"/>
        </w:rPr>
      </w:pPr>
    </w:p>
    <w:p>
      <w:pPr>
        <w:jc w:val="both"/>
        <w:ind w:firstLine="1505"/>
        <w:spacing w:after="0" w:line="246" w:lineRule="auto"/>
        <w:tabs>
          <w:tab w:leader="none" w:pos="1907" w:val="left"/>
        </w:tabs>
        <w:numPr>
          <w:ilvl w:val="1"/>
          <w:numId w:val="119"/>
        </w:numPr>
        <w:rPr>
          <w:rFonts w:ascii="Arial" w:cs="Arial" w:eastAsia="Arial" w:hAnsi="Arial"/>
          <w:sz w:val="20"/>
          <w:szCs w:val="20"/>
          <w:b w:val="1"/>
          <w:bCs w:val="1"/>
          <w:color w:val="auto"/>
        </w:rPr>
      </w:pPr>
      <w:r>
        <w:rPr>
          <w:rFonts w:ascii="Arial" w:cs="Arial" w:eastAsia="Arial" w:hAnsi="Arial"/>
          <w:sz w:val="20"/>
          <w:szCs w:val="20"/>
          <w:color w:val="auto"/>
        </w:rPr>
        <w:t>No transfer of property is being made by the Seller or Seller Affiliates and no obligation has been incurred by the Seller or Seller Affiliates in connection with the Transactions with the intent to hinder, delay or defraud either present or future creditors of the Seller or Seller Affiliates. There are no winding up, bankruptcy or insolvency Proceedings concerning the Seller or Seller Affiliates pending, and no events have occurred which would justify such Proceedings.</w:t>
      </w:r>
    </w:p>
    <w:p>
      <w:pPr>
        <w:spacing w:after="0" w:line="185" w:lineRule="exact"/>
        <w:rPr>
          <w:sz w:val="20"/>
          <w:szCs w:val="20"/>
          <w:color w:val="auto"/>
        </w:rPr>
      </w:pPr>
    </w:p>
    <w:p>
      <w:pPr>
        <w:jc w:val="both"/>
        <w:ind w:firstLine="1310"/>
        <w:spacing w:after="0" w:line="253" w:lineRule="auto"/>
        <w:rPr>
          <w:sz w:val="20"/>
          <w:szCs w:val="20"/>
          <w:color w:val="auto"/>
        </w:rPr>
      </w:pPr>
      <w:r>
        <w:rPr>
          <w:rFonts w:ascii="Arial" w:cs="Arial" w:eastAsia="Arial" w:hAnsi="Arial"/>
          <w:sz w:val="20"/>
          <w:szCs w:val="20"/>
          <w:b w:val="1"/>
          <w:bCs w:val="1"/>
          <w:color w:val="auto"/>
        </w:rPr>
        <w:t xml:space="preserve">2.15 Equipment. </w:t>
      </w:r>
      <w:r>
        <w:rPr>
          <w:rFonts w:ascii="Arial" w:cs="Arial" w:eastAsia="Arial" w:hAnsi="Arial"/>
          <w:sz w:val="20"/>
          <w:szCs w:val="20"/>
          <w:color w:val="auto"/>
        </w:rPr>
        <w:t>All machinery, equipment, tools, dies, molds, parts, furniture and other tangible personal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in the Purchased Assets whether or not reflected in the Unaudited Business Financial Statements, is in good operating condition and repair, ordinary wear and tear excepted.</w:t>
      </w:r>
    </w:p>
    <w:p>
      <w:pPr>
        <w:spacing w:after="0" w:line="177"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2.16 Leases.</w:t>
      </w:r>
    </w:p>
    <w:p>
      <w:pPr>
        <w:spacing w:after="0" w:line="222" w:lineRule="exact"/>
        <w:rPr>
          <w:sz w:val="20"/>
          <w:szCs w:val="20"/>
          <w:color w:val="auto"/>
        </w:rPr>
      </w:pPr>
    </w:p>
    <w:p>
      <w:pPr>
        <w:jc w:val="both"/>
        <w:ind w:firstLine="1505"/>
        <w:spacing w:after="0" w:line="243" w:lineRule="auto"/>
        <w:tabs>
          <w:tab w:leader="none" w:pos="1893"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Part 2.16 of the Disclosure Schedule contains a true and complete list of all lease agreements pursuant to which the Seller leases primarily for the Business any personal property or real property (each such lease agreement, a “</w:t>
      </w:r>
      <w:r>
        <w:rPr>
          <w:rFonts w:ascii="Arial" w:cs="Arial" w:eastAsia="Arial" w:hAnsi="Arial"/>
          <w:sz w:val="20"/>
          <w:szCs w:val="20"/>
          <w:b w:val="1"/>
          <w:bCs w:val="1"/>
          <w:color w:val="auto"/>
        </w:rPr>
        <w:t>Lease</w:t>
      </w:r>
      <w:r>
        <w:rPr>
          <w:rFonts w:ascii="Arial" w:cs="Arial" w:eastAsia="Arial" w:hAnsi="Arial"/>
          <w:sz w:val="20"/>
          <w:szCs w:val="20"/>
          <w:color w:val="auto"/>
        </w:rPr>
        <w:t>”). The Seller has the legal right to occupy each personal or real property rented to the Seller (the “</w:t>
      </w:r>
      <w:r>
        <w:rPr>
          <w:rFonts w:ascii="Arial" w:cs="Arial" w:eastAsia="Arial" w:hAnsi="Arial"/>
          <w:sz w:val="20"/>
          <w:szCs w:val="20"/>
          <w:b w:val="1"/>
          <w:bCs w:val="1"/>
          <w:color w:val="auto"/>
        </w:rPr>
        <w:t>Leased Properties</w:t>
      </w:r>
      <w:r>
        <w:rPr>
          <w:rFonts w:ascii="Arial" w:cs="Arial" w:eastAsia="Arial" w:hAnsi="Arial"/>
          <w:sz w:val="20"/>
          <w:szCs w:val="20"/>
          <w:color w:val="auto"/>
        </w:rPr>
        <w:t>”) upon the terms and conditions of the lease agreements, except as would not reasonably be expected to be material to the Business. Each of the Leased Properties is being used for lawful purposes, which is permitted by the relevant lease agreement and the actual occupation has not violated in any respect any relevant land, construction or user regulations applicable to the Leased Properties, in each case, except as would not reasonably be expected to be material to the Business.</w:t>
      </w:r>
    </w:p>
    <w:p>
      <w:pPr>
        <w:spacing w:after="0" w:line="192" w:lineRule="exact"/>
        <w:rPr>
          <w:rFonts w:ascii="Arial" w:cs="Arial" w:eastAsia="Arial" w:hAnsi="Arial"/>
          <w:sz w:val="20"/>
          <w:szCs w:val="20"/>
          <w:b w:val="1"/>
          <w:bCs w:val="1"/>
          <w:color w:val="auto"/>
        </w:rPr>
      </w:pPr>
    </w:p>
    <w:p>
      <w:pPr>
        <w:jc w:val="both"/>
        <w:ind w:firstLine="1505"/>
        <w:spacing w:after="0" w:line="259" w:lineRule="auto"/>
        <w:tabs>
          <w:tab w:leader="none" w:pos="1893" w:val="left"/>
        </w:tabs>
        <w:numPr>
          <w:ilvl w:val="0"/>
          <w:numId w:val="120"/>
        </w:numPr>
        <w:rPr>
          <w:rFonts w:ascii="Arial" w:cs="Arial" w:eastAsia="Arial" w:hAnsi="Arial"/>
          <w:sz w:val="19"/>
          <w:szCs w:val="19"/>
          <w:b w:val="1"/>
          <w:bCs w:val="1"/>
          <w:color w:val="auto"/>
        </w:rPr>
      </w:pPr>
      <w:r>
        <w:rPr>
          <w:rFonts w:ascii="Arial" w:cs="Arial" w:eastAsia="Arial" w:hAnsi="Arial"/>
          <w:sz w:val="19"/>
          <w:szCs w:val="19"/>
          <w:color w:val="auto"/>
        </w:rPr>
        <w:t>Except, in each case, as would not reasonably be expected to be material to the Business, neither the Seller nor any Seller Affiliate is in breach or default under any Lease and, to the Knowledge of the Seller, no other party to any such Lease is in breach or default thereunder and, to the Knowledge of the Seller, no event has occurred, and no circumstance or condition exists, that might (with or without notice or lapse of time) (i) result in a violation or breach of any of the provisions of any Lease, or (ii) give any counterparty to a Lease the right (A) to declare a default or exercise any remedy under such Lease, (B) to accelerate the maturity or performance of such Lease, or (C) to cancel, terminate or modify any term or provision of such Lease.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2.17 Employee Benefit Plans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63" w:lineRule="auto"/>
        <w:tabs>
          <w:tab w:leader="none" w:pos="1907" w:val="left"/>
        </w:tabs>
        <w:numPr>
          <w:ilvl w:val="0"/>
          <w:numId w:val="121"/>
        </w:numPr>
        <w:rPr>
          <w:rFonts w:ascii="Arial" w:cs="Arial" w:eastAsia="Arial" w:hAnsi="Arial"/>
          <w:sz w:val="19"/>
          <w:szCs w:val="19"/>
          <w:b w:val="1"/>
          <w:bCs w:val="1"/>
          <w:color w:val="auto"/>
        </w:rPr>
      </w:pPr>
      <w:r>
        <w:rPr>
          <w:rFonts w:ascii="Arial" w:cs="Arial" w:eastAsia="Arial" w:hAnsi="Arial"/>
          <w:sz w:val="19"/>
          <w:szCs w:val="19"/>
          <w:color w:val="auto"/>
        </w:rPr>
        <w:t>Set forth on Part 2.17(a) of the Disclosure Schedule is a true, accurate and complete list of all Employee Benefit Plans, provided that with respect to any Employee Benefit Plans that are Employment Agreements, offer letters, consulting agreements or similar Contracts that are terminable at will and without penalty on less than 30 days’ notice, without severance, change in control or similar payments or benefits, only the forms thereof need to be listed on Part 2.17(a) of the Disclosure Schedule.</w:t>
      </w:r>
    </w:p>
    <w:p>
      <w:pPr>
        <w:spacing w:after="0" w:line="17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1" w:name="page142"/>
    <w:bookmarkEnd w:id="141"/>
    <w:p>
      <w:pPr>
        <w:ind w:right="420" w:firstLine="8"/>
        <w:spacing w:after="0" w:line="293" w:lineRule="auto"/>
        <w:tabs>
          <w:tab w:leader="none" w:pos="352" w:val="left"/>
        </w:tabs>
        <w:numPr>
          <w:ilvl w:val="0"/>
          <w:numId w:val="122"/>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purposes of this Agreement, the term “Employee Benefit Plan” shall mean each material employee benefit plan as defined in Section 3(3) of ERISA, any Employment Agreements, equity or equity-based compensation, any material pension, profit sharing, retirement, stock purchase, stock option, phantom arrangement, bonus, incentive compensation and deferred compensation plans, fringe benefit, life, medical, health, dental, vision, accident or disability, workers’ compensation or other employee welfare benefit plans (insured or self-insured), collective bargaining, educational assistance, pre-tax premium or flexible spending account plans, supplemental or executive benefit plans, non-qualified retirement plans, severance or separation plans, enhanced redundancy plans, change-in-control, employee loan and any other material employee benefit plans, agreements, programs, practices, policies or arrangements of any kind, whether written or oral, whether or not subject to ERISA (including any funding mechanism therefor now in effect or required in the future as a result of the purchase of the Purchased Assets or otherwise), whether formal or informal, legally binding or not, under which (i) any current or former employee, independent contractor or consultant of the Seller that provides services to the Business has any present or future right to benefits and which are contributed to, sponsored by or maintained by the Seller or any Seller Affiliate or (ii) the Seller or any Affiliate has had or has any Liability, actual or contingent (including by reason of being an ERISA Affiliate of any other Person) with respect to the Business.</w:t>
      </w:r>
    </w:p>
    <w:p>
      <w:pPr>
        <w:spacing w:after="0" w:line="176" w:lineRule="exact"/>
        <w:rPr>
          <w:sz w:val="20"/>
          <w:szCs w:val="20"/>
          <w:color w:val="auto"/>
        </w:rPr>
      </w:pPr>
    </w:p>
    <w:p>
      <w:pPr>
        <w:jc w:val="both"/>
        <w:ind w:firstLine="1505"/>
        <w:spacing w:after="0" w:line="276" w:lineRule="auto"/>
        <w:tabs>
          <w:tab w:leader="none" w:pos="1893"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With respect to each Employee Benefit Plan in which any employee is eligible to participate, the Seller has provided to the Purchaser a current, accurate and complete copy (or, to the extent no such copy exists, an accurate description) thereof and, to the extent applicable: (i) the current plan documents (and all material amendments thereto), and a summary or description of the material terms of any unwritten Employee Benefit Plan; (ii) the most recent determination or opinion letter; (iii) the most recent summary plan description (including all summaries of material modification thereto); and (iv) for the most recent year, (A) the Form 5500 and attached schedules, (B) audited financial statements, (C) actuarial valuation reports, and (D) compliance testing results.</w:t>
      </w:r>
    </w:p>
    <w:p>
      <w:pPr>
        <w:spacing w:after="0" w:line="164" w:lineRule="exact"/>
        <w:rPr>
          <w:rFonts w:ascii="Arial" w:cs="Arial" w:eastAsia="Arial" w:hAnsi="Arial"/>
          <w:sz w:val="18"/>
          <w:szCs w:val="18"/>
          <w:b w:val="1"/>
          <w:bCs w:val="1"/>
          <w:color w:val="auto"/>
        </w:rPr>
      </w:pPr>
    </w:p>
    <w:p>
      <w:pPr>
        <w:jc w:val="both"/>
        <w:ind w:firstLine="1505"/>
        <w:spacing w:after="0" w:line="255" w:lineRule="auto"/>
        <w:tabs>
          <w:tab w:leader="none" w:pos="1893" w:val="left"/>
        </w:tabs>
        <w:numPr>
          <w:ilvl w:val="0"/>
          <w:numId w:val="123"/>
        </w:numPr>
        <w:rPr>
          <w:rFonts w:ascii="Arial" w:cs="Arial" w:eastAsia="Arial" w:hAnsi="Arial"/>
          <w:sz w:val="19"/>
          <w:szCs w:val="19"/>
          <w:b w:val="1"/>
          <w:bCs w:val="1"/>
          <w:color w:val="auto"/>
        </w:rPr>
      </w:pPr>
      <w:r>
        <w:rPr>
          <w:rFonts w:ascii="Arial" w:cs="Arial" w:eastAsia="Arial" w:hAnsi="Arial"/>
          <w:sz w:val="19"/>
          <w:szCs w:val="19"/>
          <w:color w:val="auto"/>
        </w:rPr>
        <w:t>(i) Each Employee Benefit Plan has been established, funded, administered and maintained in all material respects in accordance with its terms, and in compliance with the applicable provisions of ERISA, the Code and other applicable Laws, and the Seller (or any Affiliate, if applicable) has performed, in all material respects, all obligations required to be performed by it under the Employee Benefit Plans, (ii) each Employee Benefit Plan which is intended to be qualified within the meaning of Section 401(a) of the Code has received a favorable determination letter, or is the subject of a favorable advisory or opinion letter as to its qualification, issued by the IRS upon which the Seller is entitled to rely and no such determination or opinion letter has been revoked, and to the Knowledge of the Seller, nothing has occurred, whether by action or failure to act, that could reasonably be expected to cause the loss of such qualification; (iii) the Seller (or any Affiliate, if applicable) has not incurred and has no obligation to incur in the future any current or projected liability in respect of post-employment or post-retirement health, medical, disability or life insurance benefits for current, former or retired employees of the Seller, except as required to avoid an excise tax under Section 4980B of the Code or otherwise except as may be required pursuant to any other applicable Law; and (iv) except as set forth on Part 2.17(c) of the Disclosure Schedule no Employee Benefit Plan is or was maintained outside the United States.</w:t>
      </w:r>
    </w:p>
    <w:p>
      <w:pPr>
        <w:spacing w:after="0" w:line="184" w:lineRule="exact"/>
        <w:rPr>
          <w:rFonts w:ascii="Arial" w:cs="Arial" w:eastAsia="Arial" w:hAnsi="Arial"/>
          <w:sz w:val="19"/>
          <w:szCs w:val="19"/>
          <w:b w:val="1"/>
          <w:bCs w:val="1"/>
          <w:color w:val="auto"/>
        </w:rPr>
      </w:pPr>
    </w:p>
    <w:p>
      <w:pPr>
        <w:jc w:val="both"/>
        <w:ind w:firstLine="1505"/>
        <w:spacing w:after="0" w:line="243" w:lineRule="auto"/>
        <w:tabs>
          <w:tab w:leader="none" w:pos="1893" w:val="left"/>
        </w:tabs>
        <w:numPr>
          <w:ilvl w:val="0"/>
          <w:numId w:val="123"/>
        </w:numPr>
        <w:rPr>
          <w:rFonts w:ascii="Arial" w:cs="Arial" w:eastAsia="Arial" w:hAnsi="Arial"/>
          <w:sz w:val="20"/>
          <w:szCs w:val="20"/>
          <w:b w:val="1"/>
          <w:bCs w:val="1"/>
          <w:color w:val="auto"/>
        </w:rPr>
      </w:pPr>
      <w:r>
        <w:rPr>
          <w:rFonts w:ascii="Arial" w:cs="Arial" w:eastAsia="Arial" w:hAnsi="Arial"/>
          <w:sz w:val="20"/>
          <w:szCs w:val="20"/>
          <w:color w:val="auto"/>
        </w:rPr>
        <w:t>No Employee Benefit Plan is, and none of the Seller or any ERISA Affiliate has sponsored, maintained or contributed to an employee benefit plan (within the meaning of Section 3(3) of ERISA) that is or was, an “employee pension benefit plan” (within the meaning of Section 3(2) of ERISA) subject to Section 412 of the Code or Title IV of ERISA, or a multiemployer plan within the meaning of Section 3(37) of ERISA, and neither the Seller nor any ERISA Affiliate currently has, or in the past six (6) years has had, an obligation to contribute, and none of them has incurred any actual or contingent liability or obligation (including any obligation to make any contribution) to or in respect of any such plan.</w:t>
      </w:r>
    </w:p>
    <w:p>
      <w:pPr>
        <w:spacing w:after="0" w:line="19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2" w:name="page143"/>
    <w:bookmarkEnd w:id="142"/>
    <w:p>
      <w:pPr>
        <w:ind w:right="420" w:firstLine="8"/>
        <w:spacing w:after="0" w:line="293" w:lineRule="auto"/>
        <w:tabs>
          <w:tab w:leader="none" w:pos="352" w:val="left"/>
        </w:tabs>
        <w:numPr>
          <w:ilvl w:val="0"/>
          <w:numId w:val="12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firstLine="1505"/>
        <w:spacing w:after="0" w:line="246" w:lineRule="auto"/>
        <w:tabs>
          <w:tab w:leader="none" w:pos="1893" w:val="left"/>
        </w:tabs>
        <w:numPr>
          <w:ilvl w:val="1"/>
          <w:numId w:val="124"/>
        </w:numPr>
        <w:rPr>
          <w:rFonts w:ascii="Arial" w:cs="Arial" w:eastAsia="Arial" w:hAnsi="Arial"/>
          <w:sz w:val="20"/>
          <w:szCs w:val="20"/>
          <w:b w:val="1"/>
          <w:bCs w:val="1"/>
          <w:color w:val="auto"/>
        </w:rPr>
      </w:pPr>
      <w:r>
        <w:rPr>
          <w:rFonts w:ascii="Arial" w:cs="Arial" w:eastAsia="Arial" w:hAnsi="Arial"/>
          <w:sz w:val="20"/>
          <w:szCs w:val="20"/>
          <w:color w:val="auto"/>
        </w:rPr>
        <w:t>Except as set forth on Part 2.17(e) of the Disclosure Schedule, no Employee Benefit Plan exists that, as a result of the execution of this Agreement and/or the transactions contemplated hereby, either alone or in connection with any other event, would accelerate the time of payment or vesting or result in any payment of compensation or benefits under or increase the amount payable to any employee.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2.18 Employment Matters.</w:t>
      </w:r>
    </w:p>
    <w:p>
      <w:pPr>
        <w:spacing w:after="0" w:line="222" w:lineRule="exact"/>
        <w:rPr>
          <w:sz w:val="20"/>
          <w:szCs w:val="20"/>
          <w:color w:val="auto"/>
        </w:rPr>
      </w:pPr>
    </w:p>
    <w:p>
      <w:pPr>
        <w:jc w:val="both"/>
        <w:ind w:firstLine="1505"/>
        <w:spacing w:after="0" w:line="246" w:lineRule="auto"/>
        <w:tabs>
          <w:tab w:leader="none" w:pos="1907" w:val="left"/>
        </w:tabs>
        <w:numPr>
          <w:ilvl w:val="0"/>
          <w:numId w:val="125"/>
        </w:numPr>
        <w:rPr>
          <w:rFonts w:ascii="Arial" w:cs="Arial" w:eastAsia="Arial" w:hAnsi="Arial"/>
          <w:sz w:val="20"/>
          <w:szCs w:val="20"/>
          <w:b w:val="1"/>
          <w:bCs w:val="1"/>
          <w:color w:val="auto"/>
        </w:rPr>
      </w:pPr>
      <w:r>
        <w:rPr>
          <w:rFonts w:ascii="Arial" w:cs="Arial" w:eastAsia="Arial" w:hAnsi="Arial"/>
          <w:sz w:val="20"/>
          <w:szCs w:val="20"/>
          <w:color w:val="auto"/>
        </w:rPr>
        <w:t>Except as set forth on Part 2.18(a) of the Disclosure Schedule, the Seller is not a party to any labor or collective bargaining agreement and there are no labor or collective bargaining agreements which pertain to the Transferred Employees. There has been no organizing activity involving the Seller pending since January 1, 2020 to the date of this Agreement, or, to the Seller’s Knowledge, threatened by any labor organization or group of Transferred Employees.</w:t>
      </w:r>
    </w:p>
    <w:p>
      <w:pPr>
        <w:spacing w:after="0" w:line="191" w:lineRule="exact"/>
        <w:rPr>
          <w:rFonts w:ascii="Arial" w:cs="Arial" w:eastAsia="Arial" w:hAnsi="Arial"/>
          <w:sz w:val="20"/>
          <w:szCs w:val="20"/>
          <w:b w:val="1"/>
          <w:bCs w:val="1"/>
          <w:color w:val="auto"/>
        </w:rPr>
      </w:pPr>
    </w:p>
    <w:p>
      <w:pPr>
        <w:jc w:val="both"/>
        <w:ind w:firstLine="1505"/>
        <w:spacing w:after="0" w:line="246" w:lineRule="auto"/>
        <w:tabs>
          <w:tab w:leader="none" w:pos="1934" w:val="left"/>
        </w:tabs>
        <w:numPr>
          <w:ilvl w:val="0"/>
          <w:numId w:val="125"/>
        </w:numPr>
        <w:rPr>
          <w:rFonts w:ascii="Arial" w:cs="Arial" w:eastAsia="Arial" w:hAnsi="Arial"/>
          <w:sz w:val="20"/>
          <w:szCs w:val="20"/>
          <w:b w:val="1"/>
          <w:bCs w:val="1"/>
          <w:color w:val="auto"/>
        </w:rPr>
      </w:pPr>
      <w:r>
        <w:rPr>
          <w:rFonts w:ascii="Arial" w:cs="Arial" w:eastAsia="Arial" w:hAnsi="Arial"/>
          <w:sz w:val="20"/>
          <w:szCs w:val="20"/>
          <w:color w:val="auto"/>
        </w:rPr>
        <w:t>Except as set forth on Part 2.18(b) of the Disclosure Schedule, there has been no (i) strikes, work stoppages, slowdowns, lockouts or arbitrations since January 1, 2020 to the date of this Agreement or (ii) material grievances or other material labor disputes pending since January 1, 2020 to the date of this Agreement or, to the Seller’s Knowledge, threatened by or on behalf of any Transferred Employee or group of Transferred Employees of the Seller.</w:t>
      </w:r>
    </w:p>
    <w:p>
      <w:pPr>
        <w:spacing w:after="0" w:line="191" w:lineRule="exact"/>
        <w:rPr>
          <w:rFonts w:ascii="Arial" w:cs="Arial" w:eastAsia="Arial" w:hAnsi="Arial"/>
          <w:sz w:val="20"/>
          <w:szCs w:val="20"/>
          <w:b w:val="1"/>
          <w:bCs w:val="1"/>
          <w:color w:val="auto"/>
        </w:rPr>
      </w:pPr>
    </w:p>
    <w:p>
      <w:pPr>
        <w:jc w:val="both"/>
        <w:ind w:firstLine="1505"/>
        <w:spacing w:after="0" w:line="259" w:lineRule="auto"/>
        <w:tabs>
          <w:tab w:leader="none" w:pos="1934" w:val="left"/>
        </w:tabs>
        <w:numPr>
          <w:ilvl w:val="0"/>
          <w:numId w:val="125"/>
        </w:numPr>
        <w:rPr>
          <w:rFonts w:ascii="Arial" w:cs="Arial" w:eastAsia="Arial" w:hAnsi="Arial"/>
          <w:sz w:val="19"/>
          <w:szCs w:val="19"/>
          <w:b w:val="1"/>
          <w:bCs w:val="1"/>
          <w:color w:val="auto"/>
        </w:rPr>
      </w:pPr>
      <w:r>
        <w:rPr>
          <w:rFonts w:ascii="Arial" w:cs="Arial" w:eastAsia="Arial" w:hAnsi="Arial"/>
          <w:sz w:val="19"/>
          <w:szCs w:val="19"/>
          <w:color w:val="auto"/>
        </w:rPr>
        <w:t>There are no material complaints, charges or claims against the Seller pending or, to the Seller’s Knowledge, threatened that could be brought or filed, with any Governmental Body based on, arising out of, in connection with or otherwise relating to the employment or termination of employment, or failure to employ by the Seller, of any individual in connection with the Business. Except as set forth on Part 2.18(c) of the Disclosure Schedule, the Seller is currently in compliance in all material respects with all applicable legal requirements relating to the employment of the Transferred Employees, including those related to wages, hours, collective bargaining, labor, and the payment and withholding of Taxes and other sums required to be withheld.</w:t>
      </w:r>
    </w:p>
    <w:p>
      <w:pPr>
        <w:spacing w:after="0" w:line="178" w:lineRule="exact"/>
        <w:rPr>
          <w:rFonts w:ascii="Arial" w:cs="Arial" w:eastAsia="Arial" w:hAnsi="Arial"/>
          <w:sz w:val="19"/>
          <w:szCs w:val="19"/>
          <w:b w:val="1"/>
          <w:bCs w:val="1"/>
          <w:color w:val="auto"/>
        </w:rPr>
      </w:pPr>
    </w:p>
    <w:p>
      <w:pPr>
        <w:jc w:val="both"/>
        <w:ind w:firstLine="1505"/>
        <w:spacing w:after="0" w:line="269" w:lineRule="auto"/>
        <w:tabs>
          <w:tab w:leader="none" w:pos="1907" w:val="left"/>
        </w:tabs>
        <w:numPr>
          <w:ilvl w:val="0"/>
          <w:numId w:val="125"/>
        </w:numPr>
        <w:rPr>
          <w:rFonts w:ascii="Arial" w:cs="Arial" w:eastAsia="Arial" w:hAnsi="Arial"/>
          <w:sz w:val="19"/>
          <w:szCs w:val="19"/>
          <w:b w:val="1"/>
          <w:bCs w:val="1"/>
          <w:color w:val="auto"/>
        </w:rPr>
      </w:pPr>
      <w:r>
        <w:rPr>
          <w:rFonts w:ascii="Arial" w:cs="Arial" w:eastAsia="Arial" w:hAnsi="Arial"/>
          <w:sz w:val="19"/>
          <w:szCs w:val="19"/>
          <w:color w:val="auto"/>
        </w:rPr>
        <w:t>The Seller has made available to the Purchaser an accurate and complete list of all Designated Employees (on an anonymized basis if required by applicable Law), setting forth such Person’s (i) name, (ii) current job title, (iii) location of employment, (iv) 2022 annual salary, (iv) current annual salary, (v) length of employment with the Seller, and (vi) 2022 bonus, if any.</w:t>
      </w:r>
    </w:p>
    <w:p>
      <w:pPr>
        <w:spacing w:after="0" w:line="169" w:lineRule="exact"/>
        <w:rPr>
          <w:rFonts w:ascii="Arial" w:cs="Arial" w:eastAsia="Arial" w:hAnsi="Arial"/>
          <w:sz w:val="19"/>
          <w:szCs w:val="19"/>
          <w:b w:val="1"/>
          <w:bCs w:val="1"/>
          <w:color w:val="auto"/>
        </w:rPr>
      </w:pPr>
    </w:p>
    <w:p>
      <w:pPr>
        <w:jc w:val="both"/>
        <w:ind w:firstLine="1505"/>
        <w:spacing w:after="0" w:line="244" w:lineRule="auto"/>
        <w:tabs>
          <w:tab w:leader="none" w:pos="1907" w:val="left"/>
        </w:tabs>
        <w:numPr>
          <w:ilvl w:val="0"/>
          <w:numId w:val="125"/>
        </w:numPr>
        <w:rPr>
          <w:rFonts w:ascii="Arial" w:cs="Arial" w:eastAsia="Arial" w:hAnsi="Arial"/>
          <w:sz w:val="20"/>
          <w:szCs w:val="20"/>
          <w:b w:val="1"/>
          <w:bCs w:val="1"/>
          <w:color w:val="auto"/>
        </w:rPr>
      </w:pPr>
      <w:r>
        <w:rPr>
          <w:rFonts w:ascii="Arial" w:cs="Arial" w:eastAsia="Arial" w:hAnsi="Arial"/>
          <w:sz w:val="20"/>
          <w:szCs w:val="20"/>
          <w:color w:val="auto"/>
        </w:rPr>
        <w:t>Except as set forth on Part 2.18(e) of the Disclosure Schedule (on an anonymized basis if required by applicable Law), the Seller is not party to any material written or oral employment, retention, service or consulting agreement relating to any one or more Transferred Employees; provided that with respect to any such agreements that are terminable at will and without penalty on less than 30 days’ notice, without severance, change in control or similar payments or benefits, only the forms thereof need to be listed on Part 2.18(e) of the Disclosure Schedule.</w:t>
      </w:r>
    </w:p>
    <w:p>
      <w:pPr>
        <w:spacing w:after="0" w:line="18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2.19 Regulation S-X Financials. </w:t>
      </w:r>
      <w:r>
        <w:rPr>
          <w:rFonts w:ascii="Arial" w:cs="Arial" w:eastAsia="Arial" w:hAnsi="Arial"/>
          <w:sz w:val="18"/>
          <w:szCs w:val="18"/>
          <w:color w:val="auto"/>
        </w:rPr>
        <w:t>The Seller represents and warrants to the matters set forth on Part 2.19 of the Disclosure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Schedule.</w:t>
      </w:r>
    </w:p>
    <w:p>
      <w:pPr>
        <w:spacing w:after="0" w:line="194" w:lineRule="exact"/>
        <w:rPr>
          <w:sz w:val="20"/>
          <w:szCs w:val="20"/>
          <w:color w:val="auto"/>
        </w:rPr>
      </w:pPr>
    </w:p>
    <w:p>
      <w:pPr>
        <w:jc w:val="both"/>
        <w:ind w:firstLine="1310"/>
        <w:spacing w:after="0" w:line="245" w:lineRule="auto"/>
        <w:rPr>
          <w:sz w:val="20"/>
          <w:szCs w:val="20"/>
          <w:color w:val="auto"/>
        </w:rPr>
      </w:pPr>
      <w:r>
        <w:rPr>
          <w:rFonts w:ascii="Arial" w:cs="Arial" w:eastAsia="Arial" w:hAnsi="Arial"/>
          <w:sz w:val="20"/>
          <w:szCs w:val="20"/>
          <w:b w:val="1"/>
          <w:bCs w:val="1"/>
          <w:color w:val="auto"/>
        </w:rPr>
        <w:t xml:space="preserve">2.20 No Other Representations. </w:t>
      </w:r>
      <w:r>
        <w:rPr>
          <w:rFonts w:ascii="Arial" w:cs="Arial" w:eastAsia="Arial" w:hAnsi="Arial"/>
          <w:sz w:val="20"/>
          <w:szCs w:val="20"/>
          <w:color w:val="auto"/>
        </w:rPr>
        <w:t>The Seller has conducted its own independent investigation, review and analysis of,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reached its own independent conclusions regarding, this Agreement and the transactions contemplated hereby. Except for the representations and warranties contained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or in any certificates delivered by the Purchaser in connection with the Closing, the Seller acknowledges that neither the Purchaser nor any Person on behalf of Purchaser or any of its Affiliates has made or makes, and the Seller expressly disclaims any reliance upon, any other express or implied representation, warranty or other statement with respect to the Purchaser or with respect to any other</w:t>
      </w:r>
    </w:p>
    <w:p>
      <w:pPr>
        <w:spacing w:after="0" w:line="19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3" w:name="page144"/>
    <w:bookmarkEnd w:id="143"/>
    <w:p>
      <w:pPr>
        <w:ind w:right="420" w:firstLine="8"/>
        <w:spacing w:after="0" w:line="293" w:lineRule="auto"/>
        <w:tabs>
          <w:tab w:leader="none" w:pos="352" w:val="left"/>
        </w:tabs>
        <w:numPr>
          <w:ilvl w:val="0"/>
          <w:numId w:val="12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information provided or made available to the Seller in connection with this Agreement and the transactions contemplated hereby, including information conveyed at management meetings or in due diligence sessions.</w:t>
      </w:r>
    </w:p>
    <w:p>
      <w:pPr>
        <w:spacing w:after="0" w:line="171" w:lineRule="exact"/>
        <w:rPr>
          <w:sz w:val="20"/>
          <w:szCs w:val="20"/>
          <w:color w:val="auto"/>
        </w:rPr>
      </w:pPr>
    </w:p>
    <w:p>
      <w:pPr>
        <w:ind w:left="400" w:hanging="392"/>
        <w:spacing w:after="0"/>
        <w:tabs>
          <w:tab w:leader="none" w:pos="40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20"/>
          <w:szCs w:val="20"/>
          <w:b w:val="1"/>
          <w:bCs w:val="1"/>
          <w:color w:val="auto"/>
        </w:rPr>
        <w:t>.</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Purchaser represents and warrants, to and for the benefit of the Seller, as follows:</w:t>
      </w:r>
    </w:p>
    <w:p>
      <w:pPr>
        <w:spacing w:after="0" w:line="210" w:lineRule="exact"/>
        <w:rPr>
          <w:sz w:val="20"/>
          <w:szCs w:val="20"/>
          <w:color w:val="auto"/>
        </w:rPr>
      </w:pPr>
    </w:p>
    <w:p>
      <w:pPr>
        <w:jc w:val="both"/>
        <w:ind w:firstLine="1310"/>
        <w:spacing w:after="0" w:line="274" w:lineRule="auto"/>
        <w:rPr>
          <w:sz w:val="20"/>
          <w:szCs w:val="20"/>
          <w:color w:val="auto"/>
        </w:rPr>
      </w:pPr>
      <w:r>
        <w:rPr>
          <w:rFonts w:ascii="Arial" w:cs="Arial" w:eastAsia="Arial" w:hAnsi="Arial"/>
          <w:sz w:val="18"/>
          <w:szCs w:val="18"/>
          <w:b w:val="1"/>
          <w:bCs w:val="1"/>
          <w:color w:val="auto"/>
        </w:rPr>
        <w:t xml:space="preserve">3.1 Authority; Binding Nature Of Agreements. </w:t>
      </w:r>
      <w:r>
        <w:rPr>
          <w:rFonts w:ascii="Arial" w:cs="Arial" w:eastAsia="Arial" w:hAnsi="Arial"/>
          <w:sz w:val="18"/>
          <w:szCs w:val="18"/>
          <w:color w:val="auto"/>
        </w:rPr>
        <w:t>The Purchaser has all requisite corporate power and authority to enter</w:t>
      </w:r>
      <w:r>
        <w:rPr>
          <w:rFonts w:ascii="Arial" w:cs="Arial" w:eastAsia="Arial" w:hAnsi="Arial"/>
          <w:sz w:val="18"/>
          <w:szCs w:val="18"/>
          <w:b w:val="1"/>
          <w:bCs w:val="1"/>
          <w:color w:val="auto"/>
        </w:rPr>
        <w:t xml:space="preserve"> </w:t>
      </w:r>
      <w:r>
        <w:rPr>
          <w:rFonts w:ascii="Arial" w:cs="Arial" w:eastAsia="Arial" w:hAnsi="Arial"/>
          <w:sz w:val="18"/>
          <w:szCs w:val="18"/>
          <w:color w:val="auto"/>
        </w:rPr>
        <w:t>into and to perform its obligations under each of the Transactional Agreements to which it is or may become a party; and the execution, delivery and performance by the Purchaser of the Transactional Agreements to which it is or may become a party have been duly authorized by all necessary corporate action on the part of the Purchaser. This Agreement constitutes the legal, valid and binding obligation of the Purchaser, enforceable against the Purchaser in accordance with its terms, except in each case as may be limited by the General Enforceability Exceptions. Upon the execution of each of the other Transactional Agreements at the Closing, each of such other Transactional Agreements to which the Purchaser is a party will constitute the legal, valid and binding obligation of the Purchaser and will be enforceable against the Purchaser in accordance with its terms, subject to the General Enforceability Exceptions.</w:t>
      </w:r>
    </w:p>
    <w:p>
      <w:pPr>
        <w:spacing w:after="0" w:line="162" w:lineRule="exact"/>
        <w:rPr>
          <w:sz w:val="20"/>
          <w:szCs w:val="20"/>
          <w:color w:val="auto"/>
        </w:rPr>
      </w:pPr>
    </w:p>
    <w:p>
      <w:pPr>
        <w:jc w:val="both"/>
        <w:ind w:firstLine="1310"/>
        <w:spacing w:after="0" w:line="293" w:lineRule="auto"/>
        <w:rPr>
          <w:sz w:val="20"/>
          <w:szCs w:val="20"/>
          <w:color w:val="auto"/>
        </w:rPr>
      </w:pPr>
      <w:r>
        <w:rPr>
          <w:rFonts w:ascii="Arial" w:cs="Arial" w:eastAsia="Arial" w:hAnsi="Arial"/>
          <w:sz w:val="19"/>
          <w:szCs w:val="19"/>
          <w:b w:val="1"/>
          <w:bCs w:val="1"/>
          <w:color w:val="auto"/>
        </w:rPr>
        <w:t xml:space="preserve">3.2 Non-Contravention; Consents. </w:t>
      </w:r>
      <w:r>
        <w:rPr>
          <w:rFonts w:ascii="Arial" w:cs="Arial" w:eastAsia="Arial" w:hAnsi="Arial"/>
          <w:sz w:val="19"/>
          <w:szCs w:val="19"/>
          <w:color w:val="auto"/>
        </w:rPr>
        <w:t>Neither the execution and delivery of any of the Transactional Agreements, nor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consummation or performance of any of the Transactions, will directly or indirectly (with or without notice or lapse of time):</w:t>
      </w:r>
    </w:p>
    <w:p>
      <w:pPr>
        <w:spacing w:after="0" w:line="148" w:lineRule="exact"/>
        <w:rPr>
          <w:sz w:val="20"/>
          <w:szCs w:val="20"/>
          <w:color w:val="auto"/>
        </w:rPr>
      </w:pPr>
    </w:p>
    <w:p>
      <w:pPr>
        <w:ind w:firstLine="1318"/>
        <w:spacing w:after="0" w:line="260" w:lineRule="auto"/>
        <w:tabs>
          <w:tab w:leader="none" w:pos="1706" w:val="left"/>
        </w:tabs>
        <w:numPr>
          <w:ilvl w:val="0"/>
          <w:numId w:val="128"/>
        </w:numPr>
        <w:rPr>
          <w:rFonts w:ascii="Arial" w:cs="Arial" w:eastAsia="Arial" w:hAnsi="Arial"/>
          <w:sz w:val="20"/>
          <w:szCs w:val="20"/>
          <w:b w:val="1"/>
          <w:bCs w:val="1"/>
          <w:color w:val="auto"/>
        </w:rPr>
      </w:pPr>
      <w:r>
        <w:rPr>
          <w:rFonts w:ascii="Arial" w:cs="Arial" w:eastAsia="Arial" w:hAnsi="Arial"/>
          <w:sz w:val="20"/>
          <w:szCs w:val="20"/>
          <w:color w:val="auto"/>
        </w:rPr>
        <w:t>contravene, conflict with or result in a violation of any of the provisions of the Purchaser’s certificate of incorporation or bylaws or other organizational documents of the Purchaser;</w:t>
      </w:r>
    </w:p>
    <w:p>
      <w:pPr>
        <w:spacing w:after="0" w:line="176" w:lineRule="exact"/>
        <w:rPr>
          <w:rFonts w:ascii="Arial" w:cs="Arial" w:eastAsia="Arial" w:hAnsi="Arial"/>
          <w:sz w:val="20"/>
          <w:szCs w:val="20"/>
          <w:b w:val="1"/>
          <w:bCs w:val="1"/>
          <w:color w:val="auto"/>
        </w:rPr>
      </w:pPr>
    </w:p>
    <w:p>
      <w:pPr>
        <w:ind w:left="1720" w:hanging="402"/>
        <w:spacing w:after="0"/>
        <w:tabs>
          <w:tab w:leader="none" w:pos="1720" w:val="left"/>
        </w:tabs>
        <w:numPr>
          <w:ilvl w:val="0"/>
          <w:numId w:val="128"/>
        </w:numPr>
        <w:rPr>
          <w:rFonts w:ascii="Arial" w:cs="Arial" w:eastAsia="Arial" w:hAnsi="Arial"/>
          <w:sz w:val="20"/>
          <w:szCs w:val="20"/>
          <w:b w:val="1"/>
          <w:bCs w:val="1"/>
          <w:color w:val="auto"/>
        </w:rPr>
      </w:pPr>
      <w:r>
        <w:rPr>
          <w:rFonts w:ascii="Arial" w:cs="Arial" w:eastAsia="Arial" w:hAnsi="Arial"/>
          <w:sz w:val="20"/>
          <w:szCs w:val="20"/>
          <w:color w:val="auto"/>
        </w:rPr>
        <w:t>require the Purchaser to obtain any Consent from any Governmental Body; or</w:t>
      </w:r>
    </w:p>
    <w:p>
      <w:pPr>
        <w:spacing w:after="0" w:line="215" w:lineRule="exact"/>
        <w:rPr>
          <w:rFonts w:ascii="Arial" w:cs="Arial" w:eastAsia="Arial" w:hAnsi="Arial"/>
          <w:sz w:val="20"/>
          <w:szCs w:val="20"/>
          <w:b w:val="1"/>
          <w:bCs w:val="1"/>
          <w:color w:val="auto"/>
        </w:rPr>
      </w:pPr>
    </w:p>
    <w:p>
      <w:pPr>
        <w:ind w:left="1720" w:hanging="402"/>
        <w:spacing w:after="0"/>
        <w:tabs>
          <w:tab w:leader="none" w:pos="1720" w:val="left"/>
        </w:tabs>
        <w:numPr>
          <w:ilvl w:val="0"/>
          <w:numId w:val="128"/>
        </w:numPr>
        <w:rPr>
          <w:rFonts w:ascii="Arial" w:cs="Arial" w:eastAsia="Arial" w:hAnsi="Arial"/>
          <w:sz w:val="20"/>
          <w:szCs w:val="20"/>
          <w:b w:val="1"/>
          <w:bCs w:val="1"/>
          <w:color w:val="auto"/>
        </w:rPr>
      </w:pPr>
      <w:r>
        <w:rPr>
          <w:rFonts w:ascii="Arial" w:cs="Arial" w:eastAsia="Arial" w:hAnsi="Arial"/>
          <w:sz w:val="20"/>
          <w:szCs w:val="20"/>
          <w:color w:val="auto"/>
        </w:rPr>
        <w:t>conflict with, violate or result in the breach by the Purchaser of any applicable Law;</w:t>
      </w:r>
    </w:p>
    <w:p>
      <w:pPr>
        <w:spacing w:after="0" w:line="215" w:lineRule="exact"/>
        <w:rPr>
          <w:rFonts w:ascii="Arial" w:cs="Arial" w:eastAsia="Arial" w:hAnsi="Arial"/>
          <w:sz w:val="20"/>
          <w:szCs w:val="20"/>
          <w:b w:val="1"/>
          <w:bCs w:val="1"/>
          <w:color w:val="auto"/>
        </w:rPr>
      </w:pPr>
    </w:p>
    <w:p>
      <w:pPr>
        <w:jc w:val="both"/>
        <w:ind w:firstLine="1318"/>
        <w:spacing w:after="0" w:line="244" w:lineRule="auto"/>
        <w:tabs>
          <w:tab w:leader="none" w:pos="1720" w:val="left"/>
        </w:tabs>
        <w:numPr>
          <w:ilvl w:val="0"/>
          <w:numId w:val="128"/>
        </w:numPr>
        <w:rPr>
          <w:rFonts w:ascii="Arial" w:cs="Arial" w:eastAsia="Arial" w:hAnsi="Arial"/>
          <w:sz w:val="20"/>
          <w:szCs w:val="20"/>
          <w:b w:val="1"/>
          <w:bCs w:val="1"/>
          <w:color w:val="auto"/>
        </w:rPr>
      </w:pPr>
      <w:r>
        <w:rPr>
          <w:rFonts w:ascii="Arial" w:cs="Arial" w:eastAsia="Arial" w:hAnsi="Arial"/>
          <w:sz w:val="20"/>
          <w:szCs w:val="20"/>
          <w:color w:val="auto"/>
        </w:rPr>
        <w:t>conflict with, violate, result in the breach or termination of, or constitute (with or without notice or lapse of time or both) a default under, require the Purchaser or any Purchaser Affiliate to obtain any consent, approval or action of, make any filing with or give any notice to any Person under, give rise to any right of termination or acceleration or right to increase the obligations or otherwise adversely modify the terms under, any Contract to which the Purchaser or any Purchaser Affiliate is a party or by which any of the assets or properties of the Purchaser or any Purchaser Affiliate is bound; or</w:t>
      </w:r>
    </w:p>
    <w:p>
      <w:pPr>
        <w:spacing w:after="0" w:line="194" w:lineRule="exact"/>
        <w:rPr>
          <w:sz w:val="20"/>
          <w:szCs w:val="20"/>
          <w:color w:val="auto"/>
        </w:rPr>
      </w:pPr>
    </w:p>
    <w:p>
      <w:pPr>
        <w:jc w:val="both"/>
        <w:ind w:firstLine="1310"/>
        <w:spacing w:after="0" w:line="269" w:lineRule="auto"/>
        <w:rPr>
          <w:sz w:val="20"/>
          <w:szCs w:val="20"/>
          <w:color w:val="auto"/>
        </w:rPr>
      </w:pPr>
      <w:r>
        <w:rPr>
          <w:rFonts w:ascii="Arial" w:cs="Arial" w:eastAsia="Arial" w:hAnsi="Arial"/>
          <w:sz w:val="19"/>
          <w:szCs w:val="19"/>
          <w:color w:val="auto"/>
        </w:rPr>
        <w:t>except, in the case of each of clauses (b), (c) or (d) as would not reasonably be expected to prevent or materially impair or delay any of the Purchaser or the Purchaser’s Affiliates, as applicable, from performing its obligations under this Agreement and the other Transactional Agreements or from consummating the transactions contemplated hereby or thereby.</w:t>
      </w:r>
    </w:p>
    <w:p>
      <w:pPr>
        <w:spacing w:after="0" w:line="164" w:lineRule="exact"/>
        <w:rPr>
          <w:sz w:val="20"/>
          <w:szCs w:val="20"/>
          <w:color w:val="auto"/>
        </w:rPr>
      </w:pPr>
    </w:p>
    <w:p>
      <w:pPr>
        <w:jc w:val="both"/>
        <w:ind w:firstLine="1310"/>
        <w:spacing w:after="0" w:line="277" w:lineRule="auto"/>
        <w:rPr>
          <w:sz w:val="20"/>
          <w:szCs w:val="20"/>
          <w:color w:val="auto"/>
        </w:rPr>
      </w:pPr>
      <w:r>
        <w:rPr>
          <w:rFonts w:ascii="Arial" w:cs="Arial" w:eastAsia="Arial" w:hAnsi="Arial"/>
          <w:sz w:val="18"/>
          <w:szCs w:val="18"/>
          <w:b w:val="1"/>
          <w:bCs w:val="1"/>
          <w:color w:val="auto"/>
        </w:rPr>
        <w:t xml:space="preserve">3.3 R&amp;W Insurance Policy . </w:t>
      </w:r>
      <w:r>
        <w:rPr>
          <w:rFonts w:ascii="Arial" w:cs="Arial" w:eastAsia="Arial" w:hAnsi="Arial"/>
          <w:sz w:val="18"/>
          <w:szCs w:val="18"/>
          <w:color w:val="auto"/>
        </w:rPr>
        <w:t>The Purchaser has provided to the Seller a correct and complete copy of the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warranties insurance policy, bound as of the date of this Agreement, between the Purchaser and Euclid Transactional, LLC (collectively the “</w:t>
      </w:r>
      <w:r>
        <w:rPr>
          <w:rFonts w:ascii="Arial" w:cs="Arial" w:eastAsia="Arial" w:hAnsi="Arial"/>
          <w:sz w:val="18"/>
          <w:szCs w:val="18"/>
          <w:b w:val="1"/>
          <w:bCs w:val="1"/>
          <w:color w:val="auto"/>
        </w:rPr>
        <w:t>Insurer(s)</w:t>
      </w:r>
      <w:r>
        <w:rPr>
          <w:rFonts w:ascii="Arial" w:cs="Arial" w:eastAsia="Arial" w:hAnsi="Arial"/>
          <w:sz w:val="18"/>
          <w:szCs w:val="18"/>
          <w:color w:val="auto"/>
        </w:rPr>
        <w:t>”), and any applicable excess representations and warranties insurance policies obtained in connection therewith (collectively, the “</w:t>
      </w:r>
      <w:r>
        <w:rPr>
          <w:rFonts w:ascii="Arial" w:cs="Arial" w:eastAsia="Arial" w:hAnsi="Arial"/>
          <w:sz w:val="18"/>
          <w:szCs w:val="18"/>
          <w:b w:val="1"/>
          <w:bCs w:val="1"/>
          <w:color w:val="auto"/>
        </w:rPr>
        <w:t>R&amp;W Insurance Policy</w:t>
      </w:r>
      <w:r>
        <w:rPr>
          <w:rFonts w:ascii="Arial" w:cs="Arial" w:eastAsia="Arial" w:hAnsi="Arial"/>
          <w:sz w:val="18"/>
          <w:szCs w:val="18"/>
          <w:color w:val="auto"/>
        </w:rPr>
        <w:t>”). The R&amp;W Insurance Policy has not been materially amended or modified, no such material amendment or modification is contemplated, and the commitments contained in the R&amp;W Insurance Policy have not been withdrawn or rescinded in any respect. There are no side letters or other arrangements related to the insuring of the transactions contemplated hereby other</w:t>
      </w:r>
    </w:p>
    <w:p>
      <w:pPr>
        <w:spacing w:after="0" w:line="16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4" w:name="page145"/>
    <w:bookmarkEnd w:id="144"/>
    <w:p>
      <w:pPr>
        <w:ind w:right="420" w:firstLine="8"/>
        <w:spacing w:after="0" w:line="293" w:lineRule="auto"/>
        <w:tabs>
          <w:tab w:leader="none" w:pos="352" w:val="left"/>
        </w:tabs>
        <w:numPr>
          <w:ilvl w:val="0"/>
          <w:numId w:val="12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than as expressly set forth in the R&amp;W Insurance Policy. The Purchaser has paid, or will pay before the due date required by the insurer(s), any premiums and fees due in connection with the R&amp;W Insurance Policy. The R&amp;W Insurance Policy expressly provides that, except in the case of Fraud, no Insurer(s) thereunder has any rights against, and each Insurer(s) thereunder has expressly waived and has agreed not to pursue, directly or indirectly, any claims in connection with this Agreement or the Transactions by way of subrogation, contribution or otherwise against, the Seller or any of its former, current or future Affiliates, or any of its or their respective former, current or future direct or indirect general or limited partners, shareholders, managers, management companies, portfolio companies, equity holders, controlling Persons, members, agents, incorporators, trustees or the Representatives, or the Representatives of any of the foregoing, or any heir, executor, administrator, successor or assign of any of the foregoing, including with respect to any claim made by any insured thereunder (the “</w:t>
      </w:r>
      <w:r>
        <w:rPr>
          <w:rFonts w:ascii="Arial" w:cs="Arial" w:eastAsia="Arial" w:hAnsi="Arial"/>
          <w:sz w:val="20"/>
          <w:szCs w:val="20"/>
          <w:b w:val="1"/>
          <w:bCs w:val="1"/>
          <w:color w:val="auto"/>
        </w:rPr>
        <w:t>R&amp;W</w:t>
      </w:r>
      <w:r>
        <w:rPr>
          <w:rFonts w:ascii="Arial" w:cs="Arial" w:eastAsia="Arial" w:hAnsi="Arial"/>
          <w:sz w:val="20"/>
          <w:szCs w:val="20"/>
          <w:color w:val="auto"/>
        </w:rPr>
        <w:t xml:space="preserve"> </w:t>
      </w:r>
      <w:r>
        <w:rPr>
          <w:rFonts w:ascii="Arial" w:cs="Arial" w:eastAsia="Arial" w:hAnsi="Arial"/>
          <w:sz w:val="20"/>
          <w:szCs w:val="20"/>
          <w:b w:val="1"/>
          <w:bCs w:val="1"/>
          <w:color w:val="auto"/>
        </w:rPr>
        <w:t>Waiver</w:t>
      </w:r>
      <w:r>
        <w:rPr>
          <w:rFonts w:ascii="Arial" w:cs="Arial" w:eastAsia="Arial" w:hAnsi="Arial"/>
          <w:sz w:val="20"/>
          <w:szCs w:val="20"/>
          <w:color w:val="auto"/>
        </w:rPr>
        <w:t>”).</w:t>
      </w:r>
    </w:p>
    <w:p>
      <w:pPr>
        <w:spacing w:after="0" w:line="188" w:lineRule="exact"/>
        <w:rPr>
          <w:sz w:val="20"/>
          <w:szCs w:val="20"/>
          <w:color w:val="auto"/>
        </w:rPr>
      </w:pPr>
    </w:p>
    <w:p>
      <w:pPr>
        <w:jc w:val="both"/>
        <w:ind w:firstLine="1310"/>
        <w:spacing w:after="0" w:line="253" w:lineRule="auto"/>
        <w:rPr>
          <w:sz w:val="20"/>
          <w:szCs w:val="20"/>
          <w:color w:val="auto"/>
        </w:rPr>
      </w:pPr>
      <w:r>
        <w:rPr>
          <w:rFonts w:ascii="Arial" w:cs="Arial" w:eastAsia="Arial" w:hAnsi="Arial"/>
          <w:sz w:val="20"/>
          <w:szCs w:val="20"/>
          <w:b w:val="1"/>
          <w:bCs w:val="1"/>
          <w:color w:val="auto"/>
        </w:rPr>
        <w:t xml:space="preserve">3.4 Absence of Litigation. </w:t>
      </w:r>
      <w:r>
        <w:rPr>
          <w:rFonts w:ascii="Arial" w:cs="Arial" w:eastAsia="Arial" w:hAnsi="Arial"/>
          <w:sz w:val="20"/>
          <w:szCs w:val="20"/>
          <w:color w:val="auto"/>
        </w:rPr>
        <w:t>There are no Proceedings pending or, to the knowledge of the Purchaser, threatened, against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or any of its Affiliates seeking to prevent, hinder, modify or delay the transactions contemplated hereby or by the other Transactional Agreements.</w:t>
      </w:r>
    </w:p>
    <w:p>
      <w:pPr>
        <w:spacing w:after="0" w:line="177" w:lineRule="exact"/>
        <w:rPr>
          <w:sz w:val="20"/>
          <w:szCs w:val="20"/>
          <w:color w:val="auto"/>
        </w:rPr>
      </w:pPr>
    </w:p>
    <w:p>
      <w:pPr>
        <w:jc w:val="both"/>
        <w:ind w:firstLine="1310"/>
        <w:spacing w:after="0" w:line="272" w:lineRule="auto"/>
        <w:rPr>
          <w:sz w:val="20"/>
          <w:szCs w:val="20"/>
          <w:color w:val="auto"/>
        </w:rPr>
      </w:pPr>
      <w:r>
        <w:rPr>
          <w:rFonts w:ascii="Arial" w:cs="Arial" w:eastAsia="Arial" w:hAnsi="Arial"/>
          <w:sz w:val="19"/>
          <w:szCs w:val="19"/>
          <w:b w:val="1"/>
          <w:bCs w:val="1"/>
          <w:color w:val="auto"/>
        </w:rPr>
        <w:t xml:space="preserve">3.5 Brokers. </w:t>
      </w:r>
      <w:r>
        <w:rPr>
          <w:rFonts w:ascii="Arial" w:cs="Arial" w:eastAsia="Arial" w:hAnsi="Arial"/>
          <w:sz w:val="19"/>
          <w:szCs w:val="19"/>
          <w:color w:val="auto"/>
        </w:rPr>
        <w:t>No agent, broker, investment banker or other Person is or will be entitled to any broker’s or finder’s fee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commission or similar fee from the Seller or any Seller Affiliate in connection with the transactions contemplated by this Agreement and the other Transactional Agreements as a result of any arrangements entered into by the Purchaser or its Affiliates.</w:t>
      </w:r>
    </w:p>
    <w:p>
      <w:pPr>
        <w:spacing w:after="0" w:line="162" w:lineRule="exact"/>
        <w:rPr>
          <w:sz w:val="20"/>
          <w:szCs w:val="20"/>
          <w:color w:val="auto"/>
        </w:rPr>
      </w:pPr>
    </w:p>
    <w:p>
      <w:pPr>
        <w:jc w:val="both"/>
        <w:ind w:right="20" w:firstLine="1310"/>
        <w:spacing w:after="0" w:line="267" w:lineRule="auto"/>
        <w:rPr>
          <w:sz w:val="20"/>
          <w:szCs w:val="20"/>
          <w:color w:val="auto"/>
        </w:rPr>
      </w:pPr>
      <w:r>
        <w:rPr>
          <w:rFonts w:ascii="Arial" w:cs="Arial" w:eastAsia="Arial" w:hAnsi="Arial"/>
          <w:sz w:val="20"/>
          <w:szCs w:val="20"/>
          <w:b w:val="1"/>
          <w:bCs w:val="1"/>
          <w:color w:val="auto"/>
        </w:rPr>
        <w:t xml:space="preserve">3.6 Availability of Funds. </w:t>
      </w:r>
      <w:r>
        <w:rPr>
          <w:rFonts w:ascii="Arial" w:cs="Arial" w:eastAsia="Arial" w:hAnsi="Arial"/>
          <w:sz w:val="20"/>
          <w:szCs w:val="20"/>
          <w:color w:val="auto"/>
        </w:rPr>
        <w:t>The Purchaser will have all of the funds necessary to pay the Purchase Price and consummate</w:t>
      </w:r>
      <w:r>
        <w:rPr>
          <w:rFonts w:ascii="Arial" w:cs="Arial" w:eastAsia="Arial" w:hAnsi="Arial"/>
          <w:sz w:val="20"/>
          <w:szCs w:val="20"/>
          <w:b w:val="1"/>
          <w:bCs w:val="1"/>
          <w:color w:val="auto"/>
        </w:rPr>
        <w:t xml:space="preserve"> </w:t>
      </w:r>
      <w:r>
        <w:rPr>
          <w:rFonts w:ascii="Arial" w:cs="Arial" w:eastAsia="Arial" w:hAnsi="Arial"/>
          <w:sz w:val="20"/>
          <w:szCs w:val="20"/>
          <w:color w:val="auto"/>
        </w:rPr>
        <w:t>the Transactions under this Agreement at the Closing.</w:t>
      </w:r>
    </w:p>
    <w:p>
      <w:pPr>
        <w:spacing w:after="0" w:line="163" w:lineRule="exact"/>
        <w:rPr>
          <w:sz w:val="20"/>
          <w:szCs w:val="20"/>
          <w:color w:val="auto"/>
        </w:rPr>
      </w:pPr>
    </w:p>
    <w:p>
      <w:pPr>
        <w:jc w:val="both"/>
        <w:ind w:firstLine="1310"/>
        <w:spacing w:after="0" w:line="260" w:lineRule="auto"/>
        <w:rPr>
          <w:sz w:val="20"/>
          <w:szCs w:val="20"/>
          <w:color w:val="auto"/>
        </w:rPr>
      </w:pPr>
      <w:r>
        <w:rPr>
          <w:rFonts w:ascii="Arial" w:cs="Arial" w:eastAsia="Arial" w:hAnsi="Arial"/>
          <w:sz w:val="19"/>
          <w:szCs w:val="19"/>
          <w:b w:val="1"/>
          <w:bCs w:val="1"/>
          <w:color w:val="auto"/>
        </w:rPr>
        <w:t xml:space="preserve">3.7 Solvency. </w:t>
      </w:r>
      <w:r>
        <w:rPr>
          <w:rFonts w:ascii="Arial" w:cs="Arial" w:eastAsia="Arial" w:hAnsi="Arial"/>
          <w:sz w:val="19"/>
          <w:szCs w:val="19"/>
          <w:color w:val="auto"/>
        </w:rPr>
        <w:t>Immediately after giving effect to the Transactions, the Purchaser will (a) be able to pay its debts as they</w:t>
      </w:r>
      <w:r>
        <w:rPr>
          <w:rFonts w:ascii="Arial" w:cs="Arial" w:eastAsia="Arial" w:hAnsi="Arial"/>
          <w:sz w:val="19"/>
          <w:szCs w:val="19"/>
          <w:b w:val="1"/>
          <w:bCs w:val="1"/>
          <w:color w:val="auto"/>
        </w:rPr>
        <w:t xml:space="preserve"> </w:t>
      </w:r>
      <w:r>
        <w:rPr>
          <w:rFonts w:ascii="Arial" w:cs="Arial" w:eastAsia="Arial" w:hAnsi="Arial"/>
          <w:sz w:val="19"/>
          <w:szCs w:val="19"/>
          <w:color w:val="auto"/>
        </w:rPr>
        <w:t>become due, (b) own property which has a fair saleable value greater than the amounts required to pay its debts (including a reasonable estimate of all contingent Liabilities) and (c) have adequate capital to carry on its business. No transfer of property is being made by the Purchaser and no obligation has been incurred by the Purchaser in connection with the Transactions with the intent to hinder, delay or defraud either present or future creditors of the Purchaser. There are no winding up, bankruptcy or insolvency Proceedings concerning the Purchaser pending, and no events have occurred which would justify such Proceedings.</w:t>
      </w:r>
    </w:p>
    <w:p>
      <w:pPr>
        <w:spacing w:after="0" w:line="173" w:lineRule="exact"/>
        <w:rPr>
          <w:sz w:val="20"/>
          <w:szCs w:val="20"/>
          <w:color w:val="auto"/>
        </w:rPr>
      </w:pPr>
    </w:p>
    <w:p>
      <w:pPr>
        <w:jc w:val="both"/>
        <w:ind w:firstLine="1310"/>
        <w:spacing w:after="0" w:line="273" w:lineRule="auto"/>
        <w:rPr>
          <w:sz w:val="20"/>
          <w:szCs w:val="20"/>
          <w:color w:val="auto"/>
        </w:rPr>
      </w:pPr>
      <w:r>
        <w:rPr>
          <w:rFonts w:ascii="Arial" w:cs="Arial" w:eastAsia="Arial" w:hAnsi="Arial"/>
          <w:sz w:val="18"/>
          <w:szCs w:val="18"/>
          <w:b w:val="1"/>
          <w:bCs w:val="1"/>
          <w:color w:val="auto"/>
        </w:rPr>
        <w:t xml:space="preserve">3.8 No Other Representations. </w:t>
      </w:r>
      <w:r>
        <w:rPr>
          <w:rFonts w:ascii="Arial" w:cs="Arial" w:eastAsia="Arial" w:hAnsi="Arial"/>
          <w:sz w:val="18"/>
          <w:szCs w:val="18"/>
          <w:color w:val="auto"/>
        </w:rPr>
        <w:t>The Purchaser has conducted its own independent investigation, review and analysis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reached its own independent conclusions regarding, the Purchased Assets, the Assumed Liabilities, the Business and its operations, condition (financial or otherwise) and prospects. Except for the representations and warranties of the Seller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in any other Transactional Agreements or any certificates delivered by the Seller in connection with the Closing, the Purchaser acknowledges that neither the Seller nor any Person on behalf of Seller or any of its Affiliates has made or makes, and the Purchaser expressly disclaims any reliance upon, any other express or implied representation, warranty or other statement with respect to the Seller, the Seller Affiliates, the Purchased Assets, the Assumed Liabilities, the Business and its operations, condition (financial or otherwise) and prospects or with respect to any other information provided or made available to the Purchaser in connection with this Agreement and the transactions contemplated hereby, including information conveyed at management presentations, in the VDR or in due diligence sessions.</w:t>
      </w:r>
    </w:p>
    <w:p>
      <w:pPr>
        <w:spacing w:after="0" w:line="162"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w:t>
      </w:r>
      <w:r>
        <w:rPr>
          <w:rFonts w:ascii="Arial" w:cs="Arial" w:eastAsia="Arial" w:hAnsi="Arial"/>
          <w:sz w:val="20"/>
          <w:szCs w:val="20"/>
          <w:b w:val="1"/>
          <w:bCs w:val="1"/>
          <w:color w:val="auto"/>
        </w:rPr>
        <w:t>-C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ovenants</w:t>
      </w:r>
      <w:r>
        <w:rPr>
          <w:rFonts w:ascii="Arial" w:cs="Arial" w:eastAsia="Arial" w:hAnsi="Arial"/>
          <w:sz w:val="20"/>
          <w:szCs w:val="20"/>
          <w:b w:val="1"/>
          <w:bCs w:val="1"/>
          <w:color w:val="auto"/>
        </w:rPr>
        <w:t>.</w:t>
      </w:r>
    </w:p>
    <w:p>
      <w:pPr>
        <w:spacing w:after="0" w:line="216" w:lineRule="exact"/>
        <w:rPr>
          <w:sz w:val="20"/>
          <w:szCs w:val="20"/>
          <w:color w:val="auto"/>
        </w:rPr>
      </w:pPr>
    </w:p>
    <w:p>
      <w:pPr>
        <w:ind w:firstLine="1310"/>
        <w:spacing w:after="0" w:line="267" w:lineRule="auto"/>
        <w:rPr>
          <w:sz w:val="20"/>
          <w:szCs w:val="20"/>
          <w:color w:val="auto"/>
        </w:rPr>
      </w:pPr>
      <w:r>
        <w:rPr>
          <w:rFonts w:ascii="Arial" w:cs="Arial" w:eastAsia="Arial" w:hAnsi="Arial"/>
          <w:sz w:val="20"/>
          <w:szCs w:val="20"/>
          <w:b w:val="1"/>
          <w:bCs w:val="1"/>
          <w:color w:val="auto"/>
        </w:rPr>
        <w:t xml:space="preserve">4.1 Access And Investigation. </w:t>
      </w:r>
      <w:r>
        <w:rPr>
          <w:rFonts w:ascii="Arial" w:cs="Arial" w:eastAsia="Arial" w:hAnsi="Arial"/>
          <w:sz w:val="20"/>
          <w:szCs w:val="20"/>
          <w:color w:val="auto"/>
        </w:rPr>
        <w:t>The Seller shall ensure that during the Pre-Closing Period, at the reasonable request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and during regular business hours: (a) the Seller, each of</w:t>
      </w:r>
    </w:p>
    <w:p>
      <w:pPr>
        <w:spacing w:after="0" w:line="169"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5" w:name="page146"/>
    <w:bookmarkEnd w:id="145"/>
    <w:p>
      <w:pPr>
        <w:ind w:right="420" w:firstLine="8"/>
        <w:spacing w:after="0" w:line="293" w:lineRule="auto"/>
        <w:tabs>
          <w:tab w:leader="none" w:pos="352" w:val="left"/>
        </w:tabs>
        <w:numPr>
          <w:ilvl w:val="0"/>
          <w:numId w:val="13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Seller Affiliates and each of their respective Representatives provide the Purchaser and its Representatives with reasonable access to the assets, and to all existing books, records, work papers and other documents and information, in each case, relating to the Business and/or the Purchased Assets and (b) the Seller, each of the Seller Affiliates and each of their respective Representatives provide the Purchaser and its Representatives with such copies of existing books, records, work papers and other documents and information relating to the Business and/or the Purchased Assets as the Purchaser may request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access shall be conducted in a manner that complies with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and any applicable COVID-19 Measures, at the Purchaser’s sole expense, at a reasonable time, under the supervision of the Seller’s personnel and in such a manner as to maintain confidentiality and not to materially interfere with the normal operations of the businesses of the Seller and the Seller Affiliates. Notwithstanding anything contained in this or any other agreement between the Purchaser and the Seller executed on or prior to the date hereof, neither the Seller nor any the Seller Affiliates shall have any obligation to make available to the Purchaser or its Representatives, or provide the Purchaser or its Representatives with any information if making such information available would (a) jeopardize any attorney-client or other legal privilege (including tax return preparer privilege) or (b) contravene any applicable Law, fiduciary duty or binding agreement (including any confidentiality agreement to which the Seller or any of the Seller Affiliates is a party) (it being understood that the Seller shall cooperate in any reasonable efforts and requests for waivers that would enable otherwise required disclosure to the Purchaser to occur without so jeopardizing privilege or contravening such Law, duty or agreement).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4.2  Operation Of Business.</w:t>
      </w:r>
    </w:p>
    <w:p>
      <w:pPr>
        <w:spacing w:after="0" w:line="222" w:lineRule="exact"/>
        <w:rPr>
          <w:sz w:val="20"/>
          <w:szCs w:val="20"/>
          <w:color w:val="auto"/>
        </w:rPr>
      </w:pPr>
    </w:p>
    <w:p>
      <w:pPr>
        <w:jc w:val="both"/>
        <w:ind w:firstLine="1505"/>
        <w:spacing w:after="0" w:line="269" w:lineRule="auto"/>
        <w:tabs>
          <w:tab w:leader="none" w:pos="1893" w:val="left"/>
        </w:tabs>
        <w:numPr>
          <w:ilvl w:val="1"/>
          <w:numId w:val="132"/>
        </w:numPr>
        <w:rPr>
          <w:rFonts w:ascii="Arial" w:cs="Arial" w:eastAsia="Arial" w:hAnsi="Arial"/>
          <w:sz w:val="18"/>
          <w:szCs w:val="18"/>
          <w:b w:val="1"/>
          <w:bCs w:val="1"/>
          <w:color w:val="auto"/>
        </w:rPr>
      </w:pPr>
      <w:r>
        <w:rPr>
          <w:rFonts w:ascii="Arial" w:cs="Arial" w:eastAsia="Arial" w:hAnsi="Arial"/>
          <w:sz w:val="18"/>
          <w:szCs w:val="18"/>
          <w:color w:val="auto"/>
        </w:rPr>
        <w:t>During the Pre-Closing Period, except (i) as required by this Agreement or any other Transactional Agreement; (ii) as set forth in Part 4.2 of the Disclosure Schedules; (iii) as required by any Law, Order or Governmental Authorization; (iv) in connection with any action taken, or omitted to be taken, in good faith pursuant to any COVID-19 Measures or which is otherwise taken, or omitted to be taken, in response to COVID-19 as determined by the Seller in its reasonable discretion; or (v) as consented to in writing by the Purchaser (which consent shall not be unreasonably withheld, conditioned or delayed), the Seller shall, and it shall cause the Seller Affiliates to use</w:t>
      </w:r>
    </w:p>
    <w:p>
      <w:pPr>
        <w:spacing w:after="0" w:line="3" w:lineRule="exact"/>
        <w:rPr>
          <w:rFonts w:ascii="Arial" w:cs="Arial" w:eastAsia="Arial" w:hAnsi="Arial"/>
          <w:sz w:val="18"/>
          <w:szCs w:val="18"/>
          <w:b w:val="1"/>
          <w:bCs w:val="1"/>
          <w:color w:val="auto"/>
        </w:rPr>
      </w:pPr>
    </w:p>
    <w:p>
      <w:pPr>
        <w:ind w:left="480" w:hanging="472"/>
        <w:spacing w:after="0"/>
        <w:tabs>
          <w:tab w:leader="none" w:pos="4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efforts to:</w:t>
      </w:r>
    </w:p>
    <w:p>
      <w:pPr>
        <w:spacing w:after="0" w:line="199" w:lineRule="exact"/>
        <w:rPr>
          <w:rFonts w:ascii="Arial" w:cs="Arial" w:eastAsia="Arial" w:hAnsi="Arial"/>
          <w:sz w:val="20"/>
          <w:szCs w:val="20"/>
          <w:color w:val="auto"/>
        </w:rPr>
      </w:pPr>
    </w:p>
    <w:p>
      <w:pPr>
        <w:ind w:left="2660" w:hanging="406"/>
        <w:spacing w:after="0"/>
        <w:tabs>
          <w:tab w:leader="none" w:pos="2660" w:val="left"/>
        </w:tabs>
        <w:numPr>
          <w:ilvl w:val="2"/>
          <w:numId w:val="132"/>
        </w:numPr>
        <w:rPr>
          <w:rFonts w:ascii="Arial" w:cs="Arial" w:eastAsia="Arial" w:hAnsi="Arial"/>
          <w:sz w:val="20"/>
          <w:szCs w:val="20"/>
          <w:b w:val="1"/>
          <w:bCs w:val="1"/>
          <w:color w:val="auto"/>
        </w:rPr>
      </w:pPr>
      <w:r>
        <w:rPr>
          <w:rFonts w:ascii="Arial" w:cs="Arial" w:eastAsia="Arial" w:hAnsi="Arial"/>
          <w:sz w:val="20"/>
          <w:szCs w:val="20"/>
          <w:color w:val="auto"/>
        </w:rPr>
        <w:t>operate and conduct the Business in the Ordinary Course of Business; and</w:t>
      </w:r>
    </w:p>
    <w:p>
      <w:pPr>
        <w:spacing w:after="0" w:line="215" w:lineRule="exact"/>
        <w:rPr>
          <w:rFonts w:ascii="Arial" w:cs="Arial" w:eastAsia="Arial" w:hAnsi="Arial"/>
          <w:sz w:val="20"/>
          <w:szCs w:val="20"/>
          <w:b w:val="1"/>
          <w:bCs w:val="1"/>
          <w:color w:val="auto"/>
        </w:rPr>
      </w:pPr>
    </w:p>
    <w:p>
      <w:pPr>
        <w:ind w:left="2660" w:hanging="406"/>
        <w:spacing w:after="0"/>
        <w:tabs>
          <w:tab w:leader="none" w:pos="2660" w:val="left"/>
        </w:tabs>
        <w:numPr>
          <w:ilvl w:val="2"/>
          <w:numId w:val="132"/>
        </w:numPr>
        <w:rPr>
          <w:rFonts w:ascii="Arial" w:cs="Arial" w:eastAsia="Arial" w:hAnsi="Arial"/>
          <w:sz w:val="18"/>
          <w:szCs w:val="18"/>
          <w:b w:val="1"/>
          <w:bCs w:val="1"/>
          <w:color w:val="auto"/>
        </w:rPr>
      </w:pPr>
      <w:r>
        <w:rPr>
          <w:rFonts w:ascii="Arial" w:cs="Arial" w:eastAsia="Arial" w:hAnsi="Arial"/>
          <w:sz w:val="18"/>
          <w:szCs w:val="18"/>
          <w:color w:val="auto"/>
        </w:rPr>
        <w:t>(A) preserve intact its current business organization, (B) keep available the services of its employees and</w:t>
      </w:r>
    </w:p>
    <w:p>
      <w:pPr>
        <w:spacing w:after="0" w:line="38" w:lineRule="exact"/>
        <w:rPr>
          <w:rFonts w:ascii="Arial" w:cs="Arial" w:eastAsia="Arial" w:hAnsi="Arial"/>
          <w:sz w:val="18"/>
          <w:szCs w:val="18"/>
          <w:b w:val="1"/>
          <w:bCs w:val="1"/>
          <w:color w:val="auto"/>
        </w:rPr>
      </w:pPr>
    </w:p>
    <w:p>
      <w:pPr>
        <w:ind w:right="2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(C) maintain its relations and good will with all suppliers and customers and other Persons having material business dealings with the Business.</w:t>
      </w:r>
    </w:p>
    <w:p>
      <w:pPr>
        <w:spacing w:after="0" w:line="191" w:lineRule="exact"/>
        <w:rPr>
          <w:rFonts w:ascii="Arial" w:cs="Arial" w:eastAsia="Arial" w:hAnsi="Arial"/>
          <w:sz w:val="18"/>
          <w:szCs w:val="18"/>
          <w:b w:val="1"/>
          <w:bCs w:val="1"/>
          <w:color w:val="auto"/>
        </w:rPr>
      </w:pPr>
    </w:p>
    <w:p>
      <w:pPr>
        <w:jc w:val="both"/>
        <w:ind w:firstLine="1505"/>
        <w:spacing w:after="0" w:line="243" w:lineRule="auto"/>
        <w:tabs>
          <w:tab w:leader="none" w:pos="1893" w:val="left"/>
        </w:tabs>
        <w:numPr>
          <w:ilvl w:val="1"/>
          <w:numId w:val="133"/>
        </w:numPr>
        <w:rPr>
          <w:rFonts w:ascii="Arial" w:cs="Arial" w:eastAsia="Arial" w:hAnsi="Arial"/>
          <w:sz w:val="20"/>
          <w:szCs w:val="20"/>
          <w:b w:val="1"/>
          <w:bCs w:val="1"/>
          <w:color w:val="auto"/>
        </w:rPr>
      </w:pPr>
      <w:r>
        <w:rPr>
          <w:rFonts w:ascii="Arial" w:cs="Arial" w:eastAsia="Arial" w:hAnsi="Arial"/>
          <w:sz w:val="20"/>
          <w:szCs w:val="20"/>
          <w:color w:val="auto"/>
        </w:rPr>
        <w:t>During the Pre-Closing Period, except (i) as required by this Agreement or any other Transactional Agreement; (ii) as set forth in Part 4.2 of the Disclosure Schedule; (iii) as required by any Law, Order or Governmental Authorization; (iv) in connection with any action taken, or omitted to be taken, pursuant to any COVID-19 Measures or which is otherwise taken, or omitted to be taken, in good faith in response to COVID-19 as determined by the Seller in its reasonable discretion; or (v) as consented to in writing by the Purchaser (which consent shall not be unreasonably withheld, conditioned or delayed), the Seller shall not, and shall cause the Seller Affiliates not to, without the prior written approval of the Purchaser:</w:t>
      </w:r>
    </w:p>
    <w:p>
      <w:pPr>
        <w:spacing w:after="0" w:line="195" w:lineRule="exact"/>
        <w:rPr>
          <w:rFonts w:ascii="Arial" w:cs="Arial" w:eastAsia="Arial" w:hAnsi="Arial"/>
          <w:sz w:val="20"/>
          <w:szCs w:val="20"/>
          <w:b w:val="1"/>
          <w:bCs w:val="1"/>
          <w:color w:val="auto"/>
        </w:rPr>
      </w:pPr>
    </w:p>
    <w:p>
      <w:pPr>
        <w:jc w:val="both"/>
        <w:ind w:firstLine="2254"/>
        <w:spacing w:after="0" w:line="250" w:lineRule="auto"/>
        <w:tabs>
          <w:tab w:leader="none" w:pos="2655" w:val="left"/>
        </w:tabs>
        <w:numPr>
          <w:ilvl w:val="2"/>
          <w:numId w:val="133"/>
        </w:numPr>
        <w:rPr>
          <w:rFonts w:ascii="Arial" w:cs="Arial" w:eastAsia="Arial" w:hAnsi="Arial"/>
          <w:sz w:val="20"/>
          <w:szCs w:val="20"/>
          <w:b w:val="1"/>
          <w:bCs w:val="1"/>
          <w:color w:val="auto"/>
        </w:rPr>
      </w:pPr>
      <w:r>
        <w:rPr>
          <w:rFonts w:ascii="Arial" w:cs="Arial" w:eastAsia="Arial" w:hAnsi="Arial"/>
          <w:sz w:val="20"/>
          <w:szCs w:val="20"/>
          <w:color w:val="auto"/>
        </w:rPr>
        <w:t>sell, lease or otherwise transfer, convey or dispose, or agree, commit or offer (in writing or otherwise) to sell, lease or otherwise transfer, convey or dispose any interest in the Purchased Assets or the Business other than (A) sales of Inventory in the Ordinary Course of Business and (B) disposals of obsolete Inventory;</w:t>
      </w:r>
    </w:p>
    <w:p>
      <w:pPr>
        <w:spacing w:after="0" w:line="18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6" w:name="page147"/>
    <w:bookmarkEnd w:id="146"/>
    <w:p>
      <w:pPr>
        <w:ind w:right="420" w:firstLine="8"/>
        <w:spacing w:after="0" w:line="293" w:lineRule="auto"/>
        <w:tabs>
          <w:tab w:leader="none" w:pos="352" w:val="left"/>
        </w:tabs>
        <w:numPr>
          <w:ilvl w:val="0"/>
          <w:numId w:val="13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ind w:firstLine="2254"/>
        <w:spacing w:after="0" w:line="260" w:lineRule="auto"/>
        <w:tabs>
          <w:tab w:leader="none" w:pos="2642"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permit, or agree, commit or offer (in writing or otherwise) to permit, any interest in the Purchased Assets or the Business to become subject, directly or indirectly, to any Encumbrance (other than a Permitted Encumbrance);</w:t>
      </w:r>
    </w:p>
    <w:p>
      <w:pPr>
        <w:spacing w:after="0" w:line="176" w:lineRule="exact"/>
        <w:rPr>
          <w:rFonts w:ascii="Arial" w:cs="Arial" w:eastAsia="Arial" w:hAnsi="Arial"/>
          <w:sz w:val="20"/>
          <w:szCs w:val="20"/>
          <w:b w:val="1"/>
          <w:bCs w:val="1"/>
          <w:color w:val="auto"/>
        </w:rPr>
      </w:pPr>
    </w:p>
    <w:p>
      <w:pPr>
        <w:ind w:firstLine="2254"/>
        <w:spacing w:after="0" w:line="260" w:lineRule="auto"/>
        <w:tabs>
          <w:tab w:leader="none" w:pos="2642"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transfer, sell, lease, license or otherwise convey or dispose of, or abandon, fail to maintain or allow to lapse, any of the Product IP, other than non-exclusive licenses granted in the Ordinary Course of Business;</w:t>
      </w:r>
    </w:p>
    <w:p>
      <w:pPr>
        <w:spacing w:after="0" w:line="176" w:lineRule="exact"/>
        <w:rPr>
          <w:rFonts w:ascii="Arial" w:cs="Arial" w:eastAsia="Arial" w:hAnsi="Arial"/>
          <w:sz w:val="20"/>
          <w:szCs w:val="20"/>
          <w:b w:val="1"/>
          <w:bCs w:val="1"/>
          <w:color w:val="auto"/>
        </w:rPr>
      </w:pPr>
    </w:p>
    <w:p>
      <w:pPr>
        <w:jc w:val="both"/>
        <w:ind w:firstLine="2254"/>
        <w:spacing w:after="0" w:line="250" w:lineRule="auto"/>
        <w:tabs>
          <w:tab w:leader="none" w:pos="2655"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increase the compensation or other benefits arrangements of any of its employees except for increases as required by applicable Law or any Employee Benefit Plan in effect on the date hereof that is (or the form of which is) set forth on Part 2.17(a) of the Disclosure Schedule;</w:t>
      </w:r>
    </w:p>
    <w:p>
      <w:pPr>
        <w:spacing w:after="0" w:line="185" w:lineRule="exact"/>
        <w:rPr>
          <w:rFonts w:ascii="Arial" w:cs="Arial" w:eastAsia="Arial" w:hAnsi="Arial"/>
          <w:sz w:val="20"/>
          <w:szCs w:val="20"/>
          <w:b w:val="1"/>
          <w:bCs w:val="1"/>
          <w:color w:val="auto"/>
        </w:rPr>
      </w:pPr>
    </w:p>
    <w:p>
      <w:pPr>
        <w:ind w:firstLine="2254"/>
        <w:spacing w:after="0" w:line="260" w:lineRule="auto"/>
        <w:tabs>
          <w:tab w:leader="none" w:pos="2642"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cause or permit the Business to acquire (including by merger, consolidation, share exchange or purchase of all or substantially all the assets of) any Person or business unit thereof;</w:t>
      </w:r>
    </w:p>
    <w:p>
      <w:pPr>
        <w:spacing w:after="0" w:line="176" w:lineRule="exact"/>
        <w:rPr>
          <w:rFonts w:ascii="Arial" w:cs="Arial" w:eastAsia="Arial" w:hAnsi="Arial"/>
          <w:sz w:val="20"/>
          <w:szCs w:val="20"/>
          <w:b w:val="1"/>
          <w:bCs w:val="1"/>
          <w:color w:val="auto"/>
        </w:rPr>
      </w:pPr>
    </w:p>
    <w:p>
      <w:pPr>
        <w:jc w:val="both"/>
        <w:ind w:firstLine="2254"/>
        <w:spacing w:after="0" w:line="250" w:lineRule="auto"/>
        <w:tabs>
          <w:tab w:leader="none" w:pos="2669"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except in the Ordinary Course of Business, enter into or renew, cancel, terminate or make any material amendments to, or grant any release or relinquishment of any material rights under, any Seller Contract (or Contract that would be a Material Contract if it had been entered into prior to the date hereof);</w:t>
      </w:r>
    </w:p>
    <w:p>
      <w:pPr>
        <w:spacing w:after="0" w:line="185" w:lineRule="exact"/>
        <w:rPr>
          <w:rFonts w:ascii="Arial" w:cs="Arial" w:eastAsia="Arial" w:hAnsi="Arial"/>
          <w:sz w:val="20"/>
          <w:szCs w:val="20"/>
          <w:b w:val="1"/>
          <w:bCs w:val="1"/>
          <w:color w:val="auto"/>
        </w:rPr>
      </w:pPr>
    </w:p>
    <w:p>
      <w:pPr>
        <w:ind w:left="2660" w:hanging="406"/>
        <w:spacing w:after="0"/>
        <w:tabs>
          <w:tab w:leader="none" w:pos="2660"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settle, compromise, waive or release any Proceeding relating to the Business or the Purchased Assets,</w:t>
      </w:r>
    </w:p>
    <w:p>
      <w:pPr>
        <w:spacing w:after="0" w:line="238" w:lineRule="exact"/>
        <w:rPr>
          <w:rFonts w:ascii="Arial" w:cs="Arial" w:eastAsia="Arial" w:hAnsi="Arial"/>
          <w:sz w:val="18"/>
          <w:szCs w:val="18"/>
          <w:b w:val="1"/>
          <w:bCs w:val="1"/>
          <w:color w:val="auto"/>
        </w:rPr>
      </w:pPr>
    </w:p>
    <w:p>
      <w:pPr>
        <w:ind w:firstLine="2254"/>
        <w:spacing w:after="0" w:line="260" w:lineRule="auto"/>
        <w:tabs>
          <w:tab w:leader="none" w:pos="3038"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 xml:space="preserve">vary any inventory practices with respect to any Product in any respect inconsistent with past practice other than in response to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customer orders;</w:t>
      </w:r>
    </w:p>
    <w:p>
      <w:pPr>
        <w:spacing w:after="0" w:line="176" w:lineRule="exact"/>
        <w:rPr>
          <w:rFonts w:ascii="Arial" w:cs="Arial" w:eastAsia="Arial" w:hAnsi="Arial"/>
          <w:sz w:val="20"/>
          <w:szCs w:val="20"/>
          <w:b w:val="1"/>
          <w:bCs w:val="1"/>
          <w:color w:val="auto"/>
        </w:rPr>
      </w:pPr>
    </w:p>
    <w:p>
      <w:pPr>
        <w:ind w:firstLine="2254"/>
        <w:spacing w:after="0" w:line="260" w:lineRule="auto"/>
        <w:tabs>
          <w:tab w:leader="none" w:pos="2682"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adopt a plan of complete or partial liquidation or dissolution, recapitalization or other reorganization affecting the Purchased Assets, the Business, or any Product; or</w:t>
      </w:r>
    </w:p>
    <w:p>
      <w:pPr>
        <w:spacing w:after="0" w:line="176" w:lineRule="exact"/>
        <w:rPr>
          <w:rFonts w:ascii="Arial" w:cs="Arial" w:eastAsia="Arial" w:hAnsi="Arial"/>
          <w:sz w:val="20"/>
          <w:szCs w:val="20"/>
          <w:b w:val="1"/>
          <w:bCs w:val="1"/>
          <w:color w:val="auto"/>
        </w:rPr>
      </w:pPr>
    </w:p>
    <w:p>
      <w:pPr>
        <w:ind w:left="2660" w:hanging="406"/>
        <w:spacing w:after="0"/>
        <w:tabs>
          <w:tab w:leader="none" w:pos="2660"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 xml:space="preserve">agree, commit or offer (in writing or otherwise) to take any of the actions described in this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3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b w:val="1"/>
          <w:bCs w:val="1"/>
          <w:color w:val="auto"/>
        </w:rPr>
        <w:t xml:space="preserve">4.3 Notification. </w:t>
      </w:r>
      <w:r>
        <w:rPr>
          <w:rFonts w:ascii="Arial" w:cs="Arial" w:eastAsia="Arial" w:hAnsi="Arial"/>
          <w:sz w:val="18"/>
          <w:szCs w:val="18"/>
          <w:color w:val="auto"/>
        </w:rPr>
        <w:t>During the Pre-Closing Period, the Seller shall promptly notify the Purchaser in writing of: (a) the discovery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Seller of any event, condition, fact or circumstance that occurred or existed on or prior to the date of this Agreement and that caused or constitutes a Breach of any representation or warranty made by the Seller in this Agreement; (b) any event, condition, fact or circumstance that occurs, arises or exists after the date of this Agreement and that would cause or constitute a Breach of any representation or warranty made by the Seller in this Agreement; (c) any Breach of any covenant or obligation of the Seller; and (d) any event, condition, fact or circumstance that may reasonably make the timely satisfaction of any of the conditions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impossible or unlikely. No such notification shall be deemed to supplement or amend this Agreement, including for purposes of determining (x) the accuracy of any representation or warranty made by the Seller in this Agreement or in the Seller Closing Certificate or (y) whether any of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has been satisfied. The Parties acknowledge and agree that any failure by Seller to make a notification pursuant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in no event result in or be deemed a failure of any of the conditions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to be satisfied.</w:t>
      </w:r>
    </w:p>
    <w:p>
      <w:pPr>
        <w:spacing w:after="0" w:line="3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4.4 Filings and Consents. </w:t>
      </w:r>
      <w:r>
        <w:rPr>
          <w:rFonts w:ascii="Arial" w:cs="Arial" w:eastAsia="Arial" w:hAnsi="Arial"/>
          <w:sz w:val="20"/>
          <w:szCs w:val="20"/>
          <w:color w:val="auto"/>
        </w:rPr>
        <w:t>The Parties shall use their commercially reasonable efforts to ensure that: (a) all filings, notices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Consents required to be made, given and obtained in order to consummate the Transactions are made, given and obtained on a timely basis; and (b) cooperate with each</w:t>
      </w:r>
    </w:p>
    <w:p>
      <w:pPr>
        <w:spacing w:after="0" w:line="183"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7" w:name="page148"/>
    <w:bookmarkEnd w:id="147"/>
    <w:p>
      <w:pPr>
        <w:ind w:right="420" w:firstLine="8"/>
        <w:spacing w:after="0" w:line="293" w:lineRule="auto"/>
        <w:tabs>
          <w:tab w:leader="none" w:pos="352" w:val="left"/>
        </w:tabs>
        <w:numPr>
          <w:ilvl w:val="0"/>
          <w:numId w:val="13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other and with the other Party’s Representatives, and prepare and make available such documents and take such other actions as are reasonably necessary or appropriate, in connection with any such filing, notice or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connection with obtaining any such Consents neither Party nor any of its Affiliates shall be required to make any payment to any Third Party or make any other concession to any Third Party.</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4.5 Exclusivity</w:t>
      </w:r>
      <w:r>
        <w:rPr>
          <w:rFonts w:ascii="Arial" w:cs="Arial" w:eastAsia="Arial" w:hAnsi="Arial"/>
          <w:sz w:val="18"/>
          <w:szCs w:val="18"/>
          <w:color w:val="auto"/>
        </w:rPr>
        <w:t>. During the period following the date of this Agreement until the earlier of the Closing Date and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pursuant to its terms, the Seller shall ensure that neither the Seller nor any Representative or Seller Affiliate, directly or indirectly: (a) solicits or knowingly encourages the initiation of any inquiry, proposal or offer from any Person (other than the Purchaser) relating to any Acquisition Transaction; (b) participates in any discussions or negotiations with, or provides any non-public information to, any Person (other than the Purchaser and its Representatives) relating to any proposed Acquisition Transaction; or (c) otherwise cooperate in any effort or attempt to make, implement or accept a proposal from any Person (other than the Purchaser) relating to any Acquisition Transaction. Other than in connection with this Agreement, the Seller, any Representative thereof or Seller Affiliate shall cease any current discussions regarding any Acquisition Transaction and the Seller will promptly notify the Purchaser in the event that the Seller receives any unsolicited indication of interest or proposal concerning an Acquisition Transaction.</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4.6 Commercially Reasonable Efforts</w:t>
      </w:r>
      <w:r>
        <w:rPr>
          <w:rFonts w:ascii="Arial" w:cs="Arial" w:eastAsia="Arial" w:hAnsi="Arial"/>
          <w:sz w:val="20"/>
          <w:szCs w:val="20"/>
          <w:color w:val="auto"/>
        </w:rPr>
        <w:t>. The Purchaser will use its commercially reasonable efforts to take, or cause to be taken,</w:t>
      </w:r>
      <w:r>
        <w:rPr>
          <w:rFonts w:ascii="Arial" w:cs="Arial" w:eastAsia="Arial" w:hAnsi="Arial"/>
          <w:sz w:val="20"/>
          <w:szCs w:val="20"/>
          <w:b w:val="1"/>
          <w:bCs w:val="1"/>
          <w:color w:val="auto"/>
        </w:rPr>
        <w:t xml:space="preserve"> </w:t>
      </w:r>
      <w:r>
        <w:rPr>
          <w:rFonts w:ascii="Arial" w:cs="Arial" w:eastAsia="Arial" w:hAnsi="Arial"/>
          <w:sz w:val="20"/>
          <w:szCs w:val="20"/>
          <w:color w:val="auto"/>
        </w:rPr>
        <w:t>or do, or cause to be done, all things necessary, proper or advisable to obtain any Governmental Authorizations that are required to permit the Purchaser to effect the Closing.</w:t>
      </w:r>
    </w:p>
    <w:p>
      <w:pPr>
        <w:spacing w:after="0" w:line="1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 xml:space="preserve">4.7 Confidentiality </w:t>
      </w:r>
      <w:r>
        <w:rPr>
          <w:rFonts w:ascii="Arial" w:cs="Arial" w:eastAsia="Arial" w:hAnsi="Arial"/>
          <w:sz w:val="19"/>
          <w:szCs w:val="19"/>
          <w:color w:val="auto"/>
        </w:rPr>
        <w:t>. The parties hereto agree that the initial press release to be issued by each Party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following execution of this Agreement shall be in the forms heretofore agreed to by the parties hereto (the “</w:t>
      </w:r>
      <w:r>
        <w:rPr>
          <w:rFonts w:ascii="Arial" w:cs="Arial" w:eastAsia="Arial" w:hAnsi="Arial"/>
          <w:sz w:val="19"/>
          <w:szCs w:val="19"/>
          <w:b w:val="1"/>
          <w:bCs w:val="1"/>
          <w:color w:val="auto"/>
        </w:rPr>
        <w:t>Announcement</w:t>
      </w:r>
      <w:r>
        <w:rPr>
          <w:rFonts w:ascii="Arial" w:cs="Arial" w:eastAsia="Arial" w:hAnsi="Arial"/>
          <w:sz w:val="19"/>
          <w:szCs w:val="19"/>
          <w:color w:val="auto"/>
        </w:rPr>
        <w:t>”). Except for the Announcement, each Party shall ensure that, during the Pre-Closing Period: (a) neither it nor any Representative of it, issues or disseminates any press release or other publicity or otherwise makes any disclosure of any nature (to any supplier, customer, landlord, creditor or employee of such Party or to any other Person) regarding any of the Transactions or the existence or terms of this Agreement, except to the extent that such Party is required by applicable Law to make any such disclosure; and (b) if such Party is required by applicable Law to make any such disclosure, to the extent possible, such Party advises the other Party, at least [***] before making such disclosure, of the nature and content of the intended disclosure.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4.8  R&amp;W Insurance Policy.</w:t>
      </w:r>
    </w:p>
    <w:p>
      <w:pPr>
        <w:spacing w:after="0" w:line="222" w:lineRule="exact"/>
        <w:rPr>
          <w:sz w:val="20"/>
          <w:szCs w:val="20"/>
          <w:color w:val="auto"/>
        </w:rPr>
      </w:pPr>
    </w:p>
    <w:p>
      <w:pPr>
        <w:jc w:val="both"/>
        <w:ind w:firstLine="1505"/>
        <w:spacing w:after="0" w:line="255" w:lineRule="auto"/>
        <w:tabs>
          <w:tab w:leader="none" w:pos="1934" w:val="left"/>
        </w:tabs>
        <w:numPr>
          <w:ilvl w:val="0"/>
          <w:numId w:val="136"/>
        </w:numPr>
        <w:rPr>
          <w:rFonts w:ascii="Arial" w:cs="Arial" w:eastAsia="Arial" w:hAnsi="Arial"/>
          <w:sz w:val="19"/>
          <w:szCs w:val="19"/>
          <w:b w:val="1"/>
          <w:bCs w:val="1"/>
          <w:color w:val="auto"/>
        </w:rPr>
      </w:pPr>
      <w:r>
        <w:rPr>
          <w:rFonts w:ascii="Arial" w:cs="Arial" w:eastAsia="Arial" w:hAnsi="Arial"/>
          <w:sz w:val="19"/>
          <w:szCs w:val="19"/>
          <w:color w:val="auto"/>
        </w:rPr>
        <w:t xml:space="preserve">[***] will be responsible for paying the premiums, commissions, fees, Taxes and other costs and expenses of procuring and maintaining the R&amp;W Insurance Policy promptly when due and the Seller and the Purchaser shall take all other actions within their respective control in order for the R&amp;W Insurance Policy to be issued at Closing. Except as expressly set forth in this Agreement, neither the Seller nor any Affiliate thereof will have any liability or obligation to indemnify or compensate the Purchaser or any other Person regardless of whether the Purchaser can maintain the R&amp;W Insurance Policy, whether the terms thereof do not provide coverage for any specific type or category of claims or losses, or whether the issuer or underwriter of such policy terminates the same or does not for any reason accept or pay any claims made thereunder. The Purchaser will not, and will cause the insureds not to, waive, amend, modify or otherwise revise the R&amp;W Waiver under the R&amp;W Insurance Policy and the Purchaser will enforce the R&amp;W Waiver under the R&amp;W Insurance Policy. The Purchaser acknowledges and agrees that [***], subject only to the satisfaction or waiver of the conditions to the Closing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w:t>
      </w:r>
    </w:p>
    <w:p>
      <w:pPr>
        <w:spacing w:after="0" w:line="19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8" w:name="page149"/>
    <w:bookmarkEnd w:id="148"/>
    <w:p>
      <w:pPr>
        <w:ind w:right="420" w:firstLine="8"/>
        <w:spacing w:after="0" w:line="293" w:lineRule="auto"/>
        <w:tabs>
          <w:tab w:leader="none" w:pos="352" w:val="left"/>
        </w:tabs>
        <w:numPr>
          <w:ilvl w:val="0"/>
          <w:numId w:val="13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firstLine="1505"/>
        <w:spacing w:after="0" w:line="246" w:lineRule="auto"/>
        <w:tabs>
          <w:tab w:leader="none" w:pos="192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The Seller and each Seller Affiliate shall provide to the Purchaser such cooperation reasonably requested by the Purchaser that is necessary to obtain the R&amp;W Insurance Policy issued in the name of the Purchaser or any of its Affiliates in connection with this Agreement, including by assisting the Purchaser in providing information as may reasonably be requested by any insurance broker or insurance carrier.</w:t>
      </w:r>
    </w:p>
    <w:p>
      <w:pPr>
        <w:spacing w:after="0" w:line="18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4.9 Payment of Accrued Employee Amounts</w:t>
      </w:r>
      <w:r>
        <w:rPr>
          <w:rFonts w:ascii="Arial" w:cs="Arial" w:eastAsia="Arial" w:hAnsi="Arial"/>
          <w:sz w:val="19"/>
          <w:szCs w:val="19"/>
          <w:color w:val="auto"/>
        </w:rPr>
        <w:t>. The Seller shall prepare a special payroll run to pay out (i) all accrued wages,</w:t>
      </w:r>
      <w:r>
        <w:rPr>
          <w:rFonts w:ascii="Arial" w:cs="Arial" w:eastAsia="Arial" w:hAnsi="Arial"/>
          <w:sz w:val="19"/>
          <w:szCs w:val="19"/>
          <w:b w:val="1"/>
          <w:bCs w:val="1"/>
          <w:color w:val="auto"/>
        </w:rPr>
        <w:t xml:space="preserve"> </w:t>
      </w:r>
      <w:r>
        <w:rPr>
          <w:rFonts w:ascii="Arial" w:cs="Arial" w:eastAsia="Arial" w:hAnsi="Arial"/>
          <w:sz w:val="19"/>
          <w:szCs w:val="19"/>
          <w:color w:val="auto"/>
        </w:rPr>
        <w:t>bonuses, retention amounts, salaries and other compensation and employee benefits (including any severance pay, notice pay, insurance, supplemental pension, deferred compensation, “stay” or other similar incentive bonuses, change-in-control bonuses (or other bonuses or compensation related in any way to the execution, delivery or performance of this Agreement), retirement and any other benefits, premiums, claims and related costs) due to any Transferred Employees (other than the Purchaser Severance Liabilities and the Retention Amounts) within fifteen (15) Business Days following the Closing</w:t>
      </w:r>
      <w:r>
        <w:rPr>
          <w:rFonts w:ascii="Arial" w:cs="Arial" w:eastAsia="Arial" w:hAnsi="Arial"/>
          <w:sz w:val="19"/>
          <w:szCs w:val="19"/>
          <w:u w:val="single" w:color="auto"/>
          <w:color w:val="auto"/>
        </w:rPr>
        <w:t>;</w:t>
      </w:r>
      <w:r>
        <w:rPr>
          <w:rFonts w:ascii="Arial" w:cs="Arial" w:eastAsia="Arial" w:hAnsi="Arial"/>
          <w:sz w:val="19"/>
          <w:szCs w:val="19"/>
          <w:color w:val="auto"/>
        </w:rPr>
        <w:t xml:space="preserve"> provided that the [***] shall be paid and awarded by Seller in accordance with its past practices and policies for such awards and (ii) the Retention Amounts in accordance with the terms of the retention agreements that are set forth on Part 2.17(a) of the Disclosure Schedule.</w:t>
      </w:r>
    </w:p>
    <w:p>
      <w:pPr>
        <w:spacing w:after="0" w:line="17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4.10 Intellectual Property Recordations</w:t>
      </w:r>
      <w:r>
        <w:rPr>
          <w:rFonts w:ascii="Arial" w:cs="Arial" w:eastAsia="Arial" w:hAnsi="Arial"/>
          <w:sz w:val="20"/>
          <w:szCs w:val="20"/>
          <w:color w:val="auto"/>
        </w:rPr>
        <w:t>. Prior to the Closing, Seller shall use [***] efforts to take the actions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(it being understood that the failure of any of such actions to be completed shall not delay the Closing).</w:t>
      </w:r>
    </w:p>
    <w:p>
      <w:pPr>
        <w:spacing w:after="0" w:line="163" w:lineRule="exact"/>
        <w:rPr>
          <w:sz w:val="20"/>
          <w:szCs w:val="20"/>
          <w:color w:val="auto"/>
        </w:rPr>
      </w:pPr>
    </w:p>
    <w:p>
      <w:pPr>
        <w:jc w:val="both"/>
        <w:ind w:firstLine="8"/>
        <w:spacing w:after="0" w:line="248" w:lineRule="auto"/>
        <w:tabs>
          <w:tab w:leader="none" w:pos="396"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onditions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recedent to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20"/>
          <w:szCs w:val="20"/>
          <w:b w:val="1"/>
          <w:bCs w:val="1"/>
          <w:color w:val="auto"/>
        </w:rPr>
        <w:t>’</w:t>
      </w:r>
      <w:r>
        <w:rPr>
          <w:rFonts w:ascii="Arial" w:cs="Arial" w:eastAsia="Arial" w:hAnsi="Arial"/>
          <w:sz w:val="13"/>
          <w:szCs w:val="13"/>
          <w:b w:val="1"/>
          <w:bCs w:val="1"/>
          <w:color w:val="auto"/>
        </w:rPr>
        <w:t>s</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lose</w:t>
      </w:r>
      <w:r>
        <w:rPr>
          <w:rFonts w:ascii="Arial" w:cs="Arial" w:eastAsia="Arial" w:hAnsi="Arial"/>
          <w:sz w:val="20"/>
          <w:szCs w:val="20"/>
          <w:b w:val="1"/>
          <w:bCs w:val="1"/>
          <w:color w:val="auto"/>
        </w:rPr>
        <w:t xml:space="preserve">. </w:t>
      </w:r>
      <w:r>
        <w:rPr>
          <w:rFonts w:ascii="Arial" w:cs="Arial" w:eastAsia="Arial" w:hAnsi="Arial"/>
          <w:sz w:val="20"/>
          <w:szCs w:val="20"/>
          <w:color w:val="auto"/>
        </w:rPr>
        <w:t>The Purchaser’s obligation to purchase the Business and Purchased</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to take the other actions required to be taken by the Purchaser hereunder at the Closing is subject to the satisfaction, at or prior to the Closing, of each of the following conditions (any of which may be waived by the Purchaser (if permitted by applicable Law), in whole or in part, in writing):</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5.1  Accuracy Of Representations.</w:t>
      </w:r>
    </w:p>
    <w:p>
      <w:pPr>
        <w:spacing w:after="0" w:line="222" w:lineRule="exact"/>
        <w:rPr>
          <w:sz w:val="20"/>
          <w:szCs w:val="20"/>
          <w:color w:val="auto"/>
        </w:rPr>
      </w:pPr>
    </w:p>
    <w:p>
      <w:pPr>
        <w:jc w:val="both"/>
        <w:ind w:firstLine="1505"/>
        <w:spacing w:after="0" w:line="278" w:lineRule="auto"/>
        <w:tabs>
          <w:tab w:leader="none" w:pos="1893"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 xml:space="preserve">All of the Fundamental Representations (other than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made by the Seller shall have been true and correct in all material respects as of the date of this Agreement, and shall be true and correct in all material respects as of the Closing Date as if made on the Closing Date (in each case other than those Fundamental Representations that are made as of a specified date, in which case as of such date). The Fundamental Representations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have been true and correct in all respects as of the date of this Agreement and shall be true and correct in all respects as of the Closing Date as if made at the Closing Date.</w:t>
      </w:r>
    </w:p>
    <w:p>
      <w:pPr>
        <w:spacing w:after="0" w:line="164" w:lineRule="exact"/>
        <w:rPr>
          <w:rFonts w:ascii="Arial" w:cs="Arial" w:eastAsia="Arial" w:hAnsi="Arial"/>
          <w:sz w:val="18"/>
          <w:szCs w:val="18"/>
          <w:b w:val="1"/>
          <w:bCs w:val="1"/>
          <w:color w:val="auto"/>
        </w:rPr>
      </w:pPr>
    </w:p>
    <w:p>
      <w:pPr>
        <w:jc w:val="both"/>
        <w:ind w:firstLine="1505"/>
        <w:spacing w:after="0" w:line="243" w:lineRule="auto"/>
        <w:tabs>
          <w:tab w:leader="none" w:pos="1893" w:val="left"/>
        </w:tabs>
        <w:numPr>
          <w:ilvl w:val="0"/>
          <w:numId w:val="139"/>
        </w:numPr>
        <w:rPr>
          <w:rFonts w:ascii="Arial" w:cs="Arial" w:eastAsia="Arial" w:hAnsi="Arial"/>
          <w:sz w:val="20"/>
          <w:szCs w:val="20"/>
          <w:b w:val="1"/>
          <w:bCs w:val="1"/>
          <w:color w:val="auto"/>
        </w:rPr>
      </w:pPr>
      <w:r>
        <w:rPr>
          <w:rFonts w:ascii="Arial" w:cs="Arial" w:eastAsia="Arial" w:hAnsi="Arial"/>
          <w:sz w:val="20"/>
          <w:szCs w:val="20"/>
          <w:color w:val="auto"/>
        </w:rPr>
        <w:t>The other representations and warranties made by the Seller in this Agreement shall have been true and correct in all respects as of the date of this Agreement, and shall be true and correct in all respects as of the Closing Date as if made at the Closing Date (in each case other than those representations and warranties that are made as of a specified date, in which case as of such date); in each case disregarding all qualifications or limitations as to “materiality”, “Material Adverse Effect” or any similar qualifications therein, except where the failure of such representations and warranties to be true and correct as of such date would not, individually or in the aggregate, have a Material Adverse Effect.</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5.2  Performance Of Obligations.</w:t>
      </w:r>
    </w:p>
    <w:p>
      <w:pPr>
        <w:spacing w:after="0" w:line="222" w:lineRule="exact"/>
        <w:rPr>
          <w:sz w:val="20"/>
          <w:szCs w:val="20"/>
          <w:color w:val="auto"/>
        </w:rPr>
      </w:pPr>
    </w:p>
    <w:p>
      <w:pPr>
        <w:ind w:right="20" w:firstLine="1505"/>
        <w:spacing w:after="0" w:line="260" w:lineRule="auto"/>
        <w:tabs>
          <w:tab w:leader="none" w:pos="1907"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 xml:space="preserve">Each of the documents referred to in </w:t>
      </w:r>
      <w:r>
        <w:rPr>
          <w:rFonts w:ascii="Arial" w:cs="Arial" w:eastAsia="Arial" w:hAnsi="Arial"/>
          <w:sz w:val="20"/>
          <w:szCs w:val="20"/>
          <w:u w:val="single" w:color="auto"/>
          <w:color w:val="auto"/>
        </w:rPr>
        <w:t>Section 1.10(b)</w:t>
      </w:r>
      <w:r>
        <w:rPr>
          <w:rFonts w:ascii="Arial" w:cs="Arial" w:eastAsia="Arial" w:hAnsi="Arial"/>
          <w:sz w:val="20"/>
          <w:szCs w:val="20"/>
          <w:color w:val="auto"/>
        </w:rPr>
        <w:t xml:space="preserve"> shall have been executed by each of the parties thereto (other than the Purchaser or any Purchaser Affiliate) and delivered to the Purchaser.</w:t>
      </w:r>
    </w:p>
    <w:p>
      <w:pPr>
        <w:spacing w:after="0" w:line="17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9" w:name="page150"/>
    <w:bookmarkEnd w:id="149"/>
    <w:p>
      <w:pPr>
        <w:ind w:right="420" w:firstLine="8"/>
        <w:spacing w:after="0" w:line="293" w:lineRule="auto"/>
        <w:tabs>
          <w:tab w:leader="none" w:pos="352" w:val="left"/>
        </w:tabs>
        <w:numPr>
          <w:ilvl w:val="0"/>
          <w:numId w:val="14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firstLine="1505"/>
        <w:spacing w:after="0" w:line="250" w:lineRule="auto"/>
        <w:tabs>
          <w:tab w:leader="none" w:pos="1893"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All of the covenants and obligations that the Seller is required to comply with or to perform at or prior to the Closing (considered collectively), and each of said covenants and obligations (considered individually), shall have been duly complied with and performed in all material respects.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5.3  No Material Adverse Effect. </w:t>
      </w:r>
      <w:r>
        <w:rPr>
          <w:rFonts w:ascii="Arial" w:cs="Arial" w:eastAsia="Arial" w:hAnsi="Arial"/>
          <w:sz w:val="20"/>
          <w:szCs w:val="20"/>
          <w:color w:val="auto"/>
        </w:rPr>
        <w:t>There shall have been no Material Adverse Effect since the date of this Agreement.</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b w:val="1"/>
          <w:bCs w:val="1"/>
          <w:color w:val="auto"/>
        </w:rPr>
        <w:t xml:space="preserve">5.4 No Restraints. </w:t>
      </w:r>
      <w:r>
        <w:rPr>
          <w:rFonts w:ascii="Arial" w:cs="Arial" w:eastAsia="Arial" w:hAnsi="Arial"/>
          <w:sz w:val="18"/>
          <w:szCs w:val="18"/>
          <w:color w:val="auto"/>
        </w:rPr>
        <w:t>No temporary restraining order, preliminary or permanent injunction or other order preventing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consummation of this Transaction by the Purchaser shall have been issued by any court of competent jurisdiction and remain in effect, and no Law shall have been enacted since the date of this Agreement that makes consummation of this Transaction by the Purchaser illegal;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there is a temporary restraining order, preliminary or permanent injunction or other order from any court in [***] in relation to [***] that may occur as a result of the Closing, Purchaser shall remain obligated to purchase the Business and Purchased Assets and to take the other actions required to be taken by the Purchaser at the Closing, except for the transferring of [***] for the duration of such restraining order, injunction or other order or the taking of any other action that may be expressly prohibited by such order or injunction.</w:t>
      </w:r>
    </w:p>
    <w:p>
      <w:pPr>
        <w:spacing w:after="0" w:line="162" w:lineRule="exact"/>
        <w:rPr>
          <w:sz w:val="20"/>
          <w:szCs w:val="20"/>
          <w:color w:val="auto"/>
        </w:rPr>
      </w:pPr>
    </w:p>
    <w:p>
      <w:pPr>
        <w:jc w:val="both"/>
        <w:ind w:firstLine="8"/>
        <w:spacing w:after="0" w:line="294" w:lineRule="auto"/>
        <w:tabs>
          <w:tab w:leader="none" w:pos="39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 to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eller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lose</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Seller’s obligation to sell the Business and Purchased Assets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the other actions required to be taken by the Seller hereunder at the Closing is subject to the satisfaction, at or prior to the Closing, of each of the following conditions (any of which may be waived by the Seller (if permitted by applicable Law), in whole or in part, in writing):</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b w:val="1"/>
          <w:bCs w:val="1"/>
          <w:color w:val="auto"/>
        </w:rPr>
        <w:t xml:space="preserve">6.1 Accuracy Of Representations. </w:t>
      </w:r>
      <w:r>
        <w:rPr>
          <w:rFonts w:ascii="Arial" w:cs="Arial" w:eastAsia="Arial" w:hAnsi="Arial"/>
          <w:sz w:val="19"/>
          <w:szCs w:val="19"/>
          <w:color w:val="auto"/>
        </w:rPr>
        <w:t>All of the representations and warranties made by the Purchaser in this Agreement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true and correct as of the date of this Agreement and shall be true and correct as of the Closing Date as if made at the Closing Date (in each case other than those representations and warranties that are made as of a specified date, in which case as of such date), disregarding all qualifications or limitations as to “materiality” or any similar qualifications therein, except where such failure to be true and correct as of such date, individually or in the aggregate, has not and would not reasonably be expected to prevent or materially impair or delay the Purchaser from performing its obligations under this Agreement and the other Transactional Agreements or from consummating the transactions contemplated hereby or thereby.</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6.2  The Purchaser’s Performance.</w:t>
      </w:r>
    </w:p>
    <w:p>
      <w:pPr>
        <w:spacing w:after="0" w:line="222" w:lineRule="exact"/>
        <w:rPr>
          <w:sz w:val="20"/>
          <w:szCs w:val="20"/>
          <w:color w:val="auto"/>
        </w:rPr>
      </w:pPr>
    </w:p>
    <w:p>
      <w:pPr>
        <w:ind w:right="20" w:firstLine="1505"/>
        <w:spacing w:after="0" w:line="260" w:lineRule="auto"/>
        <w:tabs>
          <w:tab w:leader="none" w:pos="1907" w:val="left"/>
        </w:tabs>
        <w:numPr>
          <w:ilvl w:val="0"/>
          <w:numId w:val="143"/>
        </w:numPr>
        <w:rPr>
          <w:rFonts w:ascii="Arial" w:cs="Arial" w:eastAsia="Arial" w:hAnsi="Arial"/>
          <w:sz w:val="20"/>
          <w:szCs w:val="20"/>
          <w:b w:val="1"/>
          <w:bCs w:val="1"/>
          <w:color w:val="auto"/>
        </w:rPr>
      </w:pPr>
      <w:r>
        <w:rPr>
          <w:rFonts w:ascii="Arial" w:cs="Arial" w:eastAsia="Arial" w:hAnsi="Arial"/>
          <w:sz w:val="20"/>
          <w:szCs w:val="20"/>
          <w:color w:val="auto"/>
        </w:rPr>
        <w:t xml:space="preserve">Each of the documents referred to in </w:t>
      </w:r>
      <w:r>
        <w:rPr>
          <w:rFonts w:ascii="Arial" w:cs="Arial" w:eastAsia="Arial" w:hAnsi="Arial"/>
          <w:sz w:val="20"/>
          <w:szCs w:val="20"/>
          <w:u w:val="single" w:color="auto"/>
          <w:color w:val="auto"/>
        </w:rPr>
        <w:t>Section 1.10(b)</w:t>
      </w:r>
      <w:r>
        <w:rPr>
          <w:rFonts w:ascii="Arial" w:cs="Arial" w:eastAsia="Arial" w:hAnsi="Arial"/>
          <w:sz w:val="20"/>
          <w:szCs w:val="20"/>
          <w:color w:val="auto"/>
        </w:rPr>
        <w:t xml:space="preserve"> shall have been executed by each of the parties thereto (other than the Seller or any Seller Affiliate) and delivered to the Seller.</w:t>
      </w:r>
    </w:p>
    <w:p>
      <w:pPr>
        <w:spacing w:after="0" w:line="176" w:lineRule="exact"/>
        <w:rPr>
          <w:rFonts w:ascii="Arial" w:cs="Arial" w:eastAsia="Arial" w:hAnsi="Arial"/>
          <w:sz w:val="20"/>
          <w:szCs w:val="20"/>
          <w:b w:val="1"/>
          <w:bCs w:val="1"/>
          <w:color w:val="auto"/>
        </w:rPr>
      </w:pPr>
    </w:p>
    <w:p>
      <w:pPr>
        <w:jc w:val="both"/>
        <w:ind w:firstLine="1505"/>
        <w:spacing w:after="0" w:line="250" w:lineRule="auto"/>
        <w:tabs>
          <w:tab w:leader="none" w:pos="1893" w:val="left"/>
        </w:tabs>
        <w:numPr>
          <w:ilvl w:val="0"/>
          <w:numId w:val="143"/>
        </w:numPr>
        <w:rPr>
          <w:rFonts w:ascii="Arial" w:cs="Arial" w:eastAsia="Arial" w:hAnsi="Arial"/>
          <w:sz w:val="20"/>
          <w:szCs w:val="20"/>
          <w:b w:val="1"/>
          <w:bCs w:val="1"/>
          <w:color w:val="auto"/>
        </w:rPr>
      </w:pPr>
      <w:r>
        <w:rPr>
          <w:rFonts w:ascii="Arial" w:cs="Arial" w:eastAsia="Arial" w:hAnsi="Arial"/>
          <w:sz w:val="20"/>
          <w:szCs w:val="20"/>
          <w:color w:val="auto"/>
        </w:rPr>
        <w:t>All of the other covenants and obligations that the Purchaser is required to comply with or to perform pursuant to this Agreement at or prior to the Closing (considered collectively), and each of said covenants and obligations (considered individually), shall have been complied with and performed in all material respects.</w:t>
      </w:r>
    </w:p>
    <w:p>
      <w:pPr>
        <w:spacing w:after="0" w:line="1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 xml:space="preserve">6.3 No Restraints. </w:t>
      </w:r>
      <w:r>
        <w:rPr>
          <w:rFonts w:ascii="Arial" w:cs="Arial" w:eastAsia="Arial" w:hAnsi="Arial"/>
          <w:sz w:val="20"/>
          <w:szCs w:val="20"/>
          <w:color w:val="auto"/>
        </w:rPr>
        <w:t>No temporary restraining order, preliminary or permanent injunction or other order preventing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consummation of this Transaction by the Seller shall have been issued by any court of competent jurisdiction and remain in effect, and no Law shall have been enacted since the date of this Agreement that makes consummation of this Transaction by the Seller illegal;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there is a temporary restraining order, preliminary or permanent injunction or other order from any court in [***] in relation to [***] that may occur as a result of the Closing, Seller shall remain obligated to sell</w:t>
      </w:r>
    </w:p>
    <w:p>
      <w:pPr>
        <w:spacing w:after="0" w:line="191"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0" w:name="page151"/>
    <w:bookmarkEnd w:id="150"/>
    <w:p>
      <w:pPr>
        <w:ind w:right="420" w:firstLine="8"/>
        <w:spacing w:after="0" w:line="293" w:lineRule="auto"/>
        <w:tabs>
          <w:tab w:leader="none" w:pos="352" w:val="left"/>
        </w:tabs>
        <w:numPr>
          <w:ilvl w:val="0"/>
          <w:numId w:val="14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Business and Purchased Assets and to take the other actions required to be taken by the Seller at the Closing, except for the [***] for the duration of such restraining order, injunction or other order or the taking of any other action that may be expressly prohibited by such order or injunction.</w:t>
      </w:r>
    </w:p>
    <w:p>
      <w:pPr>
        <w:spacing w:after="0" w:line="180" w:lineRule="exact"/>
        <w:rPr>
          <w:sz w:val="20"/>
          <w:szCs w:val="20"/>
          <w:color w:val="auto"/>
        </w:rPr>
      </w:pPr>
    </w:p>
    <w:p>
      <w:pPr>
        <w:ind w:left="400" w:hanging="392"/>
        <w:spacing w:after="0"/>
        <w:tabs>
          <w:tab w:leader="none" w:pos="40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7.1  Termination Events. </w:t>
      </w:r>
      <w:r>
        <w:rPr>
          <w:rFonts w:ascii="Arial" w:cs="Arial" w:eastAsia="Arial" w:hAnsi="Arial"/>
          <w:sz w:val="20"/>
          <w:szCs w:val="20"/>
          <w:color w:val="auto"/>
        </w:rPr>
        <w:t>This Agreement may be terminated prior to the Closing:</w:t>
      </w:r>
    </w:p>
    <w:p>
      <w:pPr>
        <w:spacing w:after="0" w:line="222" w:lineRule="exact"/>
        <w:rPr>
          <w:sz w:val="20"/>
          <w:szCs w:val="20"/>
          <w:color w:val="auto"/>
        </w:rPr>
      </w:pPr>
    </w:p>
    <w:p>
      <w:pPr>
        <w:jc w:val="both"/>
        <w:ind w:firstLine="1505"/>
        <w:spacing w:after="0" w:line="278" w:lineRule="auto"/>
        <w:tabs>
          <w:tab w:leader="none" w:pos="1893"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 xml:space="preserve">by the Purchaser if (i) there is a material Breach of any representation, warranty, covenant or obligation of the Seller and such Breach shall not have been cured within thirty (30) days after the delivery of written notice thereof to the Seller to the extent such Breach would cause the related condition precedent to Closing not to be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Purchaser shall not have the right to terminate this Agreement pursuant to this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if it is then in material breach of any representations, warranties, covenants or other agreements contained in this Agreement that would result in a failure of a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64" w:lineRule="exact"/>
        <w:rPr>
          <w:rFonts w:ascii="Arial" w:cs="Arial" w:eastAsia="Arial" w:hAnsi="Arial"/>
          <w:sz w:val="18"/>
          <w:szCs w:val="18"/>
          <w:b w:val="1"/>
          <w:bCs w:val="1"/>
          <w:color w:val="auto"/>
        </w:rPr>
      </w:pPr>
    </w:p>
    <w:p>
      <w:pPr>
        <w:jc w:val="both"/>
        <w:ind w:firstLine="1505"/>
        <w:spacing w:after="0" w:line="278" w:lineRule="auto"/>
        <w:tabs>
          <w:tab w:leader="none" w:pos="1893"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 xml:space="preserve">by the Seller if (i) there is a material Breach of any representation, warranty, covenant or obligation of the Purchaser and such Breach shall not have been cured within thirty (30) days after the delivery of written notice thereof to the Purchaser to the extent such Breach would cause the related condition precedent to Closing not to be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 shall not have the right to terminate this Agreement pursuant to this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if it is then in material breach of any representations, warranties, covenants or other agreements contained in this Agreement that would result in a failure of a condition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4" w:lineRule="exact"/>
        <w:rPr>
          <w:rFonts w:ascii="Arial" w:cs="Arial" w:eastAsia="Arial" w:hAnsi="Arial"/>
          <w:sz w:val="18"/>
          <w:szCs w:val="18"/>
          <w:b w:val="1"/>
          <w:bCs w:val="1"/>
          <w:color w:val="auto"/>
        </w:rPr>
      </w:pPr>
    </w:p>
    <w:p>
      <w:pPr>
        <w:jc w:val="both"/>
        <w:ind w:firstLine="1505"/>
        <w:spacing w:after="0" w:line="243" w:lineRule="auto"/>
        <w:tabs>
          <w:tab w:leader="none" w:pos="1907" w:val="left"/>
        </w:tabs>
        <w:numPr>
          <w:ilvl w:val="0"/>
          <w:numId w:val="146"/>
        </w:numPr>
        <w:rPr>
          <w:rFonts w:ascii="Arial" w:cs="Arial" w:eastAsia="Arial" w:hAnsi="Arial"/>
          <w:sz w:val="20"/>
          <w:szCs w:val="20"/>
          <w:b w:val="1"/>
          <w:bCs w:val="1"/>
          <w:color w:val="auto"/>
        </w:rPr>
      </w:pPr>
      <w:r>
        <w:rPr>
          <w:rFonts w:ascii="Arial" w:cs="Arial" w:eastAsia="Arial" w:hAnsi="Arial"/>
          <w:sz w:val="20"/>
          <w:szCs w:val="20"/>
          <w:color w:val="auto"/>
        </w:rPr>
        <w:t xml:space="preserve">by the Purchaser or the Seller if the Transactions shall not have been consummated by April 30, 2023;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right to terminate this Agreement pursuant to this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shall not be available to any Party whose action or failure to act has been a principal cause of or resulted in the failure of the Closing to occur on or before such date and such action or failure to act constitutes a material breach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if a Party has initiated any Proceeding to specifically enforce this Agreement, the other Party shall not have the right to terminate this Agreement pursuant to this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while such Proceeding is still pending; or</w:t>
      </w:r>
    </w:p>
    <w:p>
      <w:pPr>
        <w:spacing w:after="0" w:line="195" w:lineRule="exact"/>
        <w:rPr>
          <w:rFonts w:ascii="Arial" w:cs="Arial" w:eastAsia="Arial" w:hAnsi="Arial"/>
          <w:sz w:val="20"/>
          <w:szCs w:val="20"/>
          <w:b w:val="1"/>
          <w:bCs w:val="1"/>
          <w:color w:val="auto"/>
        </w:rPr>
      </w:pPr>
    </w:p>
    <w:p>
      <w:pPr>
        <w:ind w:left="1900" w:hanging="395"/>
        <w:spacing w:after="0"/>
        <w:tabs>
          <w:tab w:leader="none" w:pos="1900" w:val="left"/>
        </w:tabs>
        <w:numPr>
          <w:ilvl w:val="0"/>
          <w:numId w:val="146"/>
        </w:numPr>
        <w:rPr>
          <w:rFonts w:ascii="Arial" w:cs="Arial" w:eastAsia="Arial" w:hAnsi="Arial"/>
          <w:sz w:val="20"/>
          <w:szCs w:val="20"/>
          <w:b w:val="1"/>
          <w:bCs w:val="1"/>
          <w:color w:val="auto"/>
        </w:rPr>
      </w:pPr>
      <w:r>
        <w:rPr>
          <w:rFonts w:ascii="Arial" w:cs="Arial" w:eastAsia="Arial" w:hAnsi="Arial"/>
          <w:sz w:val="20"/>
          <w:szCs w:val="20"/>
          <w:color w:val="auto"/>
        </w:rPr>
        <w:t>by the mutual written consent of the Purchaser and the Seller.</w:t>
      </w:r>
    </w:p>
    <w:p>
      <w:pPr>
        <w:spacing w:after="0" w:line="21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b w:val="1"/>
          <w:bCs w:val="1"/>
          <w:color w:val="auto"/>
        </w:rPr>
        <w:t xml:space="preserve">7.2 Termination Procedures. </w:t>
      </w:r>
      <w:r>
        <w:rPr>
          <w:rFonts w:ascii="Arial" w:cs="Arial" w:eastAsia="Arial" w:hAnsi="Arial"/>
          <w:sz w:val="19"/>
          <w:szCs w:val="19"/>
          <w:color w:val="auto"/>
        </w:rPr>
        <w:t>If the Purchaser wishes to terminate this Agreement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 7.1(a)</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7.1(c)</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Purchaser shall deliver to the Seller a written notice stating that the Purchaser is terminating this Agreement and setting forth a brief description of the basis on which the Purchaser is terminating this Agreement. If the Seller wishes to terminate this Agreement pursuant to </w:t>
      </w:r>
      <w:r>
        <w:rPr>
          <w:rFonts w:ascii="Arial" w:cs="Arial" w:eastAsia="Arial" w:hAnsi="Arial"/>
          <w:sz w:val="19"/>
          <w:szCs w:val="19"/>
          <w:u w:val="single" w:color="auto"/>
          <w:color w:val="auto"/>
        </w:rPr>
        <w:t>Sections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7.1(c)</w:t>
      </w:r>
      <w:r>
        <w:rPr>
          <w:rFonts w:ascii="Arial" w:cs="Arial" w:eastAsia="Arial" w:hAnsi="Arial"/>
          <w:sz w:val="19"/>
          <w:szCs w:val="19"/>
          <w:color w:val="auto"/>
        </w:rPr>
        <w:t>, the Seller shall deliver to the Purchaser a written notice stating that the Seller is terminating this Agreement and setting forth a brief description of the basis on which the Seller is terminating this Agreement.</w:t>
      </w:r>
    </w:p>
    <w:p>
      <w:pPr>
        <w:spacing w:after="0" w:line="17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 xml:space="preserve">7.3 Effect Of Termination. </w:t>
      </w:r>
      <w:r>
        <w:rPr>
          <w:rFonts w:ascii="Arial" w:cs="Arial" w:eastAsia="Arial" w:hAnsi="Arial"/>
          <w:sz w:val="20"/>
          <w:szCs w:val="20"/>
          <w:color w:val="auto"/>
        </w:rPr>
        <w:t>If this Agreement is terminated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7.1</w:t>
      </w:r>
      <w:r>
        <w:rPr>
          <w:rFonts w:ascii="Arial" w:cs="Arial" w:eastAsia="Arial" w:hAnsi="Arial"/>
          <w:sz w:val="20"/>
          <w:szCs w:val="20"/>
          <w:color w:val="auto"/>
        </w:rPr>
        <w:t>, all further obligations of the Parties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 no Party shall be relieved of any obligation or other Liability arising from any knowing and intentional Breach by such Party of any provision of this Agreement; (b) the Parties shall, in all events, remain bound by and continue to be subject to the provisions set forth in this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and in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and (c) the Parties shall, in all events, remain bound by and continue to be subject to </w:t>
      </w:r>
      <w:r>
        <w:rPr>
          <w:rFonts w:ascii="Arial" w:cs="Arial" w:eastAsia="Arial" w:hAnsi="Arial"/>
          <w:sz w:val="20"/>
          <w:szCs w:val="20"/>
          <w:u w:val="single" w:color="auto"/>
          <w:color w:val="auto"/>
        </w:rPr>
        <w:t>Section 4.7</w:t>
      </w:r>
      <w:r>
        <w:rPr>
          <w:rFonts w:ascii="Arial" w:cs="Arial" w:eastAsia="Arial" w:hAnsi="Arial"/>
          <w:sz w:val="20"/>
          <w:szCs w:val="20"/>
          <w:color w:val="auto"/>
        </w:rPr>
        <w:t>.</w:t>
      </w:r>
    </w:p>
    <w:p>
      <w:pPr>
        <w:spacing w:after="0" w:line="191"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1" w:name="page152"/>
    <w:bookmarkEnd w:id="151"/>
    <w:p>
      <w:pPr>
        <w:ind w:right="420" w:firstLine="8"/>
        <w:spacing w:after="0" w:line="293" w:lineRule="auto"/>
        <w:tabs>
          <w:tab w:leader="none" w:pos="352" w:val="left"/>
        </w:tabs>
        <w:numPr>
          <w:ilvl w:val="0"/>
          <w:numId w:val="14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 xml:space="preserve">7.4 Nonexclusivity Of Termination Rights. </w:t>
      </w:r>
      <w:r>
        <w:rPr>
          <w:rFonts w:ascii="Arial" w:cs="Arial" w:eastAsia="Arial" w:hAnsi="Arial"/>
          <w:sz w:val="20"/>
          <w:szCs w:val="20"/>
          <w:color w:val="auto"/>
        </w:rPr>
        <w:t>The termination rights provided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7.1</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be deemed to be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Accordingly, the exercise by any Party of its right to terminate this Agreement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shall not be deemed to be an election of remedies and shall not be deemed to prejudice, or to constitute or operate as a waiver of, any other right or remedy that such Party may be entitled to exercise (whether under this Agreement, under any other Contract, under any statute, rule or other applicable Law, at common law, in equity or otherwise).</w:t>
      </w:r>
    </w:p>
    <w:p>
      <w:pPr>
        <w:spacing w:after="0" w:line="185" w:lineRule="exact"/>
        <w:rPr>
          <w:sz w:val="20"/>
          <w:szCs w:val="20"/>
          <w:color w:val="auto"/>
        </w:rPr>
      </w:pPr>
    </w:p>
    <w:p>
      <w:pPr>
        <w:ind w:left="400" w:hanging="392"/>
        <w:spacing w:after="0"/>
        <w:tabs>
          <w:tab w:leader="none" w:pos="40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ndemnification</w:t>
      </w:r>
      <w:r>
        <w:rPr>
          <w:rFonts w:ascii="Arial" w:cs="Arial" w:eastAsia="Arial" w:hAnsi="Arial"/>
          <w:sz w:val="20"/>
          <w:szCs w:val="20"/>
          <w:b w:val="1"/>
          <w:bCs w:val="1"/>
          <w:color w:val="auto"/>
        </w:rPr>
        <w:t>, E</w:t>
      </w:r>
      <w:r>
        <w:rPr>
          <w:rFonts w:ascii="Arial" w:cs="Arial" w:eastAsia="Arial" w:hAnsi="Arial"/>
          <w:sz w:val="13"/>
          <w:szCs w:val="13"/>
          <w:b w:val="1"/>
          <w:bCs w:val="1"/>
          <w:color w:val="auto"/>
        </w:rPr>
        <w:t>tc</w:t>
      </w:r>
      <w:r>
        <w:rPr>
          <w:rFonts w:ascii="Arial" w:cs="Arial" w:eastAsia="Arial" w:hAnsi="Arial"/>
          <w:sz w:val="20"/>
          <w:szCs w:val="20"/>
          <w:b w:val="1"/>
          <w:bCs w:val="1"/>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8.1  Survival of Representations, Warranties and Covenants.</w:t>
      </w:r>
    </w:p>
    <w:p>
      <w:pPr>
        <w:spacing w:after="0" w:line="222" w:lineRule="exact"/>
        <w:rPr>
          <w:sz w:val="20"/>
          <w:szCs w:val="20"/>
          <w:color w:val="auto"/>
        </w:rPr>
      </w:pPr>
    </w:p>
    <w:p>
      <w:pPr>
        <w:jc w:val="both"/>
        <w:ind w:firstLine="1505"/>
        <w:spacing w:after="0" w:line="271" w:lineRule="auto"/>
        <w:tabs>
          <w:tab w:leader="none" w:pos="192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The representations, warranties, covenants and agreements of the Parties set forth in this Agreement and in any certificate delivered pursuant to this Agreement (other than the Fundamental Representations) shall terminate and expire as of, and shall not survive, the Closing. The Fundamental Representations shall survive the Closing and continue in full force and effect until 11:59 p.m. (California time) on the date that is [***] following the Closing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Claim Notice relating to any Fundamental Representation is given to the Seller on or prior to the Expiration Date, then, notwithstanding anything to the contrary contained in this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such representation or warranty shall not so expire, but rather shall remain in full force and effect until such time as each claim made prior to the Expiration Date (including any indemnification claim asserted by any Purchaser Indemnitee under </w:t>
      </w:r>
      <w:r>
        <w:rPr>
          <w:rFonts w:ascii="Arial" w:cs="Arial" w:eastAsia="Arial" w:hAnsi="Arial"/>
          <w:sz w:val="18"/>
          <w:szCs w:val="18"/>
          <w:u w:val="single" w:color="auto"/>
          <w:color w:val="auto"/>
        </w:rPr>
        <w:t>Section 8.2</w:t>
      </w:r>
      <w:r>
        <w:rPr>
          <w:rFonts w:ascii="Arial" w:cs="Arial" w:eastAsia="Arial" w:hAnsi="Arial"/>
          <w:sz w:val="18"/>
          <w:szCs w:val="18"/>
          <w:color w:val="auto"/>
        </w:rPr>
        <w:t>) that is based directly or indirectly upon, or that relates directly or indirectly to, any Breach of such representation or warranty has been fully and finally resolved. The covenants and agreements set forth in this Agreement that by their terms are to be performed and complied with following the Closing shall survive the Closing in accordance with their terms.</w:t>
      </w:r>
    </w:p>
    <w:p>
      <w:pPr>
        <w:spacing w:after="0" w:line="173" w:lineRule="exact"/>
        <w:rPr>
          <w:rFonts w:ascii="Arial" w:cs="Arial" w:eastAsia="Arial" w:hAnsi="Arial"/>
          <w:sz w:val="18"/>
          <w:szCs w:val="18"/>
          <w:b w:val="1"/>
          <w:bCs w:val="1"/>
          <w:color w:val="auto"/>
        </w:rPr>
      </w:pPr>
    </w:p>
    <w:p>
      <w:pPr>
        <w:ind w:firstLine="1505"/>
        <w:spacing w:after="0" w:line="260" w:lineRule="auto"/>
        <w:tabs>
          <w:tab w:leader="none" w:pos="1934" w:val="left"/>
        </w:tabs>
        <w:numPr>
          <w:ilvl w:val="0"/>
          <w:numId w:val="149"/>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contained in this Agreement, the foregoing limitations shall not be applicable in respect of claims based on Fraud.</w:t>
      </w:r>
    </w:p>
    <w:p>
      <w:pPr>
        <w:spacing w:after="0" w:line="176" w:lineRule="exact"/>
        <w:rPr>
          <w:rFonts w:ascii="Arial" w:cs="Arial" w:eastAsia="Arial" w:hAnsi="Arial"/>
          <w:sz w:val="20"/>
          <w:szCs w:val="20"/>
          <w:b w:val="1"/>
          <w:bCs w:val="1"/>
          <w:color w:val="auto"/>
        </w:rPr>
      </w:pPr>
    </w:p>
    <w:p>
      <w:pPr>
        <w:jc w:val="both"/>
        <w:ind w:firstLine="1505"/>
        <w:spacing w:after="0" w:line="260" w:lineRule="auto"/>
        <w:tabs>
          <w:tab w:leader="none" w:pos="1893" w:val="left"/>
        </w:tabs>
        <w:numPr>
          <w:ilvl w:val="0"/>
          <w:numId w:val="149"/>
        </w:numPr>
        <w:rPr>
          <w:rFonts w:ascii="Arial" w:cs="Arial" w:eastAsia="Arial" w:hAnsi="Arial"/>
          <w:sz w:val="19"/>
          <w:szCs w:val="19"/>
          <w:b w:val="1"/>
          <w:bCs w:val="1"/>
          <w:color w:val="auto"/>
        </w:rPr>
      </w:pPr>
      <w:r>
        <w:rPr>
          <w:rFonts w:ascii="Arial" w:cs="Arial" w:eastAsia="Arial" w:hAnsi="Arial"/>
          <w:sz w:val="19"/>
          <w:szCs w:val="19"/>
          <w:color w:val="auto"/>
        </w:rPr>
        <w:t xml:space="preserve">It is the express intent of the Parties that, if the applicable survival period for an item as contemplated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w:t>
      </w:r>
      <w:r>
        <w:rPr>
          <w:rFonts w:ascii="Arial" w:cs="Arial" w:eastAsia="Arial" w:hAnsi="Arial"/>
          <w:sz w:val="19"/>
          <w:szCs w:val="19"/>
          <w:color w:val="auto"/>
        </w:rPr>
        <w:t xml:space="preserve"> is shorter than the statute of limitations that would otherwise have been applicable to such item, then, by contract, the applicable statute of limitations with respect to such item shall be reduced to the shortened survival period contemplated hereby. The Parties further acknowledge that the time periods set forth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for the assertion of claims under this Agreement are the result of arms’-length negotiation among the Parties and that they intend for the time periods to be enforced as agreed by the Parties.</w:t>
      </w:r>
    </w:p>
    <w:p>
      <w:pPr>
        <w:spacing w:after="0" w:line="180" w:lineRule="exact"/>
        <w:rPr>
          <w:rFonts w:ascii="Arial" w:cs="Arial" w:eastAsia="Arial" w:hAnsi="Arial"/>
          <w:sz w:val="19"/>
          <w:szCs w:val="19"/>
          <w:b w:val="1"/>
          <w:bCs w:val="1"/>
          <w:color w:val="auto"/>
        </w:rPr>
      </w:pPr>
    </w:p>
    <w:p>
      <w:pPr>
        <w:jc w:val="both"/>
        <w:ind w:firstLine="1505"/>
        <w:spacing w:after="0" w:line="244" w:lineRule="auto"/>
        <w:tabs>
          <w:tab w:leader="none" w:pos="1907" w:val="left"/>
        </w:tabs>
        <w:numPr>
          <w:ilvl w:val="0"/>
          <w:numId w:val="149"/>
        </w:numPr>
        <w:rPr>
          <w:rFonts w:ascii="Arial" w:cs="Arial" w:eastAsia="Arial" w:hAnsi="Arial"/>
          <w:sz w:val="20"/>
          <w:szCs w:val="20"/>
          <w:b w:val="1"/>
          <w:bCs w:val="1"/>
          <w:color w:val="auto"/>
        </w:rPr>
      </w:pPr>
      <w:r>
        <w:rPr>
          <w:rFonts w:ascii="Arial" w:cs="Arial" w:eastAsia="Arial" w:hAnsi="Arial"/>
          <w:sz w:val="20"/>
          <w:szCs w:val="20"/>
          <w:color w:val="auto"/>
        </w:rPr>
        <w:t xml:space="preserve">The Purchaser Indemnitees shall use [***] efforts to pursue and collect insurance proceeds available to them with respect to any Damages that are subject to indemnification under Section 8.2(a);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 efforts will not require the Purchaser Indemnitiees to commence litigation or arbitration against the Insurers, and no Indemnified Person will be required to pursue a R&amp;W Insurance Policy if Damages are not recoverable on account of restrictions, limitations, retentions or exclusions contained in or applicable to the R&amp;W Insurance Policy.</w:t>
      </w:r>
    </w:p>
    <w:p>
      <w:pPr>
        <w:spacing w:after="0" w:line="18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b w:val="1"/>
          <w:bCs w:val="1"/>
          <w:color w:val="auto"/>
        </w:rPr>
        <w:t>8.2 Indemnification by the Seller</w:t>
      </w:r>
      <w:r>
        <w:rPr>
          <w:rFonts w:ascii="Arial" w:cs="Arial" w:eastAsia="Arial" w:hAnsi="Arial"/>
          <w:sz w:val="19"/>
          <w:szCs w:val="19"/>
          <w:color w:val="auto"/>
        </w:rPr>
        <w:t>. The Seller and each Seller Affiliate shall hold harmless and indemnify each of the Purchaser</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Indemnitees from and against, and shall compensate and reimburse each of the Purchaser Indemnitees for, any Damages that are directly or indirectly suffered or incurred by any of the Purchaser Indemnitees or to which any of the Purchaser Indemnitees may otherwise become subject at any time (regardless of whether or not such Damages relate to any Third Party Indemnifiable Claim) and that arise directly or indirectly from or as a direct or indirect result of, or are directly or indirectly connected with:</w:t>
      </w:r>
    </w:p>
    <w:p>
      <w:pPr>
        <w:spacing w:after="0" w:line="17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2" w:name="page153"/>
    <w:bookmarkEnd w:id="152"/>
    <w:p>
      <w:pPr>
        <w:ind w:right="420" w:firstLine="8"/>
        <w:spacing w:after="0" w:line="293" w:lineRule="auto"/>
        <w:tabs>
          <w:tab w:leader="none" w:pos="352" w:val="left"/>
        </w:tabs>
        <w:numPr>
          <w:ilvl w:val="0"/>
          <w:numId w:val="15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ind w:firstLine="1505"/>
        <w:spacing w:after="0" w:line="260" w:lineRule="auto"/>
        <w:tabs>
          <w:tab w:leader="none" w:pos="1907" w:val="left"/>
        </w:tabs>
        <w:numPr>
          <w:ilvl w:val="1"/>
          <w:numId w:val="150"/>
        </w:numPr>
        <w:rPr>
          <w:rFonts w:ascii="Arial" w:cs="Arial" w:eastAsia="Arial" w:hAnsi="Arial"/>
          <w:sz w:val="20"/>
          <w:szCs w:val="20"/>
          <w:b w:val="1"/>
          <w:bCs w:val="1"/>
          <w:color w:val="auto"/>
        </w:rPr>
      </w:pPr>
      <w:r>
        <w:rPr>
          <w:rFonts w:ascii="Arial" w:cs="Arial" w:eastAsia="Arial" w:hAnsi="Arial"/>
          <w:sz w:val="20"/>
          <w:szCs w:val="20"/>
          <w:color w:val="auto"/>
        </w:rPr>
        <w:t>any Breach of any Fundamental Representation made by the Seller (without giving effect to any qualification as to materiality contained or incorporated in such representation or warranty);</w:t>
      </w:r>
    </w:p>
    <w:p>
      <w:pPr>
        <w:spacing w:after="0" w:line="176" w:lineRule="exact"/>
        <w:rPr>
          <w:rFonts w:ascii="Arial" w:cs="Arial" w:eastAsia="Arial" w:hAnsi="Arial"/>
          <w:sz w:val="20"/>
          <w:szCs w:val="20"/>
          <w:b w:val="1"/>
          <w:bCs w:val="1"/>
          <w:color w:val="auto"/>
        </w:rPr>
      </w:pPr>
    </w:p>
    <w:p>
      <w:pPr>
        <w:ind w:left="1900" w:hanging="395"/>
        <w:spacing w:after="0"/>
        <w:tabs>
          <w:tab w:leader="none" w:pos="1900" w:val="left"/>
        </w:tabs>
        <w:numPr>
          <w:ilvl w:val="1"/>
          <w:numId w:val="150"/>
        </w:numPr>
        <w:rPr>
          <w:rFonts w:ascii="Arial" w:cs="Arial" w:eastAsia="Arial" w:hAnsi="Arial"/>
          <w:sz w:val="20"/>
          <w:szCs w:val="20"/>
          <w:b w:val="1"/>
          <w:bCs w:val="1"/>
          <w:color w:val="auto"/>
        </w:rPr>
      </w:pPr>
      <w:r>
        <w:rPr>
          <w:rFonts w:ascii="Arial" w:cs="Arial" w:eastAsia="Arial" w:hAnsi="Arial"/>
          <w:sz w:val="20"/>
          <w:szCs w:val="20"/>
          <w:color w:val="auto"/>
        </w:rPr>
        <w:t>any Breach of any covenant or obligation of the Seller contained in this Agreement; and</w:t>
      </w:r>
    </w:p>
    <w:p>
      <w:pPr>
        <w:spacing w:after="0" w:line="215" w:lineRule="exact"/>
        <w:rPr>
          <w:rFonts w:ascii="Arial" w:cs="Arial" w:eastAsia="Arial" w:hAnsi="Arial"/>
          <w:sz w:val="20"/>
          <w:szCs w:val="20"/>
          <w:b w:val="1"/>
          <w:bCs w:val="1"/>
          <w:color w:val="auto"/>
        </w:rPr>
      </w:pPr>
    </w:p>
    <w:p>
      <w:pPr>
        <w:ind w:left="1900" w:hanging="395"/>
        <w:spacing w:after="0"/>
        <w:tabs>
          <w:tab w:leader="none" w:pos="1900" w:val="left"/>
        </w:tabs>
        <w:numPr>
          <w:ilvl w:val="1"/>
          <w:numId w:val="150"/>
        </w:numPr>
        <w:rPr>
          <w:rFonts w:ascii="Arial" w:cs="Arial" w:eastAsia="Arial" w:hAnsi="Arial"/>
          <w:sz w:val="20"/>
          <w:szCs w:val="20"/>
          <w:b w:val="1"/>
          <w:bCs w:val="1"/>
          <w:color w:val="auto"/>
        </w:rPr>
      </w:pPr>
      <w:r>
        <w:rPr>
          <w:rFonts w:ascii="Arial" w:cs="Arial" w:eastAsia="Arial" w:hAnsi="Arial"/>
          <w:sz w:val="20"/>
          <w:szCs w:val="20"/>
          <w:color w:val="auto"/>
        </w:rPr>
        <w:t>any Excluded Liability.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8.3  Limitations on Indemnification</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50" w:lineRule="auto"/>
        <w:tabs>
          <w:tab w:leader="none" w:pos="1893" w:val="left"/>
        </w:tabs>
        <w:numPr>
          <w:ilvl w:val="0"/>
          <w:numId w:val="151"/>
        </w:numPr>
        <w:rPr>
          <w:rFonts w:ascii="Arial" w:cs="Arial" w:eastAsia="Arial" w:hAnsi="Arial"/>
          <w:sz w:val="20"/>
          <w:szCs w:val="20"/>
          <w:b w:val="1"/>
          <w:bCs w:val="1"/>
          <w:color w:val="auto"/>
        </w:rPr>
      </w:pPr>
      <w:r>
        <w:rPr>
          <w:rFonts w:ascii="Arial" w:cs="Arial" w:eastAsia="Arial" w:hAnsi="Arial"/>
          <w:sz w:val="20"/>
          <w:szCs w:val="20"/>
          <w:color w:val="auto"/>
        </w:rPr>
        <w:t xml:space="preserve">The Purchaser Indemnitees shall be entitled to bring indemnification claims directly against the Seller and each Seller Affiliate pursuant to this Article 8;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in no event shall the liability of the Seller and each Seller Affiliate for any indemnification claim under </w:t>
      </w:r>
      <w:r>
        <w:rPr>
          <w:rFonts w:ascii="Arial" w:cs="Arial" w:eastAsia="Arial" w:hAnsi="Arial"/>
          <w:sz w:val="20"/>
          <w:szCs w:val="20"/>
          <w:u w:val="single" w:color="auto"/>
          <w:color w:val="auto"/>
        </w:rPr>
        <w:t>Section 8.2(a) to (c)</w:t>
      </w:r>
      <w:r>
        <w:rPr>
          <w:rFonts w:ascii="Arial" w:cs="Arial" w:eastAsia="Arial" w:hAnsi="Arial"/>
          <w:sz w:val="20"/>
          <w:szCs w:val="20"/>
          <w:color w:val="auto"/>
        </w:rPr>
        <w:t xml:space="preserve"> exceed the amount of the Closing Consideration.</w:t>
      </w:r>
    </w:p>
    <w:p>
      <w:pPr>
        <w:spacing w:after="0" w:line="185" w:lineRule="exact"/>
        <w:rPr>
          <w:rFonts w:ascii="Arial" w:cs="Arial" w:eastAsia="Arial" w:hAnsi="Arial"/>
          <w:sz w:val="20"/>
          <w:szCs w:val="20"/>
          <w:b w:val="1"/>
          <w:bCs w:val="1"/>
          <w:color w:val="auto"/>
        </w:rPr>
      </w:pPr>
    </w:p>
    <w:p>
      <w:pPr>
        <w:jc w:val="both"/>
        <w:ind w:firstLine="1505"/>
        <w:spacing w:after="0" w:line="244" w:lineRule="auto"/>
        <w:tabs>
          <w:tab w:leader="none" w:pos="1907" w:val="left"/>
        </w:tabs>
        <w:numPr>
          <w:ilvl w:val="0"/>
          <w:numId w:val="151"/>
        </w:numPr>
        <w:rPr>
          <w:rFonts w:ascii="Arial" w:cs="Arial" w:eastAsia="Arial" w:hAnsi="Arial"/>
          <w:sz w:val="20"/>
          <w:szCs w:val="20"/>
          <w:b w:val="1"/>
          <w:bCs w:val="1"/>
          <w:color w:val="auto"/>
        </w:rPr>
      </w:pPr>
      <w:r>
        <w:rPr>
          <w:rFonts w:ascii="Arial" w:cs="Arial" w:eastAsia="Arial" w:hAnsi="Arial"/>
          <w:sz w:val="20"/>
          <w:szCs w:val="20"/>
          <w:color w:val="auto"/>
        </w:rPr>
        <w:t xml:space="preserve">The amount of any Damages that are subject to indemnification under this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shall be calculated net of the amount of any insurance proceeds, indemnification payments or reimbursements actually received by the Purchaser Indemnitees from third parties (other than the Seller and Seller Affiliates) in respect of such Damages (net of any costs or expenses incurred in obtaining such insurance (except the premium to obtain the R&amp;W Insurance Policy), indemnification or reimbursement, including any increases in insurance premiums or retro-premium adjustments resulting from such recovery).</w:t>
      </w:r>
    </w:p>
    <w:p>
      <w:pPr>
        <w:spacing w:after="0" w:line="194" w:lineRule="exact"/>
        <w:rPr>
          <w:rFonts w:ascii="Arial" w:cs="Arial" w:eastAsia="Arial" w:hAnsi="Arial"/>
          <w:sz w:val="20"/>
          <w:szCs w:val="20"/>
          <w:b w:val="1"/>
          <w:bCs w:val="1"/>
          <w:color w:val="auto"/>
        </w:rPr>
      </w:pPr>
    </w:p>
    <w:p>
      <w:pPr>
        <w:ind w:firstLine="1505"/>
        <w:spacing w:after="0" w:line="287" w:lineRule="auto"/>
        <w:tabs>
          <w:tab w:leader="none" w:pos="1893" w:val="left"/>
        </w:tabs>
        <w:numPr>
          <w:ilvl w:val="0"/>
          <w:numId w:val="151"/>
        </w:numPr>
        <w:rPr>
          <w:rFonts w:ascii="Arial" w:cs="Arial" w:eastAsia="Arial" w:hAnsi="Arial"/>
          <w:sz w:val="19"/>
          <w:szCs w:val="19"/>
          <w:b w:val="1"/>
          <w:bCs w:val="1"/>
          <w:color w:val="auto"/>
        </w:rPr>
      </w:pPr>
      <w:r>
        <w:rPr>
          <w:rFonts w:ascii="Arial" w:cs="Arial" w:eastAsia="Arial" w:hAnsi="Arial"/>
          <w:sz w:val="19"/>
          <w:szCs w:val="19"/>
          <w:color w:val="auto"/>
        </w:rPr>
        <w:t>Any Damages for indemnification under this Agreement shall be determined without duplication of recovery due to the facts giving rise to such Damages constituting a breach of more than one representation, warranty, covenant or agreement.</w:t>
      </w:r>
    </w:p>
    <w:p>
      <w:pPr>
        <w:spacing w:after="0" w:line="14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b w:val="1"/>
          <w:bCs w:val="1"/>
          <w:color w:val="auto"/>
        </w:rPr>
        <w:t xml:space="preserve">8.4 Indemnification by the Purchaser. </w:t>
      </w:r>
      <w:r>
        <w:rPr>
          <w:rFonts w:ascii="Arial" w:cs="Arial" w:eastAsia="Arial" w:hAnsi="Arial"/>
          <w:sz w:val="19"/>
          <w:szCs w:val="19"/>
          <w:color w:val="auto"/>
        </w:rPr>
        <w:t>The Purchaser and each Purchaser Affiliate shall hold harmless and indemnify the Seller</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Indemnitees from and against, and shall compensate and reimburse each of the Seller Indemnitees for, any Damages that are directly or indirectly suffered or incurred by any of the Seller Indemnitees or to which any of the Seller Indemnitees may otherwise become subject at any time (regardless of whether or not such Damages relate to any Third Party Indemnifiable Claim) and that arise directly or indirectly from or as a direct or indirect result of, or are directly or indirectly connected with:</w:t>
      </w:r>
    </w:p>
    <w:p>
      <w:pPr>
        <w:spacing w:after="0" w:line="177" w:lineRule="exact"/>
        <w:rPr>
          <w:sz w:val="20"/>
          <w:szCs w:val="20"/>
          <w:color w:val="auto"/>
        </w:rPr>
      </w:pPr>
    </w:p>
    <w:p>
      <w:pPr>
        <w:ind w:left="2660" w:hanging="406"/>
        <w:spacing w:after="0"/>
        <w:tabs>
          <w:tab w:leader="none" w:pos="2660" w:val="left"/>
        </w:tabs>
        <w:numPr>
          <w:ilvl w:val="0"/>
          <w:numId w:val="152"/>
        </w:numPr>
        <w:rPr>
          <w:rFonts w:ascii="Arial" w:cs="Arial" w:eastAsia="Arial" w:hAnsi="Arial"/>
          <w:sz w:val="19"/>
          <w:szCs w:val="19"/>
          <w:b w:val="1"/>
          <w:bCs w:val="1"/>
          <w:color w:val="auto"/>
        </w:rPr>
      </w:pPr>
      <w:r>
        <w:rPr>
          <w:rFonts w:ascii="Arial" w:cs="Arial" w:eastAsia="Arial" w:hAnsi="Arial"/>
          <w:sz w:val="19"/>
          <w:szCs w:val="19"/>
          <w:color w:val="auto"/>
        </w:rPr>
        <w:t>any Breach of any representations or warranties made by the Purchaser contained in this Agreement;</w:t>
      </w:r>
    </w:p>
    <w:p>
      <w:pPr>
        <w:spacing w:after="0" w:line="227" w:lineRule="exact"/>
        <w:rPr>
          <w:rFonts w:ascii="Arial" w:cs="Arial" w:eastAsia="Arial" w:hAnsi="Arial"/>
          <w:sz w:val="19"/>
          <w:szCs w:val="19"/>
          <w:b w:val="1"/>
          <w:bCs w:val="1"/>
          <w:color w:val="auto"/>
        </w:rPr>
      </w:pPr>
    </w:p>
    <w:p>
      <w:pPr>
        <w:ind w:left="2660" w:hanging="406"/>
        <w:spacing w:after="0"/>
        <w:tabs>
          <w:tab w:leader="none" w:pos="2660" w:val="left"/>
        </w:tabs>
        <w:numPr>
          <w:ilvl w:val="0"/>
          <w:numId w:val="152"/>
        </w:numPr>
        <w:rPr>
          <w:rFonts w:ascii="Arial" w:cs="Arial" w:eastAsia="Arial" w:hAnsi="Arial"/>
          <w:sz w:val="20"/>
          <w:szCs w:val="20"/>
          <w:b w:val="1"/>
          <w:bCs w:val="1"/>
          <w:color w:val="auto"/>
        </w:rPr>
      </w:pPr>
      <w:r>
        <w:rPr>
          <w:rFonts w:ascii="Arial" w:cs="Arial" w:eastAsia="Arial" w:hAnsi="Arial"/>
          <w:sz w:val="20"/>
          <w:szCs w:val="20"/>
          <w:color w:val="auto"/>
        </w:rPr>
        <w:t>any Breach of any covenant or obligation of the Purchaser contained in this Agreement; and</w:t>
      </w:r>
    </w:p>
    <w:p>
      <w:pPr>
        <w:spacing w:after="0" w:line="215" w:lineRule="exact"/>
        <w:rPr>
          <w:rFonts w:ascii="Arial" w:cs="Arial" w:eastAsia="Arial" w:hAnsi="Arial"/>
          <w:sz w:val="20"/>
          <w:szCs w:val="20"/>
          <w:b w:val="1"/>
          <w:bCs w:val="1"/>
          <w:color w:val="auto"/>
        </w:rPr>
      </w:pPr>
    </w:p>
    <w:p>
      <w:pPr>
        <w:ind w:left="2660" w:hanging="406"/>
        <w:spacing w:after="0"/>
        <w:tabs>
          <w:tab w:leader="none" w:pos="2660" w:val="left"/>
        </w:tabs>
        <w:numPr>
          <w:ilvl w:val="0"/>
          <w:numId w:val="152"/>
        </w:numPr>
        <w:rPr>
          <w:rFonts w:ascii="Arial" w:cs="Arial" w:eastAsia="Arial" w:hAnsi="Arial"/>
          <w:sz w:val="20"/>
          <w:szCs w:val="20"/>
          <w:b w:val="1"/>
          <w:bCs w:val="1"/>
          <w:color w:val="auto"/>
        </w:rPr>
      </w:pPr>
      <w:r>
        <w:rPr>
          <w:rFonts w:ascii="Arial" w:cs="Arial" w:eastAsia="Arial" w:hAnsi="Arial"/>
          <w:sz w:val="20"/>
          <w:szCs w:val="20"/>
          <w:color w:val="auto"/>
        </w:rPr>
        <w:t>any Assumed Liability.</w:t>
      </w:r>
    </w:p>
    <w:p>
      <w:pPr>
        <w:spacing w:after="0" w:line="21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b w:val="1"/>
          <w:bCs w:val="1"/>
          <w:color w:val="auto"/>
        </w:rPr>
        <w:t xml:space="preserve">8.5 Exclusivity of Indemnification Remedies. </w:t>
      </w:r>
      <w:r>
        <w:rPr>
          <w:rFonts w:ascii="Arial" w:cs="Arial" w:eastAsia="Arial" w:hAnsi="Arial"/>
          <w:sz w:val="18"/>
          <w:szCs w:val="18"/>
          <w:color w:val="auto"/>
        </w:rPr>
        <w:t>Each of the Parties agrees that, except for such equitable remedies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to enforce the covenants and agreements of the Parties that by their terms are to be performed and complied with after the Closing Date, following the Closing the indemnification provisions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the sole and exclusive legal remedy of such party for any and all claims against the other Parties and their respective Affiliates for Damages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sentence shall not be (x) deemed a waiver by any party of any right or remedy arising by reason of any claim based on any Fraud or (y) affect any rights or remedies under the Manufacturing and Supply Agreement or the Transition Services Agreement.</w:t>
      </w:r>
    </w:p>
    <w:p>
      <w:pPr>
        <w:spacing w:after="0" w:line="16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3" w:name="page154"/>
    <w:bookmarkEnd w:id="153"/>
    <w:p>
      <w:pPr>
        <w:ind w:right="420" w:firstLine="8"/>
        <w:spacing w:after="0" w:line="293" w:lineRule="auto"/>
        <w:tabs>
          <w:tab w:leader="none" w:pos="352" w:val="left"/>
        </w:tabs>
        <w:numPr>
          <w:ilvl w:val="0"/>
          <w:numId w:val="15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8.6  Indemnification Procedures.</w:t>
      </w:r>
    </w:p>
    <w:p>
      <w:pPr>
        <w:spacing w:after="0" w:line="216" w:lineRule="exact"/>
        <w:rPr>
          <w:sz w:val="20"/>
          <w:szCs w:val="20"/>
          <w:color w:val="auto"/>
        </w:rPr>
      </w:pPr>
    </w:p>
    <w:p>
      <w:pPr>
        <w:jc w:val="both"/>
        <w:ind w:firstLine="1505"/>
        <w:spacing w:after="0" w:line="257" w:lineRule="auto"/>
        <w:tabs>
          <w:tab w:leader="none" w:pos="1893" w:val="left"/>
        </w:tabs>
        <w:numPr>
          <w:ilvl w:val="1"/>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Claims. </w:t>
      </w:r>
      <w:r>
        <w:rPr>
          <w:rFonts w:ascii="Arial" w:cs="Arial" w:eastAsia="Arial" w:hAnsi="Arial"/>
          <w:sz w:val="19"/>
          <w:szCs w:val="19"/>
          <w:color w:val="auto"/>
        </w:rPr>
        <w:t>Any indemnified party making a claim for indemnification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8.2</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8.4</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an “</w:t>
      </w:r>
      <w:r>
        <w:rPr>
          <w:rFonts w:ascii="Arial" w:cs="Arial" w:eastAsia="Arial" w:hAnsi="Arial"/>
          <w:sz w:val="19"/>
          <w:szCs w:val="19"/>
          <w:b w:val="1"/>
          <w:bCs w:val="1"/>
          <w:color w:val="auto"/>
        </w:rPr>
        <w:t>Indemnified Party</w:t>
      </w:r>
      <w:r>
        <w:rPr>
          <w:rFonts w:ascii="Arial" w:cs="Arial" w:eastAsia="Arial" w:hAnsi="Arial"/>
          <w:sz w:val="19"/>
          <w:szCs w:val="19"/>
          <w:color w:val="auto"/>
        </w:rPr>
        <w:t>”) must give the Seller, in the case of a claim for Damages by a Purchaser Indemnitee, or the Purchaser, in the case of a claim for Damages by a Seller Indemnitee (as applicable, the “</w:t>
      </w:r>
      <w:r>
        <w:rPr>
          <w:rFonts w:ascii="Arial" w:cs="Arial" w:eastAsia="Arial" w:hAnsi="Arial"/>
          <w:sz w:val="19"/>
          <w:szCs w:val="19"/>
          <w:b w:val="1"/>
          <w:bCs w:val="1"/>
          <w:color w:val="auto"/>
        </w:rPr>
        <w:t>Indemnifying Party</w:t>
      </w:r>
      <w:r>
        <w:rPr>
          <w:rFonts w:ascii="Arial" w:cs="Arial" w:eastAsia="Arial" w:hAnsi="Arial"/>
          <w:sz w:val="19"/>
          <w:szCs w:val="19"/>
          <w:color w:val="auto"/>
        </w:rPr>
        <w:t>”), written notice (a “</w:t>
      </w:r>
      <w:r>
        <w:rPr>
          <w:rFonts w:ascii="Arial" w:cs="Arial" w:eastAsia="Arial" w:hAnsi="Arial"/>
          <w:sz w:val="19"/>
          <w:szCs w:val="19"/>
          <w:b w:val="1"/>
          <w:bCs w:val="1"/>
          <w:color w:val="auto"/>
        </w:rPr>
        <w:t>Claim</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of such claim describing such claim and the nature and amount of such Damages, to the extent that the nature and amount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are determinable at such time, promptly after the Indemnified Party receives any written notice of any Proceeding against or involving the Indemnified Party by a Third Party (a “</w:t>
      </w:r>
      <w:r>
        <w:rPr>
          <w:rFonts w:ascii="Arial" w:cs="Arial" w:eastAsia="Arial" w:hAnsi="Arial"/>
          <w:sz w:val="19"/>
          <w:szCs w:val="19"/>
          <w:b w:val="1"/>
          <w:bCs w:val="1"/>
          <w:color w:val="auto"/>
        </w:rPr>
        <w:t>Third Party Proceeding</w:t>
      </w:r>
      <w:r>
        <w:rPr>
          <w:rFonts w:ascii="Arial" w:cs="Arial" w:eastAsia="Arial" w:hAnsi="Arial"/>
          <w:sz w:val="19"/>
          <w:szCs w:val="19"/>
          <w:color w:val="auto"/>
        </w:rPr>
        <w:t xml:space="preserve">”) or otherwise discovers the Liability, obligation or facts giving rise to such claim for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notify or delay in notifying the Indemnifying Party will not relieve the Indemnifying Party of its obligations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8.4</w:t>
      </w:r>
      <w:r>
        <w:rPr>
          <w:rFonts w:ascii="Arial" w:cs="Arial" w:eastAsia="Arial" w:hAnsi="Arial"/>
          <w:sz w:val="19"/>
          <w:szCs w:val="19"/>
          <w:color w:val="auto"/>
        </w:rPr>
        <w:t>, as the case may be, except to the extent that the defenses available to such Indemnifying Party are actually and materially prejudiced as a result thereof.</w:t>
      </w:r>
    </w:p>
    <w:p>
      <w:pPr>
        <w:spacing w:after="0" w:line="175" w:lineRule="exact"/>
        <w:rPr>
          <w:rFonts w:ascii="Arial" w:cs="Arial" w:eastAsia="Arial" w:hAnsi="Arial"/>
          <w:sz w:val="19"/>
          <w:szCs w:val="19"/>
          <w:b w:val="1"/>
          <w:bCs w:val="1"/>
          <w:color w:val="auto"/>
        </w:rPr>
      </w:pPr>
    </w:p>
    <w:p>
      <w:pPr>
        <w:jc w:val="both"/>
        <w:ind w:firstLine="1505"/>
        <w:spacing w:after="0" w:line="278" w:lineRule="auto"/>
        <w:tabs>
          <w:tab w:leader="none" w:pos="1893" w:val="left"/>
        </w:tabs>
        <w:numPr>
          <w:ilvl w:val="1"/>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of Defense </w:t>
      </w:r>
      <w:r>
        <w:rPr>
          <w:rFonts w:ascii="Arial" w:cs="Arial" w:eastAsia="Arial" w:hAnsi="Arial"/>
          <w:sz w:val="18"/>
          <w:szCs w:val="18"/>
          <w:color w:val="auto"/>
        </w:rPr>
        <w:t>. In the event that an Indemnified Party becomes aware of a Third Party Proceeding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constitutes a matter for which either (i) the Indemnified Party is entitled to indemnification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8.4</w:t>
      </w:r>
      <w:r>
        <w:rPr>
          <w:rFonts w:ascii="Arial" w:cs="Arial" w:eastAsia="Arial" w:hAnsi="Arial"/>
          <w:sz w:val="18"/>
          <w:szCs w:val="18"/>
          <w:color w:val="auto"/>
        </w:rPr>
        <w:t>, as applicable, or</w:t>
      </w:r>
    </w:p>
    <w:p>
      <w:pPr>
        <w:spacing w:after="0" w:line="1" w:lineRule="exact"/>
        <w:rPr>
          <w:rFonts w:ascii="Arial" w:cs="Arial" w:eastAsia="Arial" w:hAnsi="Arial"/>
          <w:sz w:val="18"/>
          <w:szCs w:val="18"/>
          <w:b w:val="1"/>
          <w:bCs w:val="1"/>
          <w:color w:val="auto"/>
        </w:rPr>
      </w:pPr>
    </w:p>
    <w:p>
      <w:pPr>
        <w:jc w:val="both"/>
        <w:ind w:firstLine="8"/>
        <w:spacing w:after="0" w:line="270" w:lineRule="auto"/>
        <w:tabs>
          <w:tab w:leader="none" w:pos="29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if determined adversely to the Indemnified Party, would provide a basis for a claim for indemnification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8.4</w:t>
      </w:r>
      <w:r>
        <w:rPr>
          <w:rFonts w:ascii="Arial" w:cs="Arial" w:eastAsia="Arial" w:hAnsi="Arial"/>
          <w:sz w:val="18"/>
          <w:szCs w:val="18"/>
          <w:color w:val="auto"/>
        </w:rPr>
        <w:t>, as applicable (each such claim, a “</w:t>
      </w:r>
      <w:r>
        <w:rPr>
          <w:rFonts w:ascii="Arial" w:cs="Arial" w:eastAsia="Arial" w:hAnsi="Arial"/>
          <w:sz w:val="18"/>
          <w:szCs w:val="18"/>
          <w:b w:val="1"/>
          <w:bCs w:val="1"/>
          <w:color w:val="auto"/>
        </w:rPr>
        <w:t>Third Party Indemnifiable Claim</w:t>
      </w:r>
      <w:r>
        <w:rPr>
          <w:rFonts w:ascii="Arial" w:cs="Arial" w:eastAsia="Arial" w:hAnsi="Arial"/>
          <w:sz w:val="18"/>
          <w:szCs w:val="18"/>
          <w:color w:val="auto"/>
        </w:rPr>
        <w:t xml:space="preserve">”), and with respect to the defense of such Third Party Indemnifiable Claim, and subject to the limitations on settlement set forth in </w:t>
      </w:r>
      <w:r>
        <w:rPr>
          <w:rFonts w:ascii="Arial" w:cs="Arial" w:eastAsia="Arial" w:hAnsi="Arial"/>
          <w:sz w:val="18"/>
          <w:szCs w:val="18"/>
          <w:u w:val="single" w:color="auto"/>
          <w:color w:val="auto"/>
        </w:rPr>
        <w:t>Section 8.6(c)</w:t>
      </w:r>
      <w:r>
        <w:rPr>
          <w:rFonts w:ascii="Arial" w:cs="Arial" w:eastAsia="Arial" w:hAnsi="Arial"/>
          <w:sz w:val="18"/>
          <w:szCs w:val="18"/>
          <w:color w:val="auto"/>
        </w:rPr>
        <w:t>, the Indemnified Party shall assume and control the settlement and defense of such Proceeding and appoint and select lead counsel. The Indemnified Party shall keep the Seller or the Purchaser, as applicable, reasonably informed of the defense of such Proceeding by providing copies of any pleadings or other material communications, to the extent that receipt of such documents does not affect any privilege relating to any Indemnified Party. The Indemnifying Party shall (and shall cause its respective Affiliates to) provide reasonable cooperation to the Indemnified Party in connection with the defense or settlement of such Proceeding, including by making available, at the Indemnified Party’s expense, such witnesses, records, materials and other information in such Person’s possession or under such Person’s control as may be reasonably requested by the Indemnifying Party.</w:t>
      </w:r>
    </w:p>
    <w:p>
      <w:pPr>
        <w:spacing w:after="0" w:line="163" w:lineRule="exact"/>
        <w:rPr>
          <w:rFonts w:ascii="Arial" w:cs="Arial" w:eastAsia="Arial" w:hAnsi="Arial"/>
          <w:sz w:val="18"/>
          <w:szCs w:val="18"/>
          <w:color w:val="auto"/>
        </w:rPr>
      </w:pPr>
    </w:p>
    <w:p>
      <w:pPr>
        <w:jc w:val="both"/>
        <w:ind w:firstLine="1505"/>
        <w:spacing w:after="0" w:line="244" w:lineRule="auto"/>
        <w:tabs>
          <w:tab w:leader="none" w:pos="1893" w:val="left"/>
        </w:tabs>
        <w:numPr>
          <w:ilvl w:val="1"/>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Settlement of Claims </w:t>
      </w:r>
      <w:r>
        <w:rPr>
          <w:rFonts w:ascii="Arial" w:cs="Arial" w:eastAsia="Arial" w:hAnsi="Arial"/>
          <w:sz w:val="20"/>
          <w:szCs w:val="20"/>
          <w:color w:val="auto"/>
        </w:rPr>
        <w:t>. The Indemnified Party may not settle or compromise any Proceeding for which a Claim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Notice has been provided in accordance with </w:t>
      </w:r>
      <w:r>
        <w:rPr>
          <w:rFonts w:ascii="Arial" w:cs="Arial" w:eastAsia="Arial" w:hAnsi="Arial"/>
          <w:sz w:val="20"/>
          <w:szCs w:val="20"/>
          <w:u w:val="single" w:color="auto"/>
          <w:color w:val="auto"/>
        </w:rPr>
        <w:t>Section 8.6(a)</w:t>
      </w:r>
      <w:r>
        <w:rPr>
          <w:rFonts w:ascii="Arial" w:cs="Arial" w:eastAsia="Arial" w:hAnsi="Arial"/>
          <w:sz w:val="20"/>
          <w:szCs w:val="20"/>
          <w:color w:val="auto"/>
        </w:rPr>
        <w:t xml:space="preserve"> without the prior written consent of the Indemnifying Party (which consent may not be unreasonably withheld, conditioned or delayed) and such written consent shall be deemed to have been given unless the Indemnifying Party has objected within fifteen (15) calendar days after a written request for such consent by the Indemnified Party. The amount paid in the settlement or resolution of any such claim to the Third Party claimant shall not be determinative of the existence of or amount of Damages relating to such matter that the Indemnifying Party is liable to any Indemnified Party under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8.4</w:t>
      </w:r>
      <w:r>
        <w:rPr>
          <w:rFonts w:ascii="Arial" w:cs="Arial" w:eastAsia="Arial" w:hAnsi="Arial"/>
          <w:sz w:val="20"/>
          <w:szCs w:val="20"/>
          <w:color w:val="auto"/>
        </w:rPr>
        <w:t>, as applicable.</w:t>
      </w:r>
    </w:p>
    <w:p>
      <w:pPr>
        <w:spacing w:after="0" w:line="186" w:lineRule="exact"/>
        <w:rPr>
          <w:sz w:val="20"/>
          <w:szCs w:val="20"/>
          <w:color w:val="auto"/>
        </w:rPr>
      </w:pPr>
    </w:p>
    <w:p>
      <w:pPr>
        <w:ind w:firstLine="749"/>
        <w:spacing w:after="0" w:line="293" w:lineRule="auto"/>
        <w:rPr>
          <w:sz w:val="20"/>
          <w:szCs w:val="20"/>
          <w:color w:val="auto"/>
        </w:rPr>
      </w:pPr>
      <w:r>
        <w:rPr>
          <w:rFonts w:ascii="Arial" w:cs="Arial" w:eastAsia="Arial" w:hAnsi="Arial"/>
          <w:sz w:val="19"/>
          <w:szCs w:val="19"/>
          <w:b w:val="1"/>
          <w:bCs w:val="1"/>
          <w:color w:val="auto"/>
        </w:rPr>
        <w:t xml:space="preserve">8.7 Tax Treatment of Indemnification Payments. </w:t>
      </w:r>
      <w:r>
        <w:rPr>
          <w:rFonts w:ascii="Arial" w:cs="Arial" w:eastAsia="Arial" w:hAnsi="Arial"/>
          <w:sz w:val="19"/>
          <w:szCs w:val="19"/>
          <w:color w:val="auto"/>
        </w:rPr>
        <w:t>To the extent permitted by applicable Law, the Parties hereto agree to treat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indemnity payment made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as an adjustment to the Purchase Price for Tax purposes.</w:t>
      </w:r>
    </w:p>
    <w:p>
      <w:pPr>
        <w:spacing w:after="0" w:line="142" w:lineRule="exact"/>
        <w:rPr>
          <w:sz w:val="20"/>
          <w:szCs w:val="20"/>
          <w:color w:val="auto"/>
        </w:rPr>
      </w:pPr>
    </w:p>
    <w:p>
      <w:pPr>
        <w:ind w:left="400" w:hanging="392"/>
        <w:spacing w:after="0"/>
        <w:tabs>
          <w:tab w:leader="none" w:pos="40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dditional</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 xml:space="preserve">9.1 Further Assurances. </w:t>
      </w:r>
      <w:r>
        <w:rPr>
          <w:rFonts w:ascii="Arial" w:cs="Arial" w:eastAsia="Arial" w:hAnsi="Arial"/>
          <w:sz w:val="20"/>
          <w:szCs w:val="20"/>
          <w:color w:val="auto"/>
        </w:rPr>
        <w:t>Each of the parties shall execute and deliver such documents and other papers and take such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actions as may reasonably be required to carry out the provisions of this Agreement and the Transactional Agreements and give effect to the Transactions, including the execution and delivery of such assignments, deeds and other documents as may be reasonably necessary to transfer</w:t>
      </w:r>
    </w:p>
    <w:p>
      <w:pPr>
        <w:spacing w:after="0" w:line="189"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4" w:name="page155"/>
    <w:bookmarkEnd w:id="154"/>
    <w:p>
      <w:pPr>
        <w:ind w:right="420" w:firstLine="8"/>
        <w:spacing w:after="0" w:line="293" w:lineRule="auto"/>
        <w:tabs>
          <w:tab w:leader="none" w:pos="352" w:val="left"/>
        </w:tabs>
        <w:numPr>
          <w:ilvl w:val="0"/>
          <w:numId w:val="15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any Purchased Assets or Assumed Liabilities as provided in this Agreement. Without limiting the foregoing, from and after the Closing (a) the Seller shall (and shall cause the Seller Affiliates to) do all things necessary, proper or advisable under applicable Law as reasonably requested by the Purchaser (i) to, at the Purchaser’s sole expense, put the Purchaser in actual possession, ownership and control of the Purchased Assets and Purchaser shall cooperate with Seller for such purposes and (ii) to assure that the Seller and the Seller Affiliates, rather than Purchaser or any of its Affiliates, are the obligors in respect of all Excluded Liabilities and (b) the Purchaser shall do all things necessary, proper and advisable under applicable Law as reasonably requested by the Seller (i) to transfer to the Seller (or such other Person as the Seller shall indicate) any Excluded Assets that Purchaser or any of its Affiliates may possess and (ii) to assure that the Purchaser, rather than the Seller or any Seller Affiliate, is the obligor in respect of all Assumed Liabilities, and the Seller shall cooperate with the Purchaser for such purposes. The Purchaser shall, upon the request of the Seller, and [***] to the Seller [***], make the Transferred Employees available at reasonable times and cooperate in all reasonable respects with the Seller and the Seller Affiliates in the preparation for, and defense of, any lawsuit, arbitration or other Proceeding (whether disclosed or not disclosed in the Disclosure Schedule) filed or claimed against the Seller or any of its Affiliates or any of the respective agents, directors, officers and employees of the Seller and its Affiliates, whether currently pending or asserted in the future, concerning the operation or conduct of the Business prior to the Closing Date (including in each case by making Transferred Employees available at reasonable times to provide information and discovery documentation, take depositions and testify).</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b w:val="1"/>
          <w:bCs w:val="1"/>
          <w:color w:val="auto"/>
        </w:rPr>
        <w:t xml:space="preserve">9.2 Publicity. </w:t>
      </w:r>
      <w:r>
        <w:rPr>
          <w:rFonts w:ascii="Arial" w:cs="Arial" w:eastAsia="Arial" w:hAnsi="Arial"/>
          <w:sz w:val="19"/>
          <w:szCs w:val="19"/>
          <w:color w:val="auto"/>
        </w:rPr>
        <w:t>Without limiting the generality of anything contained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4.7</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for the Announcement,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ensure that, on and at all times after the Closing Date: (a) no press release or other publicity concerning any of the Transactions is issued or otherwise disseminated by or on behalf of any Party without the other Party’s prior written consent; (b) each Party continues to keep the terms of this Agreement and the other Transactional Agreements strictly confidential; and (c) each Party keeps strictly confidential and does not use or disclose to any other Person, any non-public document or other non-public information that relates directly or indirectly to the Business, Purchased Assets, the other Party and the other Party’s Affiliates, except, in each case, to the extent that such Party is required by applicable Law to make any such disclosure; </w:t>
      </w:r>
      <w:r>
        <w:rPr>
          <w:rFonts w:ascii="Arial" w:cs="Arial" w:eastAsia="Arial" w:hAnsi="Arial"/>
          <w:sz w:val="19"/>
          <w:szCs w:val="19"/>
          <w:u w:val="single" w:color="auto"/>
          <w:color w:val="auto"/>
        </w:rPr>
        <w:t>provided, however</w:t>
      </w:r>
      <w:r>
        <w:rPr>
          <w:rFonts w:ascii="Arial" w:cs="Arial" w:eastAsia="Arial" w:hAnsi="Arial"/>
          <w:sz w:val="19"/>
          <w:szCs w:val="19"/>
          <w:color w:val="auto"/>
        </w:rPr>
        <w:t>, if such Party is required by applicable Law to make any such disclosure, to the extent possible, such Party advises the other Party, at least [***] before making such disclosure, of the nature and content of the intended disclosure.</w:t>
      </w:r>
    </w:p>
    <w:p>
      <w:pPr>
        <w:spacing w:after="0" w:line="17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 xml:space="preserve">9.3 Bulk Sales Requirements. </w:t>
      </w:r>
      <w:r>
        <w:rPr>
          <w:rFonts w:ascii="Arial" w:cs="Arial" w:eastAsia="Arial" w:hAnsi="Arial"/>
          <w:sz w:val="20"/>
          <w:szCs w:val="20"/>
          <w:color w:val="auto"/>
        </w:rPr>
        <w:t>Each of the Parties waives compliance with any applicable bulk sales, bulk transfers or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Laws, including the Uniform Commercial Code Bulk Transfer provisions. All Liabilities arising out of the failure to comply with the requirements and provisions of any bulk sales, bulk transfer or similar Laws of any jurisdiction which would not otherwise constitute Assumed Liabilities shall be treated as Excluded Liabilities. The Seller agrees to pay and discharge in due course and will indemnify and hold harmless the Purchaser from and against all claims made by creditors of the Seller, including expenses and attorneys’ fees incurred by the Purchaser in defending against such claims.</w:t>
      </w:r>
    </w:p>
    <w:p>
      <w:pPr>
        <w:spacing w:after="0" w:line="18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b w:val="1"/>
          <w:bCs w:val="1"/>
          <w:color w:val="auto"/>
        </w:rPr>
        <w:t xml:space="preserve">9.4 Non-Transferable Contracts. </w:t>
      </w:r>
      <w:r>
        <w:rPr>
          <w:rFonts w:ascii="Arial" w:cs="Arial" w:eastAsia="Arial" w:hAnsi="Arial"/>
          <w:sz w:val="18"/>
          <w:szCs w:val="18"/>
          <w:color w:val="auto"/>
        </w:rPr>
        <w:t>If there are any Consents to assign a Seller Contract that have not been obtained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 full force and effect) as of the Closing, in the case of each Seller Contract as to which such Consents were not obtained (or otherwise are not in full force and effect) (the “</w:t>
      </w:r>
      <w:r>
        <w:rPr>
          <w:rFonts w:ascii="Arial" w:cs="Arial" w:eastAsia="Arial" w:hAnsi="Arial"/>
          <w:sz w:val="18"/>
          <w:szCs w:val="18"/>
          <w:b w:val="1"/>
          <w:bCs w:val="1"/>
          <w:color w:val="auto"/>
        </w:rPr>
        <w:t>Restricted Material Contracts</w:t>
      </w:r>
      <w:r>
        <w:rPr>
          <w:rFonts w:ascii="Arial" w:cs="Arial" w:eastAsia="Arial" w:hAnsi="Arial"/>
          <w:sz w:val="18"/>
          <w:szCs w:val="18"/>
          <w:color w:val="auto"/>
        </w:rPr>
        <w:t>”), neither this Agreement nor the Transactional Agreements nor any other document related to the consummation of the Transactions shall constitute a sale, assignment, assumption, transfer, conveyance or delivery or an attempted sale, assignment, assumption, transfer, conveyance or delivery of the Restricted Material Contracts, and for a period of [***] following the Closing, the Parties shall use [***] efforts, and cooperate with each other, to obtain the Consent relating to each Restricted Material Contract as quickly as practicable. Pending the obtaining of such Consents relating to any Restricted Material Contract, the Parties shall cooperate with each other in any [***] and lawful</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5" w:name="page156"/>
    <w:bookmarkEnd w:id="155"/>
    <w:p>
      <w:pPr>
        <w:ind w:right="420" w:firstLine="8"/>
        <w:spacing w:after="0" w:line="293" w:lineRule="auto"/>
        <w:tabs>
          <w:tab w:leader="none" w:pos="352" w:val="left"/>
        </w:tabs>
        <w:numPr>
          <w:ilvl w:val="0"/>
          <w:numId w:val="15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arrangements designed to provide to the Purchaser the benefits of use of the Restricted Material Contract for its term (or any right or benefit arising thereunder, including the enforcement for the benefit of the Purchaser of any and all rights of the Seller against a Third Party thereunder) and to cause the Purchaser to bear the burdens of such Restricted Material Contract (and if such arrangements are made, the Purchaser shall indemnify the Seller and the Seller Affiliates for any Liabilities arising out of such Restricted Material Contract) for its term. Once a Consent for the sale, assignment, assumption, transfer, conveyance and delivery of a Restricted Material Contract is obtained, the Seller shall promptly assign, transfer, convey and deliver such Restricted Material Contract to the Purchaser, and the Purchaser shall assume the obligations under such Restricted Material Contract assigned to the Purchaser from and after the date of assignment to the Purchaser pursuant to a special-purpose assignment and assumption agreement substantially similar in terms to those of the Bill of Sale and Assumption Agreement (which special-purpose agreement the Parties shall prepare, execute and deliver in good faith at the time of such transfer).</w:t>
      </w:r>
    </w:p>
    <w:p>
      <w:pPr>
        <w:spacing w:after="0" w:line="36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b w:val="1"/>
          <w:bCs w:val="1"/>
          <w:color w:val="auto"/>
        </w:rPr>
        <w:t xml:space="preserve">9.5 Non-Transferable Assets. </w:t>
      </w:r>
      <w:r>
        <w:rPr>
          <w:rFonts w:ascii="Arial" w:cs="Arial" w:eastAsia="Arial" w:hAnsi="Arial"/>
          <w:sz w:val="18"/>
          <w:szCs w:val="18"/>
          <w:color w:val="auto"/>
        </w:rPr>
        <w:t>Except as set forth above with respect to Restricted Material Contracts, from and after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each Purchased Asset which is not assignable or transferable to the Purchaser at the Closing (each a “</w:t>
      </w:r>
      <w:r>
        <w:rPr>
          <w:rFonts w:ascii="Arial" w:cs="Arial" w:eastAsia="Arial" w:hAnsi="Arial"/>
          <w:sz w:val="18"/>
          <w:szCs w:val="18"/>
          <w:b w:val="1"/>
          <w:bCs w:val="1"/>
          <w:color w:val="auto"/>
        </w:rPr>
        <w:t>Non-Transferable</w:t>
      </w:r>
      <w:r>
        <w:rPr>
          <w:rFonts w:ascii="Arial" w:cs="Arial" w:eastAsia="Arial" w:hAnsi="Arial"/>
          <w:sz w:val="18"/>
          <w:szCs w:val="18"/>
          <w:color w:val="auto"/>
        </w:rPr>
        <w:t xml:space="preserve"> </w:t>
      </w:r>
      <w:r>
        <w:rPr>
          <w:rFonts w:ascii="Arial" w:cs="Arial" w:eastAsia="Arial" w:hAnsi="Arial"/>
          <w:sz w:val="18"/>
          <w:szCs w:val="18"/>
          <w:b w:val="1"/>
          <w:bCs w:val="1"/>
          <w:color w:val="auto"/>
        </w:rPr>
        <w:t>Asset</w:t>
      </w:r>
      <w:r>
        <w:rPr>
          <w:rFonts w:ascii="Arial" w:cs="Arial" w:eastAsia="Arial" w:hAnsi="Arial"/>
          <w:sz w:val="18"/>
          <w:szCs w:val="18"/>
          <w:color w:val="auto"/>
        </w:rPr>
        <w:t>”), until the earlier to occur of (a) such time as such Non-Transferable Asset shall be properly and lawfully transferred or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(b) such time as the material benefits intended to be transferred or assigned to the Purchaser have been procured by alternative means and (c) the date that is [***] following the Closing, (i) the Non-Transferable Assets shall be held by the Seller exclusively for the benefit of the Purchaser and (ii) the Seller and the Purchaser shall cooperate in any good faith, [***] arrangement designed to provide or cause to be provided to the Purchaser the material benefits intended to be transferred or assigned to the Purchaser under each of the Non-Transferable Assets and to cause the Purchaser to bear the burdens of the Non-Transferable Assets (and if such arrangements are made, the Purchaser shall indemnify the Seller and the Seller Affiliates for any Liabilities associated with each of the Non-Transferable Assets), in furtherance thereof, to the extent permitted under the terms of each such Non-Transferable Asset and under applicable Law.</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9.6  Non-Competition; Non-Solicitation.</w:t>
      </w:r>
    </w:p>
    <w:p>
      <w:pPr>
        <w:spacing w:after="0" w:line="222" w:lineRule="exact"/>
        <w:rPr>
          <w:sz w:val="20"/>
          <w:szCs w:val="20"/>
          <w:color w:val="auto"/>
        </w:rPr>
      </w:pPr>
    </w:p>
    <w:p>
      <w:pPr>
        <w:jc w:val="both"/>
        <w:ind w:firstLine="1505"/>
        <w:spacing w:after="0" w:line="273" w:lineRule="auto"/>
        <w:tabs>
          <w:tab w:leader="none" w:pos="1934"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The Seller acknowledges that the Seller and the Seller Affiliates have each received and have been privy to confidential information and trade secrets of the Business and with respect to the Purchased Assets. The Seller further acknowledges that the Purchaser has a legitimate interest in ensuring that such confidential information and trade secrets remain confidential and are not disclosed to Third Parties. Thus, to avoid the actual or threatened misappropriation of such confidential information and trade secrets, to preserve the value and goodwill of the Purchased Assets and the Business being acquired by the Purchaser pursuant to this Agreement, and in light of the substantial consideration being paid to the Seller as a result of the Transactions, the Seller agrees that, at all times during the period beginning on the Closing Date and ending on [***] (such period, the “</w:t>
      </w:r>
      <w:r>
        <w:rPr>
          <w:rFonts w:ascii="Arial" w:cs="Arial" w:eastAsia="Arial" w:hAnsi="Arial"/>
          <w:sz w:val="18"/>
          <w:szCs w:val="18"/>
          <w:b w:val="1"/>
          <w:bCs w:val="1"/>
          <w:color w:val="auto"/>
        </w:rPr>
        <w:t>Restricted Period</w:t>
      </w:r>
      <w:r>
        <w:rPr>
          <w:rFonts w:ascii="Arial" w:cs="Arial" w:eastAsia="Arial" w:hAnsi="Arial"/>
          <w:sz w:val="18"/>
          <w:szCs w:val="18"/>
          <w:color w:val="auto"/>
        </w:rPr>
        <w:t>”), the Seller shall not, and shall not permit any of its controlled Affiliates to, directly or indirectly, engage or participate in any Restricted Activity anywhere in the world.</w:t>
      </w:r>
    </w:p>
    <w:p>
      <w:pPr>
        <w:spacing w:after="0" w:line="168" w:lineRule="exact"/>
        <w:rPr>
          <w:rFonts w:ascii="Arial" w:cs="Arial" w:eastAsia="Arial" w:hAnsi="Arial"/>
          <w:sz w:val="18"/>
          <w:szCs w:val="18"/>
          <w:b w:val="1"/>
          <w:bCs w:val="1"/>
          <w:color w:val="auto"/>
        </w:rPr>
      </w:pPr>
    </w:p>
    <w:p>
      <w:pPr>
        <w:jc w:val="both"/>
        <w:ind w:firstLine="1505"/>
        <w:spacing w:after="0" w:line="260" w:lineRule="auto"/>
        <w:tabs>
          <w:tab w:leader="none" w:pos="1893" w:val="left"/>
        </w:tabs>
        <w:numPr>
          <w:ilvl w:val="0"/>
          <w:numId w:val="159"/>
        </w:numPr>
        <w:rPr>
          <w:rFonts w:ascii="Arial" w:cs="Arial" w:eastAsia="Arial" w:hAnsi="Arial"/>
          <w:sz w:val="19"/>
          <w:szCs w:val="19"/>
          <w:b w:val="1"/>
          <w:bCs w:val="1"/>
          <w:color w:val="auto"/>
        </w:rPr>
      </w:pPr>
      <w:r>
        <w:rPr>
          <w:rFonts w:ascii="Arial" w:cs="Arial" w:eastAsia="Arial" w:hAnsi="Arial"/>
          <w:sz w:val="19"/>
          <w:szCs w:val="19"/>
          <w:color w:val="auto"/>
        </w:rPr>
        <w:t>During the Restricted Period, the Seller shall not, and shall not permit any of Seller Affiliates to directly or indirectly, personally or through others, solicit for the purpose of offering employment to or hiring (whether as an employee, consultant, agent, independent contractor or otherwise) or actually hire any Transferred Employees, unless such individual is (i) no longer in the employ of the Purchaser or its subsidiaries or (ii) solicited through general non-targeted solicitation or advertisement in print media, online or through an employment agency (in which case such individual may be hired as a result of such solicitation).</w:t>
      </w:r>
    </w:p>
    <w:p>
      <w:pPr>
        <w:spacing w:after="0" w:line="18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6" w:name="page157"/>
    <w:bookmarkEnd w:id="156"/>
    <w:p>
      <w:pPr>
        <w:ind w:right="420" w:firstLine="8"/>
        <w:spacing w:after="0" w:line="293" w:lineRule="auto"/>
        <w:tabs>
          <w:tab w:leader="none" w:pos="352" w:val="left"/>
        </w:tabs>
        <w:numPr>
          <w:ilvl w:val="0"/>
          <w:numId w:val="16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firstLine="1505"/>
        <w:spacing w:after="0" w:line="272" w:lineRule="auto"/>
        <w:tabs>
          <w:tab w:leader="none" w:pos="1893"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During the Restricted Period, the Purchaser shall not, and shall not permit any of its controlled Affiliates to directly or indirectly, personally or through others, contact, approach or solicit for the purpose of offering employment to or hiring (whether as an employee, consultant, agent, independent contractor or otherwise) or actually hire any individual who is on the Closing Date an employee of the Seller or any Seller Affiliate (other than the Transferred Employees) and that the Purchaser first came into contact with in connection with the process leading up to the execution and delivery of this Agreement or in connection with the consummation of the transactions contemplated by this Agreement or the other Transactional Agreements, unless such individual is (i) no longer in the employ of the Seller or any Seller Affiliate, (ii) contacted or solicited through general non-targeted solicitation or advertisement in print media, online or through an employment agency (in which case such individual may be hired as a result of such solicitation) or (iii) set forth on the list titled “Sam – Exceptions to Purchaser No-Solicit” provided by or on behalf of Seller to Purchaser on or prior to the date of this Agreement.</w:t>
      </w:r>
    </w:p>
    <w:p>
      <w:pPr>
        <w:spacing w:after="0" w:line="170" w:lineRule="exact"/>
        <w:rPr>
          <w:rFonts w:ascii="Arial" w:cs="Arial" w:eastAsia="Arial" w:hAnsi="Arial"/>
          <w:sz w:val="18"/>
          <w:szCs w:val="18"/>
          <w:b w:val="1"/>
          <w:bCs w:val="1"/>
          <w:color w:val="auto"/>
        </w:rPr>
      </w:pPr>
    </w:p>
    <w:p>
      <w:pPr>
        <w:jc w:val="both"/>
        <w:ind w:firstLine="1505"/>
        <w:spacing w:after="0" w:line="257" w:lineRule="auto"/>
        <w:tabs>
          <w:tab w:leader="none" w:pos="1893" w:val="left"/>
        </w:tabs>
        <w:numPr>
          <w:ilvl w:val="1"/>
          <w:numId w:val="160"/>
        </w:numPr>
        <w:rPr>
          <w:rFonts w:ascii="Arial" w:cs="Arial" w:eastAsia="Arial" w:hAnsi="Arial"/>
          <w:sz w:val="19"/>
          <w:szCs w:val="19"/>
          <w:b w:val="1"/>
          <w:bCs w:val="1"/>
          <w:color w:val="auto"/>
        </w:rPr>
      </w:pPr>
      <w:r>
        <w:rPr>
          <w:rFonts w:ascii="Arial" w:cs="Arial" w:eastAsia="Arial" w:hAnsi="Arial"/>
          <w:sz w:val="19"/>
          <w:szCs w:val="19"/>
          <w:color w:val="auto"/>
        </w:rPr>
        <w:t xml:space="preserve">The covenants set forth in </w:t>
      </w:r>
      <w:r>
        <w:rPr>
          <w:rFonts w:ascii="Arial" w:cs="Arial" w:eastAsia="Arial" w:hAnsi="Arial"/>
          <w:sz w:val="19"/>
          <w:szCs w:val="19"/>
          <w:u w:val="single" w:color="auto"/>
          <w:color w:val="auto"/>
        </w:rPr>
        <w:t>Section 9.6(a)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9.6(b)</w:t>
      </w:r>
      <w:r>
        <w:rPr>
          <w:rFonts w:ascii="Arial" w:cs="Arial" w:eastAsia="Arial" w:hAnsi="Arial"/>
          <w:sz w:val="19"/>
          <w:szCs w:val="19"/>
          <w:color w:val="auto"/>
        </w:rPr>
        <w:t xml:space="preserve"> shall be construed as a series of separate covenants, one for each country, province, state, city or other political subdivision of the world. Except for geographic coverage, each such separate covenant shall be deemed identical in terms to the covenants set forth in </w:t>
      </w:r>
      <w:r>
        <w:rPr>
          <w:rFonts w:ascii="Arial" w:cs="Arial" w:eastAsia="Arial" w:hAnsi="Arial"/>
          <w:sz w:val="19"/>
          <w:szCs w:val="19"/>
          <w:u w:val="single" w:color="auto"/>
          <w:color w:val="auto"/>
        </w:rPr>
        <w:t>Section 9.6(a)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9.6(b)</w:t>
      </w:r>
      <w:r>
        <w:rPr>
          <w:rFonts w:ascii="Arial" w:cs="Arial" w:eastAsia="Arial" w:hAnsi="Arial"/>
          <w:sz w:val="19"/>
          <w:szCs w:val="19"/>
          <w:color w:val="auto"/>
        </w:rPr>
        <w:t xml:space="preserve"> hereof.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To the extent that the provisions of </w:t>
      </w:r>
      <w:r>
        <w:rPr>
          <w:rFonts w:ascii="Arial" w:cs="Arial" w:eastAsia="Arial" w:hAnsi="Arial"/>
          <w:sz w:val="19"/>
          <w:szCs w:val="19"/>
          <w:u w:val="single" w:color="auto"/>
          <w:color w:val="auto"/>
        </w:rPr>
        <w:t>Section 9.6(a)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9.6(b)</w:t>
      </w:r>
      <w:r>
        <w:rPr>
          <w:rFonts w:ascii="Arial" w:cs="Arial" w:eastAsia="Arial" w:hAnsi="Arial"/>
          <w:sz w:val="19"/>
          <w:szCs w:val="19"/>
          <w:color w:val="auto"/>
        </w:rPr>
        <w:t xml:space="preserve"> hereof are deemed to exceed the time, geographic or scope limitations permitted by applicable Law, then such provisions shall be reformed to the maximum time, geographic or scope limitations, as the case may be, permitted by applicable Law.</w:t>
      </w:r>
    </w:p>
    <w:p>
      <w:pPr>
        <w:spacing w:after="0" w:line="180" w:lineRule="exact"/>
        <w:rPr>
          <w:rFonts w:ascii="Arial" w:cs="Arial" w:eastAsia="Arial" w:hAnsi="Arial"/>
          <w:sz w:val="19"/>
          <w:szCs w:val="19"/>
          <w:b w:val="1"/>
          <w:bCs w:val="1"/>
          <w:color w:val="auto"/>
        </w:rPr>
      </w:pPr>
    </w:p>
    <w:p>
      <w:pPr>
        <w:jc w:val="both"/>
        <w:ind w:firstLine="1505"/>
        <w:spacing w:after="0" w:line="255" w:lineRule="auto"/>
        <w:tabs>
          <w:tab w:leader="none" w:pos="1907" w:val="left"/>
        </w:tabs>
        <w:numPr>
          <w:ilvl w:val="1"/>
          <w:numId w:val="160"/>
        </w:numPr>
        <w:rPr>
          <w:rFonts w:ascii="Arial" w:cs="Arial" w:eastAsia="Arial" w:hAnsi="Arial"/>
          <w:sz w:val="19"/>
          <w:szCs w:val="19"/>
          <w:b w:val="1"/>
          <w:bCs w:val="1"/>
          <w:color w:val="auto"/>
        </w:rPr>
      </w:pPr>
      <w:r>
        <w:rPr>
          <w:rFonts w:ascii="Arial" w:cs="Arial" w:eastAsia="Arial" w:hAnsi="Arial"/>
          <w:sz w:val="19"/>
          <w:szCs w:val="19"/>
          <w:color w:val="auto"/>
        </w:rPr>
        <w:t xml:space="preserve">Each Party (on behalf of itself and its Affiliates) has considered the restraints imposed upon, on the one hand, the Seller and its controlled Affiliates and, on the other hand, the Purchaser and its controlled Affiliates, and is in full accord as to the necessity of such restrictive covenants for the reasonable and proper protection of, on the one hand, the Purchaser, its controlled Affiliates and the Business and, on the other hand, the Seller and its controlled Affiliates and their respective businesses, and agrees that each commitment and restraint imposed by the provisions of this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is fair and reasonable with respect to subject matter, geographic scope and time period. It is expressly understood and agreed that although the Seller and the Purchaser consider such covenants to be fair and reasonable, if a judicial determination is made by a court of competent jurisdiction that the time or any other restriction contained in this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is an invalid or unenforceable restriction against the Seller, any of its controlled Affiliates, the Purchaser or any of its controlled Affiliates, the provisions of this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shall not be rendered void but shall be deemed amended to apply to such maximum time and to such maximum extent as such court may judicially determine or indicate to be enforceable. Alternatively, if any court of competent jurisdiction finds that any restriction contained in this Agreement is invalid or unenforceable, and such restriction cannot be amended so as to make it enforceable, such finding shall not affect the enforceability of any of the other restrictions contained herein, which shall be given full force and effect without regard to such finding.</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 xml:space="preserve">9.7 General Release. </w:t>
      </w:r>
      <w:r>
        <w:rPr>
          <w:rFonts w:ascii="Arial" w:cs="Arial" w:eastAsia="Arial" w:hAnsi="Arial"/>
          <w:sz w:val="20"/>
          <w:szCs w:val="20"/>
          <w:color w:val="auto"/>
        </w:rPr>
        <w:t>From and after Closing Date, (a) the Seller, on behalf of itself and the Seller Affiliates (each a “</w:t>
      </w:r>
      <w:r>
        <w:rPr>
          <w:rFonts w:ascii="Arial" w:cs="Arial" w:eastAsia="Arial" w:hAnsi="Arial"/>
          <w:sz w:val="20"/>
          <w:szCs w:val="20"/>
          <w:b w:val="1"/>
          <w:bCs w:val="1"/>
          <w:color w:val="auto"/>
        </w:rPr>
        <w:t>Seller Releasing Person</w:t>
      </w:r>
      <w:r>
        <w:rPr>
          <w:rFonts w:ascii="Arial" w:cs="Arial" w:eastAsia="Arial" w:hAnsi="Arial"/>
          <w:sz w:val="20"/>
          <w:szCs w:val="20"/>
          <w:color w:val="auto"/>
        </w:rPr>
        <w:t>”), hereby forever releases and discharges the Purchaser, its Affiliates or any of their respective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predecessors, successors, related entities, assigns or the like or any persons acting by, through, under or in concert with, any of them (collectively, the “</w:t>
      </w:r>
      <w:r>
        <w:rPr>
          <w:rFonts w:ascii="Arial" w:cs="Arial" w:eastAsia="Arial" w:hAnsi="Arial"/>
          <w:sz w:val="20"/>
          <w:szCs w:val="20"/>
          <w:b w:val="1"/>
          <w:bCs w:val="1"/>
          <w:color w:val="auto"/>
        </w:rPr>
        <w:t>Released Purchaser Persons</w:t>
      </w:r>
      <w:r>
        <w:rPr>
          <w:rFonts w:ascii="Arial" w:cs="Arial" w:eastAsia="Arial" w:hAnsi="Arial"/>
          <w:sz w:val="20"/>
          <w:szCs w:val="20"/>
          <w:color w:val="auto"/>
        </w:rPr>
        <w:t>”) from all debts, demands, causes of action, suits, covenants, torts, damages and any and all claims, defenses, offsets, judgments, demands and liabilities whatsoever, of every name and nature, both at law and in equity, known or unknown, accrued or unaccrued, that have been or could have been asserted against any Released Purchaser Person, that any Seller Releasing Person has or ever</w:t>
      </w:r>
    </w:p>
    <w:p>
      <w:pPr>
        <w:spacing w:after="0" w:line="192"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7" w:name="page158"/>
    <w:bookmarkEnd w:id="157"/>
    <w:p>
      <w:pPr>
        <w:ind w:right="420" w:firstLine="8"/>
        <w:spacing w:after="0" w:line="293" w:lineRule="auto"/>
        <w:tabs>
          <w:tab w:leader="none" w:pos="352" w:val="left"/>
        </w:tabs>
        <w:numPr>
          <w:ilvl w:val="0"/>
          <w:numId w:val="16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had, that arises out of or in any way relates to events, circumstances or actions occurring, existing or taken prior to or as of the Closing Date in respect of matters relating to the Business, this Agreement or the other Transactional Agreements or the transactions contemplated hereby and thereby and (b) the Purchaser, on behalf of itself and its Affiliates (each a “</w:t>
      </w:r>
      <w:r>
        <w:rPr>
          <w:rFonts w:ascii="Arial" w:cs="Arial" w:eastAsia="Arial" w:hAnsi="Arial"/>
          <w:sz w:val="18"/>
          <w:szCs w:val="18"/>
          <w:b w:val="1"/>
          <w:bCs w:val="1"/>
          <w:color w:val="auto"/>
        </w:rPr>
        <w:t>Purchaser Releasing Person</w:t>
      </w:r>
      <w:r>
        <w:rPr>
          <w:rFonts w:ascii="Arial" w:cs="Arial" w:eastAsia="Arial" w:hAnsi="Arial"/>
          <w:sz w:val="18"/>
          <w:szCs w:val="18"/>
          <w:color w:val="auto"/>
        </w:rPr>
        <w:t>”), hereby and forever discharges the Seller, its Affiliates or any of their respective Representatives, predecessors, successors, related entities, assigns or the like or any persons acting by, through, under or in concert with, any of them (collectively, the “</w:t>
      </w:r>
      <w:r>
        <w:rPr>
          <w:rFonts w:ascii="Arial" w:cs="Arial" w:eastAsia="Arial" w:hAnsi="Arial"/>
          <w:sz w:val="18"/>
          <w:szCs w:val="18"/>
          <w:b w:val="1"/>
          <w:bCs w:val="1"/>
          <w:color w:val="auto"/>
        </w:rPr>
        <w:t>Released Seller Persons</w:t>
      </w:r>
      <w:r>
        <w:rPr>
          <w:rFonts w:ascii="Arial" w:cs="Arial" w:eastAsia="Arial" w:hAnsi="Arial"/>
          <w:sz w:val="18"/>
          <w:szCs w:val="18"/>
          <w:color w:val="auto"/>
        </w:rPr>
        <w:t xml:space="preserve">”) from all debts, demands, causes of action, suits, covenants, torts, damages and any and all claims, defenses, offsets, judgments, demands and liabilities whatsoever, of every name and nature, both at law and in equity, known or unknown, accrued or unaccrued, that have been or could have been asserted against any Released Seller Person, that any Purchaser Releasing Person has or ever had, that arises out of or in any way relates to events, circumstances or actions occurring, existing or taken prior to or as of the Closing Date in respect of this Agreement or the other Transactional Agreements or the transactions contemplated hereby and thereby; except that neither clause (a) nor clause (b) of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applies to or shall constitute a release or discharge of (i) any rights or obligations to the extent arising under this Agreement, any Transactional Agreement or any certificate or other instrument delivered by or on behalf of either Party pursuant to this Agreement or (ii) any claim based on Fraud of any of the Released Purchaser Persons or Released Seller Persons.</w:t>
      </w:r>
    </w:p>
    <w:p>
      <w:pPr>
        <w:spacing w:after="0" w:line="38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9.8  Employees and Related Matters.</w:t>
      </w:r>
    </w:p>
    <w:p>
      <w:pPr>
        <w:spacing w:after="0" w:line="216" w:lineRule="exact"/>
        <w:rPr>
          <w:sz w:val="20"/>
          <w:szCs w:val="20"/>
          <w:color w:val="auto"/>
        </w:rPr>
      </w:pPr>
    </w:p>
    <w:p>
      <w:pPr>
        <w:jc w:val="both"/>
        <w:ind w:firstLine="1505"/>
        <w:spacing w:after="0" w:line="254" w:lineRule="auto"/>
        <w:tabs>
          <w:tab w:leader="none" w:pos="1893"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Transferred Employees. </w:t>
      </w:r>
      <w:r>
        <w:rPr>
          <w:rFonts w:ascii="Arial" w:cs="Arial" w:eastAsia="Arial" w:hAnsi="Arial"/>
          <w:sz w:val="19"/>
          <w:szCs w:val="19"/>
          <w:color w:val="auto"/>
        </w:rPr>
        <w:t>The Purchaser shall (or shall cause one of its Purchaser Affiliates listed on Part 9.8(a)(i) of</w:t>
      </w:r>
      <w:r>
        <w:rPr>
          <w:rFonts w:ascii="Arial" w:cs="Arial" w:eastAsia="Arial" w:hAnsi="Arial"/>
          <w:sz w:val="19"/>
          <w:szCs w:val="19"/>
          <w:b w:val="1"/>
          <w:bCs w:val="1"/>
          <w:color w:val="auto"/>
        </w:rPr>
        <w:t xml:space="preserve"> </w:t>
      </w:r>
      <w:r>
        <w:rPr>
          <w:rFonts w:ascii="Arial" w:cs="Arial" w:eastAsia="Arial" w:hAnsi="Arial"/>
          <w:sz w:val="19"/>
          <w:szCs w:val="19"/>
          <w:color w:val="auto"/>
        </w:rPr>
        <w:t>the Disclosure Schedule or a third party professional employer organization listed on Part 9.8(a)(ii) of the Disclosure Schedule to) offer employment to, or contract with the applicable existing third party professional employer organization to continue the employment relationship of, each of the employees of the Seller listed on Part 9.8(a)(iii) of the Disclosure Schedule (the “</w:t>
      </w:r>
      <w:r>
        <w:rPr>
          <w:rFonts w:ascii="Arial" w:cs="Arial" w:eastAsia="Arial" w:hAnsi="Arial"/>
          <w:sz w:val="19"/>
          <w:szCs w:val="19"/>
          <w:b w:val="1"/>
          <w:bCs w:val="1"/>
          <w:color w:val="auto"/>
        </w:rPr>
        <w:t>Designated Employees</w:t>
      </w:r>
      <w:r>
        <w:rPr>
          <w:rFonts w:ascii="Arial" w:cs="Arial" w:eastAsia="Arial" w:hAnsi="Arial"/>
          <w:sz w:val="19"/>
          <w:szCs w:val="19"/>
          <w:color w:val="auto"/>
        </w:rPr>
        <w:t xml:space="preserve">”) on terms and conditions [***] and that otherwise comply with this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Seller shall be permitted to postpone the transfer date of the respective employment relationship with the Designated Employees who are employees of [***] until [***] at the latest, or cancel such transfer in connection with [***], and the offers shall contemplate such possibility. Each offer of employment made pursuant to this </w:t>
      </w:r>
      <w:r>
        <w:rPr>
          <w:rFonts w:ascii="Arial" w:cs="Arial" w:eastAsia="Arial" w:hAnsi="Arial"/>
          <w:sz w:val="19"/>
          <w:szCs w:val="19"/>
          <w:u w:val="single" w:color="auto"/>
          <w:color w:val="auto"/>
        </w:rPr>
        <w:t>Section 9.8(a)</w:t>
      </w:r>
      <w:r>
        <w:rPr>
          <w:rFonts w:ascii="Arial" w:cs="Arial" w:eastAsia="Arial" w:hAnsi="Arial"/>
          <w:sz w:val="19"/>
          <w:szCs w:val="19"/>
          <w:color w:val="auto"/>
        </w:rPr>
        <w:t xml:space="preserve"> must comply with the timing requirements set forth on the list labeled “Offer Calendar” provided from the Seller to the Purchaser on the date of this Agreement (the “</w:t>
      </w:r>
      <w:r>
        <w:rPr>
          <w:rFonts w:ascii="Arial" w:cs="Arial" w:eastAsia="Arial" w:hAnsi="Arial"/>
          <w:sz w:val="19"/>
          <w:szCs w:val="19"/>
          <w:b w:val="1"/>
          <w:bCs w:val="1"/>
          <w:color w:val="auto"/>
        </w:rPr>
        <w:t>Offer Calendar</w:t>
      </w:r>
      <w:r>
        <w:rPr>
          <w:rFonts w:ascii="Arial" w:cs="Arial" w:eastAsia="Arial" w:hAnsi="Arial"/>
          <w:sz w:val="19"/>
          <w:szCs w:val="19"/>
          <w:color w:val="auto"/>
        </w:rPr>
        <w:t>”), including the requirement for a [***] to be extended by the specified deadline (if applicable), the deadline for [***], the [***], the [***] and the [***]. Purchaser shall notify Seller within [***] of making any offer to any Designated Employee, or any Designated Employee accepting or rejecting any offer. The Designated Employees who accept employment with the Purchaser or one of its Affiliates shall, effective upon commencement of employment with the Purchaser or one of its Affiliates, be referred to herein as “</w:t>
      </w:r>
      <w:r>
        <w:rPr>
          <w:rFonts w:ascii="Arial" w:cs="Arial" w:eastAsia="Arial" w:hAnsi="Arial"/>
          <w:sz w:val="19"/>
          <w:szCs w:val="19"/>
          <w:b w:val="1"/>
          <w:bCs w:val="1"/>
          <w:color w:val="auto"/>
        </w:rPr>
        <w:t>Transferred Employees</w:t>
      </w:r>
      <w:r>
        <w:rPr>
          <w:rFonts w:ascii="Arial" w:cs="Arial" w:eastAsia="Arial" w:hAnsi="Arial"/>
          <w:sz w:val="19"/>
          <w:szCs w:val="19"/>
          <w:color w:val="auto"/>
        </w:rPr>
        <w:t>”. The Designated Employees who do not accept employment with the Purchaser or the Purchaser Affiliates as of the Closing Date shall be referred to as the “</w:t>
      </w:r>
      <w:r>
        <w:rPr>
          <w:rFonts w:ascii="Arial" w:cs="Arial" w:eastAsia="Arial" w:hAnsi="Arial"/>
          <w:sz w:val="19"/>
          <w:szCs w:val="19"/>
          <w:b w:val="1"/>
          <w:bCs w:val="1"/>
          <w:color w:val="auto"/>
        </w:rPr>
        <w:t>Non-Transferring Employees</w:t>
      </w:r>
      <w:r>
        <w:rPr>
          <w:rFonts w:ascii="Arial" w:cs="Arial" w:eastAsia="Arial" w:hAnsi="Arial"/>
          <w:sz w:val="19"/>
          <w:szCs w:val="19"/>
          <w:color w:val="auto"/>
        </w:rPr>
        <w:t>”. The other employees of the Seller and its Affiliates who are not Designated Employees shall be referred to collectively herein as “</w:t>
      </w:r>
      <w:r>
        <w:rPr>
          <w:rFonts w:ascii="Arial" w:cs="Arial" w:eastAsia="Arial" w:hAnsi="Arial"/>
          <w:sz w:val="19"/>
          <w:szCs w:val="19"/>
          <w:b w:val="1"/>
          <w:bCs w:val="1"/>
          <w:color w:val="auto"/>
        </w:rPr>
        <w:t>Non-Designated</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Employees</w:t>
      </w:r>
      <w:r>
        <w:rPr>
          <w:rFonts w:ascii="Arial" w:cs="Arial" w:eastAsia="Arial" w:hAnsi="Arial"/>
          <w:sz w:val="19"/>
          <w:szCs w:val="19"/>
          <w:color w:val="auto"/>
        </w:rPr>
        <w:t>”. With respect to any Designated Employee who will provide services to the Purchaser pursuant to the Transition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following the Closing, such Designated Employee shall be deemed to be a Transferred Employee for the purposes of this Agreement solely upon the date such individual commences employment with the Purchaser or one of its Affiliates and for such employees the terms Closing and Closing Date in this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shall mean the date on which such individual’s employment with the Purchaser or one of its Affiliates commenced. Prior to such date, such individual shall be deemed to be a Non-Transferring Employee for the purposes of this Agreement.</w:t>
      </w:r>
    </w:p>
    <w:p>
      <w:pPr>
        <w:spacing w:after="0" w:line="18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8" w:name="page159"/>
    <w:bookmarkEnd w:id="158"/>
    <w:p>
      <w:pPr>
        <w:ind w:right="420" w:firstLine="8"/>
        <w:spacing w:after="0" w:line="293" w:lineRule="auto"/>
        <w:tabs>
          <w:tab w:leader="none" w:pos="352" w:val="left"/>
        </w:tabs>
        <w:numPr>
          <w:ilvl w:val="0"/>
          <w:numId w:val="16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rFonts w:ascii="Arial" w:cs="Arial" w:eastAsia="Arial" w:hAnsi="Arial"/>
          <w:sz w:val="14"/>
          <w:szCs w:val="14"/>
          <w:color w:val="auto"/>
        </w:rPr>
      </w:pPr>
    </w:p>
    <w:p>
      <w:pPr>
        <w:jc w:val="both"/>
        <w:ind w:firstLine="1505"/>
        <w:spacing w:after="0" w:line="248" w:lineRule="auto"/>
        <w:tabs>
          <w:tab w:leader="none" w:pos="1893" w:val="left"/>
        </w:tabs>
        <w:numPr>
          <w:ilvl w:val="1"/>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Terms and Conditions of Employment. </w:t>
      </w:r>
      <w:r>
        <w:rPr>
          <w:rFonts w:ascii="Arial" w:cs="Arial" w:eastAsia="Arial" w:hAnsi="Arial"/>
          <w:sz w:val="20"/>
          <w:szCs w:val="20"/>
          <w:color w:val="auto"/>
        </w:rPr>
        <w:t>For a period of [***] following the Closing Date, the Purchaser shall, or</w:t>
      </w:r>
      <w:r>
        <w:rPr>
          <w:rFonts w:ascii="Arial" w:cs="Arial" w:eastAsia="Arial" w:hAnsi="Arial"/>
          <w:sz w:val="20"/>
          <w:szCs w:val="20"/>
          <w:b w:val="1"/>
          <w:bCs w:val="1"/>
          <w:color w:val="auto"/>
        </w:rPr>
        <w:t xml:space="preserve"> </w:t>
      </w:r>
      <w:r>
        <w:rPr>
          <w:rFonts w:ascii="Arial" w:cs="Arial" w:eastAsia="Arial" w:hAnsi="Arial"/>
          <w:sz w:val="20"/>
          <w:szCs w:val="20"/>
          <w:color w:val="auto"/>
        </w:rPr>
        <w:t>shall cause a Purchaser Affiliates or third-party professional employer organization, as applicable, to provide each Transferred Employee with compensation and employee benefits that are [***] to such Transferred Employee to the compensation and employee benefits provided to such Transferred Employee immediately prior to the Closing Date.</w:t>
      </w:r>
    </w:p>
    <w:p>
      <w:pPr>
        <w:spacing w:after="0" w:line="183" w:lineRule="exact"/>
        <w:rPr>
          <w:rFonts w:ascii="Arial" w:cs="Arial" w:eastAsia="Arial" w:hAnsi="Arial"/>
          <w:sz w:val="20"/>
          <w:szCs w:val="20"/>
          <w:b w:val="1"/>
          <w:bCs w:val="1"/>
          <w:color w:val="auto"/>
        </w:rPr>
      </w:pPr>
    </w:p>
    <w:p>
      <w:pPr>
        <w:ind w:left="1900" w:hanging="395"/>
        <w:spacing w:after="0"/>
        <w:tabs>
          <w:tab w:leader="none" w:pos="1900" w:val="left"/>
        </w:tabs>
        <w:numPr>
          <w:ilvl w:val="1"/>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221" w:lineRule="exact"/>
        <w:rPr>
          <w:rFonts w:ascii="Arial" w:cs="Arial" w:eastAsia="Arial" w:hAnsi="Arial"/>
          <w:sz w:val="20"/>
          <w:szCs w:val="20"/>
          <w:b w:val="1"/>
          <w:bCs w:val="1"/>
          <w:color w:val="auto"/>
        </w:rPr>
      </w:pPr>
    </w:p>
    <w:p>
      <w:pPr>
        <w:jc w:val="both"/>
        <w:ind w:firstLine="2254"/>
        <w:spacing w:after="0" w:line="267" w:lineRule="auto"/>
        <w:tabs>
          <w:tab w:leader="none" w:pos="2655" w:val="left"/>
        </w:tabs>
        <w:numPr>
          <w:ilvl w:val="2"/>
          <w:numId w:val="163"/>
        </w:numPr>
        <w:rPr>
          <w:rFonts w:ascii="Arial" w:cs="Arial" w:eastAsia="Arial" w:hAnsi="Arial"/>
          <w:sz w:val="18"/>
          <w:szCs w:val="18"/>
          <w:b w:val="1"/>
          <w:bCs w:val="1"/>
          <w:color w:val="auto"/>
        </w:rPr>
      </w:pPr>
      <w:r>
        <w:rPr>
          <w:rFonts w:ascii="Arial" w:cs="Arial" w:eastAsia="Arial" w:hAnsi="Arial"/>
          <w:sz w:val="18"/>
          <w:szCs w:val="18"/>
          <w:color w:val="auto"/>
        </w:rPr>
        <w:t>The Purchaser shall be solely responsible for, and shall indemnify and hold harmless the Seller from, all Severance Liabilities arising out of, relating to or in connection with (i) the failure of the Purchaser or any Purchaser Affiliate [***], to any Designated Employee in accordance with Section 9.8(a) and applicable Law or (ii) [***] of any Transferred Employee by the Purchaser, any Purchaser Affiliate or any third-party professional employer organization [***] (the “</w:t>
      </w:r>
      <w:r>
        <w:rPr>
          <w:rFonts w:ascii="Arial" w:cs="Arial" w:eastAsia="Arial" w:hAnsi="Arial"/>
          <w:sz w:val="18"/>
          <w:szCs w:val="18"/>
          <w:b w:val="1"/>
          <w:bCs w:val="1"/>
          <w:color w:val="auto"/>
        </w:rPr>
        <w:t>Purchaser Sole Severance Liabilities</w:t>
      </w:r>
      <w:r>
        <w:rPr>
          <w:rFonts w:ascii="Arial" w:cs="Arial" w:eastAsia="Arial" w:hAnsi="Arial"/>
          <w:sz w:val="18"/>
          <w:szCs w:val="18"/>
          <w:color w:val="auto"/>
        </w:rPr>
        <w:t>”). The Seller shall be solely responsible for, and shall indemnify and hold harmless the Purchaser from, (i) all Severance Liabilities relating to any Non-Designated Employee and (ii) any Excess Severance Liability (the “</w:t>
      </w:r>
      <w:r>
        <w:rPr>
          <w:rFonts w:ascii="Arial" w:cs="Arial" w:eastAsia="Arial" w:hAnsi="Arial"/>
          <w:sz w:val="18"/>
          <w:szCs w:val="18"/>
          <w:b w:val="1"/>
          <w:bCs w:val="1"/>
          <w:color w:val="auto"/>
        </w:rPr>
        <w:t>Seller Sole Severance Liabilities</w:t>
      </w:r>
      <w:r>
        <w:rPr>
          <w:rFonts w:ascii="Arial" w:cs="Arial" w:eastAsia="Arial" w:hAnsi="Arial"/>
          <w:sz w:val="18"/>
          <w:szCs w:val="18"/>
          <w:color w:val="auto"/>
        </w:rPr>
        <w:t>”). With respect to any Severance Liabilities (other than the Purchaser Sole Severance Liabilities and the Seller Sole Severance Liabilities) arising out of, relating to or in connection with any Designated Employee’s (an “</w:t>
      </w:r>
      <w:r>
        <w:rPr>
          <w:rFonts w:ascii="Arial" w:cs="Arial" w:eastAsia="Arial" w:hAnsi="Arial"/>
          <w:sz w:val="18"/>
          <w:szCs w:val="18"/>
          <w:b w:val="1"/>
          <w:bCs w:val="1"/>
          <w:color w:val="auto"/>
        </w:rPr>
        <w:t>Objecting Employee</w:t>
      </w:r>
      <w:r>
        <w:rPr>
          <w:rFonts w:ascii="Arial" w:cs="Arial" w:eastAsia="Arial" w:hAnsi="Arial"/>
          <w:sz w:val="18"/>
          <w:szCs w:val="18"/>
          <w:color w:val="auto"/>
        </w:rPr>
        <w:t xml:space="preserve">”) (i) [***], (ii) [***] set forth on the Offer Calendar or (iii) [***] (including in each case as a result of such [***] as those under which such Designated Employee is employed with Seller or a Seller Affiliate immediately prior to the Closing Date) (“the </w:t>
      </w:r>
      <w:r>
        <w:rPr>
          <w:rFonts w:ascii="Arial" w:cs="Arial" w:eastAsia="Arial" w:hAnsi="Arial"/>
          <w:sz w:val="18"/>
          <w:szCs w:val="18"/>
          <w:b w:val="1"/>
          <w:bCs w:val="1"/>
          <w:color w:val="auto"/>
        </w:rPr>
        <w:t>Objecting Employee Severance Liabilities</w:t>
      </w:r>
      <w:r>
        <w:rPr>
          <w:rFonts w:ascii="Arial" w:cs="Arial" w:eastAsia="Arial" w:hAnsi="Arial"/>
          <w:sz w:val="18"/>
          <w:szCs w:val="18"/>
          <w:color w:val="auto"/>
        </w:rPr>
        <w:t>”) the following shall apply: (A) the Seller shall be solely responsible for, and shall indemnify and hold harmless the Purchaser from any Objecting Employee Severance Liabilities in an amount up to $[***] less the [***] (if any) (such difference, the “</w:t>
      </w:r>
      <w:r>
        <w:rPr>
          <w:rFonts w:ascii="Arial" w:cs="Arial" w:eastAsia="Arial" w:hAnsi="Arial"/>
          <w:sz w:val="18"/>
          <w:szCs w:val="18"/>
          <w:b w:val="1"/>
          <w:bCs w:val="1"/>
          <w:color w:val="auto"/>
        </w:rPr>
        <w:t>Seller Cap</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 Cap shall be no less than $0); (B) the Purchaser shall be solely responsible for, and shall indemnify and hold harmless the Seller from any Objecting Employee Severance Liabilities exceeding the Seller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Purchaser’s liability under this clause (B) shall be capped at an amount of $[***] less the [***] (such difference the “</w:t>
      </w:r>
      <w:r>
        <w:rPr>
          <w:rFonts w:ascii="Arial" w:cs="Arial" w:eastAsia="Arial" w:hAnsi="Arial"/>
          <w:sz w:val="18"/>
          <w:szCs w:val="18"/>
          <w:b w:val="1"/>
          <w:bCs w:val="1"/>
          <w:color w:val="auto"/>
        </w:rPr>
        <w:t>Purchaser Cap</w:t>
      </w:r>
      <w:r>
        <w:rPr>
          <w:rFonts w:ascii="Arial" w:cs="Arial" w:eastAsia="Arial" w:hAnsi="Arial"/>
          <w:sz w:val="18"/>
          <w:szCs w:val="18"/>
          <w:color w:val="auto"/>
        </w:rPr>
        <w:t>” and the sum of the Seller Cap plus the Purchaser Cap, the “</w:t>
      </w:r>
      <w:r>
        <w:rPr>
          <w:rFonts w:ascii="Arial" w:cs="Arial" w:eastAsia="Arial" w:hAnsi="Arial"/>
          <w:sz w:val="18"/>
          <w:szCs w:val="18"/>
          <w:b w:val="1"/>
          <w:bCs w:val="1"/>
          <w:color w:val="auto"/>
        </w:rPr>
        <w:t>Combined Cap</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Purchaser Cap shall be no less than $0); and (C) the Seller and the Purchaser shall [***] any Objecting Employee Severance Liabilities</w:t>
      </w:r>
    </w:p>
    <w:p>
      <w:pPr>
        <w:spacing w:after="0" w:line="3" w:lineRule="exact"/>
        <w:rPr>
          <w:rFonts w:ascii="Arial" w:cs="Arial" w:eastAsia="Arial" w:hAnsi="Arial"/>
          <w:sz w:val="18"/>
          <w:szCs w:val="18"/>
          <w:b w:val="1"/>
          <w:bCs w:val="1"/>
          <w:color w:val="auto"/>
        </w:rPr>
      </w:pPr>
    </w:p>
    <w:p>
      <w:pPr>
        <w:ind w:left="480" w:hanging="472"/>
        <w:spacing w:after="0"/>
        <w:tabs>
          <w:tab w:leader="none" w:pos="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Shared Severance Liabilities</w:t>
      </w:r>
      <w:r>
        <w:rPr>
          <w:rFonts w:ascii="Arial" w:cs="Arial" w:eastAsia="Arial" w:hAnsi="Arial"/>
          <w:sz w:val="18"/>
          <w:szCs w:val="18"/>
          <w:color w:val="auto"/>
        </w:rPr>
        <w:t>”). The Seller’s Liabilities described in clause (A) of this Section 9.8(c), the Seller Sole Severance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Liabilities and the Seller’s share of the Shared Severance Liabilities are herein referred to as the “</w:t>
      </w:r>
      <w:r>
        <w:rPr>
          <w:rFonts w:ascii="Arial" w:cs="Arial" w:eastAsia="Arial" w:hAnsi="Arial"/>
          <w:sz w:val="19"/>
          <w:szCs w:val="19"/>
          <w:b w:val="1"/>
          <w:bCs w:val="1"/>
          <w:color w:val="auto"/>
        </w:rPr>
        <w:t>Seller Severance Liabilities</w:t>
      </w:r>
      <w:r>
        <w:rPr>
          <w:rFonts w:ascii="Arial" w:cs="Arial" w:eastAsia="Arial" w:hAnsi="Arial"/>
          <w:sz w:val="19"/>
          <w:szCs w:val="19"/>
          <w:color w:val="auto"/>
        </w:rPr>
        <w:t>”; the Purchaser’s Liabilities described in clause (B) of this Section 9.8(c), the Purchaser Sole Severance Liabilities and the Purchaser’s share of the Shared Severance Liabilities are herein referred to as the “</w:t>
      </w:r>
      <w:r>
        <w:rPr>
          <w:rFonts w:ascii="Arial" w:cs="Arial" w:eastAsia="Arial" w:hAnsi="Arial"/>
          <w:sz w:val="19"/>
          <w:szCs w:val="19"/>
          <w:b w:val="1"/>
          <w:bCs w:val="1"/>
          <w:color w:val="auto"/>
        </w:rPr>
        <w:t>Purchaser Severance Liabilities</w:t>
      </w:r>
      <w:r>
        <w:rPr>
          <w:rFonts w:ascii="Arial" w:cs="Arial" w:eastAsia="Arial" w:hAnsi="Arial"/>
          <w:sz w:val="19"/>
          <w:szCs w:val="19"/>
          <w:color w:val="auto"/>
        </w:rPr>
        <w:t>”.</w:t>
      </w:r>
    </w:p>
    <w:p>
      <w:pPr>
        <w:spacing w:after="0" w:line="172" w:lineRule="exact"/>
        <w:rPr>
          <w:sz w:val="20"/>
          <w:szCs w:val="20"/>
          <w:color w:val="auto"/>
        </w:rPr>
      </w:pPr>
    </w:p>
    <w:p>
      <w:pPr>
        <w:jc w:val="both"/>
        <w:ind w:firstLine="2254"/>
        <w:spacing w:after="0" w:line="274" w:lineRule="auto"/>
        <w:tabs>
          <w:tab w:leader="none" w:pos="2642" w:val="left"/>
        </w:tabs>
        <w:numPr>
          <w:ilvl w:val="2"/>
          <w:numId w:val="164"/>
        </w:numPr>
        <w:rPr>
          <w:rFonts w:ascii="Arial" w:cs="Arial" w:eastAsia="Arial" w:hAnsi="Arial"/>
          <w:sz w:val="18"/>
          <w:szCs w:val="18"/>
          <w:b w:val="1"/>
          <w:bCs w:val="1"/>
          <w:color w:val="auto"/>
        </w:rPr>
      </w:pPr>
      <w:r>
        <w:rPr>
          <w:rFonts w:ascii="Arial" w:cs="Arial" w:eastAsia="Arial" w:hAnsi="Arial"/>
          <w:sz w:val="18"/>
          <w:szCs w:val="18"/>
          <w:color w:val="auto"/>
        </w:rPr>
        <w:t xml:space="preserve">The Purchaser may offer any Designated Employee [***] a signing bonus (each, a “[***] </w:t>
      </w:r>
      <w:r>
        <w:rPr>
          <w:rFonts w:ascii="Arial" w:cs="Arial" w:eastAsia="Arial" w:hAnsi="Arial"/>
          <w:sz w:val="18"/>
          <w:szCs w:val="18"/>
          <w:b w:val="1"/>
          <w:bCs w:val="1"/>
          <w:color w:val="auto"/>
        </w:rPr>
        <w:t>Signing Bonus</w:t>
      </w:r>
      <w:r>
        <w:rPr>
          <w:rFonts w:ascii="Arial" w:cs="Arial" w:eastAsia="Arial" w:hAnsi="Arial"/>
          <w:sz w:val="18"/>
          <w:szCs w:val="18"/>
          <w:color w:val="auto"/>
        </w:rPr>
        <w:t>”) in their Employment Offer in an amount [***] on the list labeled “[***]” provided from the Seller to the Purchaser on the date of this Agreement. Subject to Section 9.8(c), the Seller shall be solely responsible for, and shall indemnify and hold harmless the Purchaser from,</w:t>
      </w:r>
    </w:p>
    <w:p>
      <w:pPr>
        <w:spacing w:after="0" w:line="1" w:lineRule="exact"/>
        <w:rPr>
          <w:rFonts w:ascii="Arial" w:cs="Arial" w:eastAsia="Arial" w:hAnsi="Arial"/>
          <w:sz w:val="18"/>
          <w:szCs w:val="18"/>
          <w:b w:val="1"/>
          <w:bCs w:val="1"/>
          <w:color w:val="auto"/>
        </w:rPr>
      </w:pPr>
    </w:p>
    <w:p>
      <w:pPr>
        <w:jc w:val="both"/>
        <w:ind w:firstLine="8"/>
        <w:spacing w:after="0" w:line="241" w:lineRule="auto"/>
        <w:tabs>
          <w:tab w:leader="none" w:pos="50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of the cost of any [***] Signing Bonus (the aggregate Seller liability pursuant to this sentence, the “</w:t>
      </w:r>
      <w:r>
        <w:rPr>
          <w:rFonts w:ascii="Arial" w:cs="Arial" w:eastAsia="Arial" w:hAnsi="Arial"/>
          <w:sz w:val="20"/>
          <w:szCs w:val="20"/>
          <w:b w:val="1"/>
          <w:bCs w:val="1"/>
          <w:color w:val="auto"/>
        </w:rPr>
        <w:t>Seller</w:t>
      </w:r>
      <w:r>
        <w:rPr>
          <w:rFonts w:ascii="Arial" w:cs="Arial" w:eastAsia="Arial" w:hAnsi="Arial"/>
          <w:sz w:val="20"/>
          <w:szCs w:val="20"/>
          <w:color w:val="auto"/>
        </w:rPr>
        <w:t xml:space="preserve"> [***] </w:t>
      </w:r>
      <w:r>
        <w:rPr>
          <w:rFonts w:ascii="Arial" w:cs="Arial" w:eastAsia="Arial" w:hAnsi="Arial"/>
          <w:sz w:val="20"/>
          <w:szCs w:val="20"/>
          <w:b w:val="1"/>
          <w:bCs w:val="1"/>
          <w:color w:val="auto"/>
        </w:rPr>
        <w:t>Signing Bonus</w:t>
      </w:r>
      <w:r>
        <w:rPr>
          <w:rFonts w:ascii="Arial" w:cs="Arial" w:eastAsia="Arial" w:hAnsi="Arial"/>
          <w:sz w:val="20"/>
          <w:szCs w:val="20"/>
          <w:color w:val="auto"/>
        </w:rPr>
        <w:t xml:space="preserve"> </w:t>
      </w:r>
      <w:r>
        <w:rPr>
          <w:rFonts w:ascii="Arial" w:cs="Arial" w:eastAsia="Arial" w:hAnsi="Arial"/>
          <w:sz w:val="20"/>
          <w:szCs w:val="20"/>
          <w:b w:val="1"/>
          <w:bCs w:val="1"/>
          <w:color w:val="auto"/>
        </w:rPr>
        <w:t>Reimbursement</w:t>
      </w:r>
      <w:r>
        <w:rPr>
          <w:rFonts w:ascii="Arial" w:cs="Arial" w:eastAsia="Arial" w:hAnsi="Arial"/>
          <w:sz w:val="20"/>
          <w:szCs w:val="20"/>
          <w:color w:val="auto"/>
        </w:rPr>
        <w:t>” and the aggregate remaining Purchaser liability for the [***] Signing Bonuses, the “</w:t>
      </w:r>
      <w:r>
        <w:rPr>
          <w:rFonts w:ascii="Arial" w:cs="Arial" w:eastAsia="Arial" w:hAnsi="Arial"/>
          <w:sz w:val="20"/>
          <w:szCs w:val="20"/>
          <w:b w:val="1"/>
          <w:bCs w:val="1"/>
          <w:color w:val="auto"/>
        </w:rPr>
        <w:t xml:space="preserve">Purchaser </w:t>
      </w:r>
      <w:r>
        <w:rPr>
          <w:rFonts w:ascii="Arial" w:cs="Arial" w:eastAsia="Arial" w:hAnsi="Arial"/>
          <w:sz w:val="20"/>
          <w:szCs w:val="20"/>
          <w:color w:val="auto"/>
        </w:rPr>
        <w:t>[***]</w:t>
      </w:r>
      <w:r>
        <w:rPr>
          <w:rFonts w:ascii="Arial" w:cs="Arial" w:eastAsia="Arial" w:hAnsi="Arial"/>
          <w:sz w:val="20"/>
          <w:szCs w:val="20"/>
          <w:b w:val="1"/>
          <w:bCs w:val="1"/>
          <w:color w:val="auto"/>
        </w:rPr>
        <w:t xml:space="preserve"> Signing Bonus Cost</w:t>
      </w:r>
      <w:r>
        <w:rPr>
          <w:rFonts w:ascii="Arial" w:cs="Arial" w:eastAsia="Arial" w:hAnsi="Arial"/>
          <w:sz w:val="20"/>
          <w:szCs w:val="20"/>
          <w:color w:val="auto"/>
        </w:rPr>
        <w:t>”). The Purchaser shall be solely responsible for, and shall indemnify and hold harmless the Seller from, the Purchaser [***] Signing</w:t>
      </w:r>
      <w:r>
        <w:rPr>
          <w:rFonts w:ascii="Arial" w:cs="Arial" w:eastAsia="Arial" w:hAnsi="Arial"/>
          <w:sz w:val="20"/>
          <w:szCs w:val="20"/>
          <w:b w:val="1"/>
          <w:bCs w:val="1"/>
          <w:color w:val="auto"/>
        </w:rPr>
        <w:t xml:space="preserve"> </w:t>
      </w:r>
      <w:r>
        <w:rPr>
          <w:rFonts w:ascii="Arial" w:cs="Arial" w:eastAsia="Arial" w:hAnsi="Arial"/>
          <w:sz w:val="20"/>
          <w:szCs w:val="20"/>
          <w:color w:val="auto"/>
        </w:rPr>
        <w:t>Bonus Cost.</w:t>
      </w:r>
    </w:p>
    <w:p>
      <w:pPr>
        <w:spacing w:after="0" w:line="188" w:lineRule="exact"/>
        <w:rPr>
          <w:rFonts w:ascii="Arial" w:cs="Arial" w:eastAsia="Arial" w:hAnsi="Arial"/>
          <w:sz w:val="20"/>
          <w:szCs w:val="20"/>
          <w:color w:val="auto"/>
        </w:rPr>
      </w:pPr>
    </w:p>
    <w:p>
      <w:pPr>
        <w:jc w:val="both"/>
        <w:ind w:firstLine="1505"/>
        <w:spacing w:after="0" w:line="248" w:lineRule="auto"/>
        <w:tabs>
          <w:tab w:leader="none" w:pos="1893" w:val="left"/>
        </w:tabs>
        <w:numPr>
          <w:ilvl w:val="1"/>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COBRA. </w:t>
      </w:r>
      <w:r>
        <w:rPr>
          <w:rFonts w:ascii="Arial" w:cs="Arial" w:eastAsia="Arial" w:hAnsi="Arial"/>
          <w:sz w:val="20"/>
          <w:szCs w:val="20"/>
          <w:color w:val="auto"/>
        </w:rPr>
        <w:t>The Seller is wholly responsible for complying with all applicable health care continuation coverage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under COBRA and related state Laws with respect to the employees of the Seller and the Seller Affiliates as to qualifying events that occur on or prior to the Closing Date, and the Purchaser is wholly responsible for complying with such coverage requirements with respect</w:t>
      </w:r>
    </w:p>
    <w:p>
      <w:pPr>
        <w:spacing w:after="0" w:line="189"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9" w:name="page160"/>
    <w:bookmarkEnd w:id="159"/>
    <w:p>
      <w:pPr>
        <w:ind w:right="420" w:firstLine="8"/>
        <w:spacing w:after="0" w:line="293" w:lineRule="auto"/>
        <w:tabs>
          <w:tab w:leader="none" w:pos="352" w:val="left"/>
        </w:tabs>
        <w:numPr>
          <w:ilvl w:val="0"/>
          <w:numId w:val="16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to employees employed by the Purchaser, the Purchaser Affiliates or any third party professional employer organization from and after the Closing Date who have qualifying events that occur after the Closing.</w:t>
      </w:r>
    </w:p>
    <w:p>
      <w:pPr>
        <w:spacing w:after="0" w:line="171" w:lineRule="exact"/>
        <w:rPr>
          <w:sz w:val="20"/>
          <w:szCs w:val="20"/>
          <w:color w:val="auto"/>
        </w:rPr>
      </w:pPr>
    </w:p>
    <w:p>
      <w:pPr>
        <w:jc w:val="both"/>
        <w:ind w:firstLine="1505"/>
        <w:spacing w:after="0" w:line="277" w:lineRule="auto"/>
        <w:tabs>
          <w:tab w:leader="none" w:pos="1893"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Mutual Cooperation. </w:t>
      </w:r>
      <w:r>
        <w:rPr>
          <w:rFonts w:ascii="Arial" w:cs="Arial" w:eastAsia="Arial" w:hAnsi="Arial"/>
          <w:sz w:val="18"/>
          <w:szCs w:val="18"/>
          <w:color w:val="auto"/>
        </w:rPr>
        <w:t>Subject to applicable Law (including any privacy Laws), and the Parties’ execution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appropriate personal data transfer agreement, the Seller and each Seller Affiliate shall provide promptly to the Purchaser, at the Purchaser’s request, any information or copies of personnel records (including addresses, dates of birth, dates of hire and dependent information) relating to the Transferred Employees or relating to the service of Transferred Employees with the Seller (and predecessors and Affiliates of the Seller) prior to the Closing Date. The Seller and the Purchaser shall each cooperate with the other and shall provide to the other such documentation, information and assistance as is reasonably necessary to effect the provisions of this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59" w:lineRule="exact"/>
        <w:rPr>
          <w:rFonts w:ascii="Arial" w:cs="Arial" w:eastAsia="Arial" w:hAnsi="Arial"/>
          <w:sz w:val="18"/>
          <w:szCs w:val="18"/>
          <w:b w:val="1"/>
          <w:bCs w:val="1"/>
          <w:color w:val="auto"/>
        </w:rPr>
      </w:pPr>
    </w:p>
    <w:p>
      <w:pPr>
        <w:jc w:val="both"/>
        <w:ind w:firstLine="1505"/>
        <w:spacing w:after="0" w:line="271" w:lineRule="auto"/>
        <w:tabs>
          <w:tab w:leader="none" w:pos="1893"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w:t>
      </w:r>
      <w:r>
        <w:rPr>
          <w:rFonts w:ascii="Arial" w:cs="Arial" w:eastAsia="Arial" w:hAnsi="Arial"/>
          <w:sz w:val="18"/>
          <w:szCs w:val="18"/>
          <w:color w:val="auto"/>
        </w:rPr>
        <w:t>Except as otherwise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9.8</w:t>
      </w:r>
      <w:r>
        <w:rPr>
          <w:rFonts w:ascii="Arial" w:cs="Arial" w:eastAsia="Arial" w:hAnsi="Arial"/>
          <w:sz w:val="18"/>
          <w:szCs w:val="18"/>
          <w:color w:val="auto"/>
        </w:rPr>
        <w:t>, the Seller and its Affiliates shall retain all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respect of any employee benefit plan of any kind or nature which any of them has sponsored, sponsors, has contributed to or contributes to, whether incurred on, prior to, or after the Closing Date. No assets or liabilities of any employee benefit plan shall be transferred to the Purchaser or any of its Affiliates or any employee benefit plan maintained by any of them except as specified in </w:t>
      </w:r>
      <w:r>
        <w:rPr>
          <w:rFonts w:ascii="Arial" w:cs="Arial" w:eastAsia="Arial" w:hAnsi="Arial"/>
          <w:sz w:val="18"/>
          <w:szCs w:val="18"/>
          <w:u w:val="single" w:color="auto"/>
          <w:color w:val="auto"/>
        </w:rPr>
        <w:t>Section 9.8</w:t>
      </w:r>
      <w:r>
        <w:rPr>
          <w:rFonts w:ascii="Arial" w:cs="Arial" w:eastAsia="Arial" w:hAnsi="Arial"/>
          <w:sz w:val="18"/>
          <w:szCs w:val="18"/>
          <w:color w:val="auto"/>
        </w:rPr>
        <w:t>. All claims incurred by Transferred Employees or their covered dependents on or prior to the Closing Date under any employee benefit plan sponsored by any Seller or Seller Affiliate or to which any Seller or Seller Affiliate contributes shall be covered pursuant to the terms and conditions of such benefit plans. For purposes of this Agreement, (i) a claim for health benefits will be deemed to have been incurred on the date on which the related medical service or material was rendered to or received by the individual claiming such benefit, (ii) a claim for sickness, accident or disability benefits based on an injury or illness occurring on or prior to the Closing Date will be deemed to have been incurred prior to the Closing Date and (iii) in the case of any claim for benefits other than health, sickness, accident or disability benefits (e.g., life insurance benefits), a claim will be deemed to have been incurred upon the occurrence of the event giving rise to such claim.</w:t>
      </w:r>
    </w:p>
    <w:p>
      <w:pPr>
        <w:spacing w:after="0" w:line="169" w:lineRule="exact"/>
        <w:rPr>
          <w:rFonts w:ascii="Arial" w:cs="Arial" w:eastAsia="Arial" w:hAnsi="Arial"/>
          <w:sz w:val="18"/>
          <w:szCs w:val="18"/>
          <w:b w:val="1"/>
          <w:bCs w:val="1"/>
          <w:color w:val="auto"/>
        </w:rPr>
      </w:pPr>
    </w:p>
    <w:p>
      <w:pPr>
        <w:jc w:val="both"/>
        <w:ind w:firstLine="1505"/>
        <w:spacing w:after="0" w:line="245" w:lineRule="auto"/>
        <w:tabs>
          <w:tab w:leader="none" w:pos="1893"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Third-Party Beneficiaries. </w:t>
      </w:r>
      <w:r>
        <w:rPr>
          <w:rFonts w:ascii="Arial" w:cs="Arial" w:eastAsia="Arial" w:hAnsi="Arial"/>
          <w:sz w:val="20"/>
          <w:szCs w:val="20"/>
          <w:color w:val="auto"/>
        </w:rPr>
        <w:t>Notwithstanding anything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b w:val="1"/>
          <w:bCs w:val="1"/>
          <w:color w:val="auto"/>
        </w:rPr>
        <w:t xml:space="preserve"> </w:t>
      </w:r>
      <w:r>
        <w:rPr>
          <w:rFonts w:ascii="Arial" w:cs="Arial" w:eastAsia="Arial" w:hAnsi="Arial"/>
          <w:sz w:val="20"/>
          <w:szCs w:val="20"/>
          <w:color w:val="auto"/>
        </w:rPr>
        <w:t>to the contrary, nothing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herein, whether express or implied, shall be treated as an establishment, amendment or other modification of any benefit plan. The Seller and the Purchaser acknowledge and agree that all provisions contained in </w:t>
      </w:r>
      <w:r>
        <w:rPr>
          <w:rFonts w:ascii="Arial" w:cs="Arial" w:eastAsia="Arial" w:hAnsi="Arial"/>
          <w:sz w:val="20"/>
          <w:szCs w:val="20"/>
          <w:u w:val="single" w:color="auto"/>
          <w:color w:val="auto"/>
        </w:rPr>
        <w:t>Section 9.8(a)-(f)</w:t>
      </w:r>
      <w:r>
        <w:rPr>
          <w:rFonts w:ascii="Arial" w:cs="Arial" w:eastAsia="Arial" w:hAnsi="Arial"/>
          <w:sz w:val="20"/>
          <w:szCs w:val="20"/>
          <w:color w:val="auto"/>
        </w:rPr>
        <w:t xml:space="preserve"> are included for their sole benefit, and that nothing in </w:t>
      </w:r>
      <w:r>
        <w:rPr>
          <w:rFonts w:ascii="Arial" w:cs="Arial" w:eastAsia="Arial" w:hAnsi="Arial"/>
          <w:sz w:val="20"/>
          <w:szCs w:val="20"/>
          <w:u w:val="single" w:color="auto"/>
          <w:color w:val="auto"/>
        </w:rPr>
        <w:t>Section 9.8(a)-(f)</w:t>
      </w:r>
      <w:r>
        <w:rPr>
          <w:rFonts w:ascii="Arial" w:cs="Arial" w:eastAsia="Arial" w:hAnsi="Arial"/>
          <w:sz w:val="20"/>
          <w:szCs w:val="20"/>
          <w:color w:val="auto"/>
        </w:rPr>
        <w:t>, whether express or implied, shall create any third party beneficiary or other rights in any other Person, including any employee of the Seller or the Seller Affiliates, any participant in any benefit plan or employee benefit plan of the Seller or the Seller Affiliates, or any dependent or beneficiary thereof.</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 xml:space="preserve">9.9 Retention of and Access to Records. </w:t>
      </w:r>
      <w:r>
        <w:rPr>
          <w:rFonts w:ascii="Arial" w:cs="Arial" w:eastAsia="Arial" w:hAnsi="Arial"/>
          <w:sz w:val="20"/>
          <w:szCs w:val="20"/>
          <w:color w:val="auto"/>
        </w:rPr>
        <w:t>Each of the Parties shall preserve, for a period consistent with each Party’s record</w:t>
      </w:r>
      <w:r>
        <w:rPr>
          <w:rFonts w:ascii="Arial" w:cs="Arial" w:eastAsia="Arial" w:hAnsi="Arial"/>
          <w:sz w:val="20"/>
          <w:szCs w:val="20"/>
          <w:b w:val="1"/>
          <w:bCs w:val="1"/>
          <w:color w:val="auto"/>
        </w:rPr>
        <w:t xml:space="preserve"> </w:t>
      </w:r>
      <w:r>
        <w:rPr>
          <w:rFonts w:ascii="Arial" w:cs="Arial" w:eastAsia="Arial" w:hAnsi="Arial"/>
          <w:sz w:val="20"/>
          <w:szCs w:val="20"/>
          <w:color w:val="auto"/>
        </w:rPr>
        <w:t>retention policies or such longer period as required under applicable Law, all pre Closing records possessed or to be possessed by such Party to the extent relating to the Business. After the Closing Date, for a period consistent with each Party’s record retention policies or such longer period as required under applicable Law, upon any reasonable request from a Party or its Representatives, the Party holding such records shall:</w:t>
      </w:r>
    </w:p>
    <w:p>
      <w:pPr>
        <w:spacing w:after="0" w:line="191" w:lineRule="exact"/>
        <w:rPr>
          <w:sz w:val="20"/>
          <w:szCs w:val="20"/>
          <w:color w:val="auto"/>
        </w:rPr>
      </w:pPr>
    </w:p>
    <w:p>
      <w:pPr>
        <w:ind w:left="1900" w:hanging="395"/>
        <w:spacing w:after="0"/>
        <w:tabs>
          <w:tab w:leader="none" w:pos="190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provide to the requesting Party or its Representatives reasonable access to such records during normal business hours;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firstLine="1505"/>
        <w:spacing w:after="0" w:line="260" w:lineRule="auto"/>
        <w:tabs>
          <w:tab w:leader="none" w:pos="1920" w:val="left"/>
        </w:tabs>
        <w:numPr>
          <w:ilvl w:val="0"/>
          <w:numId w:val="169"/>
        </w:numPr>
        <w:rPr>
          <w:rFonts w:ascii="Arial" w:cs="Arial" w:eastAsia="Arial" w:hAnsi="Arial"/>
          <w:sz w:val="20"/>
          <w:szCs w:val="20"/>
          <w:b w:val="1"/>
          <w:bCs w:val="1"/>
          <w:color w:val="auto"/>
        </w:rPr>
      </w:pPr>
      <w:r>
        <w:rPr>
          <w:rFonts w:ascii="Arial" w:cs="Arial" w:eastAsia="Arial" w:hAnsi="Arial"/>
          <w:sz w:val="20"/>
          <w:szCs w:val="20"/>
          <w:color w:val="auto"/>
        </w:rPr>
        <w:t xml:space="preserve">permit the requesting Party or its Representatives to make copies of such records, in each case at no cost to the requesting Party or its Representatives (other than for reasonable out-of-pocket expenses);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7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0" w:name="page161"/>
    <w:bookmarkEnd w:id="160"/>
    <w:p>
      <w:pPr>
        <w:ind w:left="-8" w:right="420" w:firstLine="8"/>
        <w:spacing w:after="0" w:line="293" w:lineRule="auto"/>
        <w:tabs>
          <w:tab w:leader="none" w:pos="344" w:val="left"/>
        </w:tabs>
        <w:numPr>
          <w:ilvl w:val="0"/>
          <w:numId w:val="17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left="-8" w:firstLine="2254"/>
        <w:spacing w:after="0" w:line="250" w:lineRule="auto"/>
        <w:tabs>
          <w:tab w:leader="none" w:pos="2661" w:val="left"/>
        </w:tabs>
        <w:numPr>
          <w:ilvl w:val="2"/>
          <w:numId w:val="170"/>
        </w:numPr>
        <w:rPr>
          <w:rFonts w:ascii="Arial" w:cs="Arial" w:eastAsia="Arial" w:hAnsi="Arial"/>
          <w:sz w:val="20"/>
          <w:szCs w:val="20"/>
          <w:b w:val="1"/>
          <w:bCs w:val="1"/>
          <w:color w:val="auto"/>
        </w:rPr>
      </w:pPr>
      <w:r>
        <w:rPr>
          <w:rFonts w:ascii="Arial" w:cs="Arial" w:eastAsia="Arial" w:hAnsi="Arial"/>
          <w:sz w:val="20"/>
          <w:szCs w:val="20"/>
          <w:color w:val="auto"/>
        </w:rPr>
        <w:t>nothing herein shall require the Seller or any Seller Affiliates to make available to the Purchaser or its Representatives, or provide the Purchaser or its Representatives with, Tax Return filed by the Seller or any of its Affiliates or predecessors or any related material that does not relate solely to the Purchased Assets or the Business;</w:t>
      </w:r>
    </w:p>
    <w:p>
      <w:pPr>
        <w:spacing w:after="0" w:line="185" w:lineRule="exact"/>
        <w:rPr>
          <w:rFonts w:ascii="Arial" w:cs="Arial" w:eastAsia="Arial" w:hAnsi="Arial"/>
          <w:sz w:val="20"/>
          <w:szCs w:val="20"/>
          <w:b w:val="1"/>
          <w:bCs w:val="1"/>
          <w:color w:val="auto"/>
        </w:rPr>
      </w:pPr>
    </w:p>
    <w:p>
      <w:pPr>
        <w:jc w:val="both"/>
        <w:ind w:left="-8" w:firstLine="2254"/>
        <w:spacing w:after="0" w:line="246" w:lineRule="auto"/>
        <w:tabs>
          <w:tab w:leader="none" w:pos="2647" w:val="left"/>
        </w:tabs>
        <w:numPr>
          <w:ilvl w:val="2"/>
          <w:numId w:val="170"/>
        </w:numPr>
        <w:rPr>
          <w:rFonts w:ascii="Arial" w:cs="Arial" w:eastAsia="Arial" w:hAnsi="Arial"/>
          <w:sz w:val="20"/>
          <w:szCs w:val="20"/>
          <w:b w:val="1"/>
          <w:bCs w:val="1"/>
          <w:color w:val="auto"/>
        </w:rPr>
      </w:pPr>
      <w:r>
        <w:rPr>
          <w:rFonts w:ascii="Arial" w:cs="Arial" w:eastAsia="Arial" w:hAnsi="Arial"/>
          <w:sz w:val="20"/>
          <w:szCs w:val="20"/>
          <w:color w:val="auto"/>
        </w:rPr>
        <w:t>nothing herein shall require either Party to disclose any information to the other if such disclosure would jeopardize any attorney client or other legal privilege or contravene any applicable Law or legal obligation (it being understood that each Party shall cooperate in any reasonable efforts and requests for waivers that would enable otherwise required disclosure to the other Party to occur without so jeopardizing privilege or contravening such Law); and</w:t>
      </w:r>
    </w:p>
    <w:p>
      <w:pPr>
        <w:spacing w:after="0" w:line="191" w:lineRule="exact"/>
        <w:rPr>
          <w:rFonts w:ascii="Arial" w:cs="Arial" w:eastAsia="Arial" w:hAnsi="Arial"/>
          <w:sz w:val="20"/>
          <w:szCs w:val="20"/>
          <w:b w:val="1"/>
          <w:bCs w:val="1"/>
          <w:color w:val="auto"/>
        </w:rPr>
      </w:pPr>
    </w:p>
    <w:p>
      <w:pPr>
        <w:jc w:val="both"/>
        <w:ind w:left="-8" w:firstLine="2254"/>
        <w:spacing w:after="0" w:line="246" w:lineRule="auto"/>
        <w:tabs>
          <w:tab w:leader="none" w:pos="2661" w:val="left"/>
        </w:tabs>
        <w:numPr>
          <w:ilvl w:val="2"/>
          <w:numId w:val="170"/>
        </w:numPr>
        <w:rPr>
          <w:rFonts w:ascii="Arial" w:cs="Arial" w:eastAsia="Arial" w:hAnsi="Arial"/>
          <w:sz w:val="20"/>
          <w:szCs w:val="20"/>
          <w:b w:val="1"/>
          <w:bCs w:val="1"/>
          <w:color w:val="auto"/>
        </w:rPr>
      </w:pPr>
      <w:r>
        <w:rPr>
          <w:rFonts w:ascii="Arial" w:cs="Arial" w:eastAsia="Arial" w:hAnsi="Arial"/>
          <w:sz w:val="20"/>
          <w:szCs w:val="20"/>
          <w:color w:val="auto"/>
        </w:rPr>
        <w:t xml:space="preserve">any disclosure permitted under this </w:t>
      </w:r>
      <w:r>
        <w:rPr>
          <w:rFonts w:ascii="Arial" w:cs="Arial" w:eastAsia="Arial" w:hAnsi="Arial"/>
          <w:sz w:val="20"/>
          <w:szCs w:val="20"/>
          <w:u w:val="single" w:color="auto"/>
          <w:color w:val="auto"/>
        </w:rPr>
        <w:t>Section 9.9</w:t>
      </w:r>
      <w:r>
        <w:rPr>
          <w:rFonts w:ascii="Arial" w:cs="Arial" w:eastAsia="Arial" w:hAnsi="Arial"/>
          <w:sz w:val="20"/>
          <w:szCs w:val="20"/>
          <w:color w:val="auto"/>
        </w:rPr>
        <w:t xml:space="preserve"> will be subject to the respective Party’s confidentiality obligations hereunder. Such records may be sought under this </w:t>
      </w:r>
      <w:r>
        <w:rPr>
          <w:rFonts w:ascii="Arial" w:cs="Arial" w:eastAsia="Arial" w:hAnsi="Arial"/>
          <w:sz w:val="20"/>
          <w:szCs w:val="20"/>
          <w:u w:val="single" w:color="auto"/>
          <w:color w:val="auto"/>
        </w:rPr>
        <w:t>Section 9.9</w:t>
      </w:r>
      <w:r>
        <w:rPr>
          <w:rFonts w:ascii="Arial" w:cs="Arial" w:eastAsia="Arial" w:hAnsi="Arial"/>
          <w:sz w:val="20"/>
          <w:szCs w:val="20"/>
          <w:color w:val="auto"/>
        </w:rPr>
        <w:t xml:space="preserve"> for any reasonable business purpose, including to the extent reasonably required in connection with the audit, accounting, Tax, litigation, federal securities disclosure or other similar needs of the Party seeking such records.</w:t>
      </w:r>
    </w:p>
    <w:p>
      <w:pPr>
        <w:spacing w:after="0" w:line="191" w:lineRule="exact"/>
        <w:rPr>
          <w:rFonts w:ascii="Arial" w:cs="Arial" w:eastAsia="Arial" w:hAnsi="Arial"/>
          <w:sz w:val="20"/>
          <w:szCs w:val="20"/>
          <w:b w:val="1"/>
          <w:bCs w:val="1"/>
          <w:color w:val="auto"/>
        </w:rPr>
      </w:pPr>
    </w:p>
    <w:p>
      <w:pPr>
        <w:jc w:val="both"/>
        <w:ind w:left="-8" w:firstLine="1505"/>
        <w:spacing w:after="0" w:line="243" w:lineRule="auto"/>
        <w:tabs>
          <w:tab w:leader="none" w:pos="1899"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for a period of [***] following the Closing, any and all such records relating to the Business may be destroyed by a Party only if such destroying Party sends to the other Party written notice of its intent to destroy such records, specifying in reasonable detail the contents of the records to be destroyed; such records may then be destroyed after the [***] following such notice unless the other Party notifies the destroying Party that such other Party desires to obtain possession of such records, in which event the destroying Party shall transfer the records to such requesting Party and such requesting Party shall pay all reasonable expenses of the destroying Party in connection therewith.</w:t>
      </w:r>
    </w:p>
    <w:p>
      <w:pPr>
        <w:spacing w:after="0" w:line="190" w:lineRule="exact"/>
        <w:rPr>
          <w:sz w:val="20"/>
          <w:szCs w:val="20"/>
          <w:color w:val="auto"/>
        </w:rPr>
      </w:pPr>
    </w:p>
    <w:p>
      <w:pPr>
        <w:ind w:left="752"/>
        <w:spacing w:after="0"/>
        <w:rPr>
          <w:sz w:val="20"/>
          <w:szCs w:val="20"/>
          <w:color w:val="auto"/>
        </w:rPr>
      </w:pPr>
      <w:r>
        <w:rPr>
          <w:rFonts w:ascii="Arial" w:cs="Arial" w:eastAsia="Arial" w:hAnsi="Arial"/>
          <w:sz w:val="20"/>
          <w:szCs w:val="20"/>
          <w:b w:val="1"/>
          <w:bCs w:val="1"/>
          <w:color w:val="auto"/>
        </w:rPr>
        <w:t>9.10 Trademarks; Trade Names; Service Marks.</w:t>
      </w:r>
    </w:p>
    <w:p>
      <w:pPr>
        <w:spacing w:after="0" w:line="222" w:lineRule="exact"/>
        <w:rPr>
          <w:sz w:val="20"/>
          <w:szCs w:val="20"/>
          <w:color w:val="auto"/>
        </w:rPr>
      </w:pPr>
    </w:p>
    <w:p>
      <w:pPr>
        <w:jc w:val="both"/>
        <w:ind w:left="-8" w:firstLine="1505"/>
        <w:spacing w:after="0" w:line="244" w:lineRule="auto"/>
        <w:tabs>
          <w:tab w:leader="none" w:pos="1885" w:val="left"/>
        </w:tabs>
        <w:numPr>
          <w:ilvl w:val="1"/>
          <w:numId w:val="172"/>
        </w:numPr>
        <w:rPr>
          <w:rFonts w:ascii="Arial" w:cs="Arial" w:eastAsia="Arial" w:hAnsi="Arial"/>
          <w:sz w:val="20"/>
          <w:szCs w:val="20"/>
          <w:b w:val="1"/>
          <w:bCs w:val="1"/>
          <w:color w:val="auto"/>
        </w:rPr>
      </w:pPr>
      <w:r>
        <w:rPr>
          <w:rFonts w:ascii="Arial" w:cs="Arial" w:eastAsia="Arial" w:hAnsi="Arial"/>
          <w:sz w:val="20"/>
          <w:szCs w:val="20"/>
          <w:color w:val="auto"/>
        </w:rPr>
        <w:t>[***] after the Closing Date, the Seller shall (and shall cause each of its Affiliates to) eliminate all use of all of the Marks included in the Product IP (other than as necessary to perform its obligations under this Agreement and any other Transactional Agreements), in any of their forms or spellings, including on all products, signage, vehicles, properties, tools, machinery, advertising, stationery, business cards, checks, purchase orders and acknowledgments, customer agreements and other contracts, business documents and marketing materials in any countries.</w:t>
      </w:r>
    </w:p>
    <w:p>
      <w:pPr>
        <w:spacing w:after="0" w:line="194" w:lineRule="exact"/>
        <w:rPr>
          <w:rFonts w:ascii="Arial" w:cs="Arial" w:eastAsia="Arial" w:hAnsi="Arial"/>
          <w:sz w:val="20"/>
          <w:szCs w:val="20"/>
          <w:b w:val="1"/>
          <w:bCs w:val="1"/>
          <w:color w:val="auto"/>
        </w:rPr>
      </w:pPr>
    </w:p>
    <w:p>
      <w:pPr>
        <w:jc w:val="both"/>
        <w:ind w:left="-8" w:firstLine="1505"/>
        <w:spacing w:after="0" w:line="278" w:lineRule="auto"/>
        <w:tabs>
          <w:tab w:leader="none" w:pos="1885"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 xml:space="preserve">[***] after the Closing Date (and in no event later than [***] thereafter), the Purchaser shall (and shall cause each of its Affiliates to) eliminate all use of all of the Seller Marks, in any of their forms or spellings, including on all products, signage, vehicles, properties, tools, machinery, advertising, stationery, business cards, checks, purchase orders and acknowledgments, customer agreements and other contracts, business documents and marketing materials in any countries. Except as provided under this </w:t>
      </w:r>
      <w:r>
        <w:rPr>
          <w:rFonts w:ascii="Arial" w:cs="Arial" w:eastAsia="Arial" w:hAnsi="Arial"/>
          <w:sz w:val="18"/>
          <w:szCs w:val="18"/>
          <w:u w:val="single" w:color="auto"/>
          <w:color w:val="auto"/>
        </w:rPr>
        <w:t>Section 9.10</w:t>
      </w:r>
      <w:r>
        <w:rPr>
          <w:rFonts w:ascii="Arial" w:cs="Arial" w:eastAsia="Arial" w:hAnsi="Arial"/>
          <w:sz w:val="18"/>
          <w:szCs w:val="18"/>
          <w:color w:val="auto"/>
        </w:rPr>
        <w:t>, no right to use the Seller Marks is granted by the Seller or any Seller Affiliate to the Purchaser or its Affiliates, whether by implication or otherwise.</w:t>
      </w:r>
    </w:p>
    <w:p>
      <w:pPr>
        <w:spacing w:after="0" w:line="164" w:lineRule="exact"/>
        <w:rPr>
          <w:rFonts w:ascii="Arial" w:cs="Arial" w:eastAsia="Arial" w:hAnsi="Arial"/>
          <w:sz w:val="18"/>
          <w:szCs w:val="18"/>
          <w:b w:val="1"/>
          <w:bCs w:val="1"/>
          <w:color w:val="auto"/>
        </w:rPr>
      </w:pPr>
    </w:p>
    <w:p>
      <w:pPr>
        <w:jc w:val="both"/>
        <w:ind w:left="-8" w:firstLine="1505"/>
        <w:spacing w:after="0" w:line="270" w:lineRule="auto"/>
        <w:tabs>
          <w:tab w:leader="none" w:pos="1899"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 xml:space="preserve">Effective as of the Closing, the Seller (on behalf of itself and each applicable Seller Affiliate), hereby grants to the Purchaser and the Purchaser Affiliates a non-exclusive, non-transferable, fully-paid and royalty-free limited license (without the right to sublicense) to use, solely in connection with the conduct of the Business and in the identical manner as used by the Seller prior to the Closing, the Seller Marks for a period commencing on the Closing Date and, subject to </w:t>
      </w:r>
      <w:r>
        <w:rPr>
          <w:rFonts w:ascii="Arial" w:cs="Arial" w:eastAsia="Arial" w:hAnsi="Arial"/>
          <w:sz w:val="18"/>
          <w:szCs w:val="18"/>
          <w:u w:val="single" w:color="auto"/>
          <w:color w:val="auto"/>
        </w:rPr>
        <w:t>Section 9.10(a)</w:t>
      </w:r>
      <w:r>
        <w:rPr>
          <w:rFonts w:ascii="Arial" w:cs="Arial" w:eastAsia="Arial" w:hAnsi="Arial"/>
          <w:sz w:val="18"/>
          <w:szCs w:val="18"/>
          <w:color w:val="auto"/>
        </w:rPr>
        <w:t xml:space="preserve"> above, not to exceed the date that is</w:t>
      </w:r>
    </w:p>
    <w:p>
      <w:pPr>
        <w:spacing w:after="0" w:line="2" w:lineRule="exact"/>
        <w:rPr>
          <w:rFonts w:ascii="Arial" w:cs="Arial" w:eastAsia="Arial" w:hAnsi="Arial"/>
          <w:sz w:val="18"/>
          <w:szCs w:val="18"/>
          <w:b w:val="1"/>
          <w:bCs w:val="1"/>
          <w:color w:val="auto"/>
        </w:rPr>
      </w:pPr>
    </w:p>
    <w:p>
      <w:pPr>
        <w:jc w:val="both"/>
        <w:ind w:left="-8" w:firstLine="8"/>
        <w:spacing w:after="0" w:line="241" w:lineRule="auto"/>
        <w:tabs>
          <w:tab w:leader="none" w:pos="497" w:val="left"/>
        </w:tabs>
        <w:numPr>
          <w:ilvl w:val="0"/>
          <w:numId w:val="172"/>
        </w:numPr>
        <w:rPr>
          <w:rFonts w:ascii="Arial" w:cs="Arial" w:eastAsia="Arial" w:hAnsi="Arial"/>
          <w:sz w:val="20"/>
          <w:szCs w:val="20"/>
          <w:color w:val="auto"/>
        </w:rPr>
      </w:pPr>
      <w:r>
        <w:rPr>
          <w:rFonts w:ascii="Arial" w:cs="Arial" w:eastAsia="Arial" w:hAnsi="Arial"/>
          <w:sz w:val="20"/>
          <w:szCs w:val="20"/>
          <w:color w:val="auto"/>
        </w:rPr>
        <w:t>following the Closing. The Purchaser acknowledges and agrees that (i) as between the Parties, the Seller or the applicable Seller Affiliate owns all right, title and interest in and to the Seller Marks, (ii) no rights are granted, and by virtue of the transactions set forth herein the Purchaser does not</w:t>
      </w:r>
    </w:p>
    <w:p>
      <w:pPr>
        <w:spacing w:after="0" w:line="196" w:lineRule="exact"/>
        <w:rPr>
          <w:sz w:val="20"/>
          <w:szCs w:val="20"/>
          <w:color w:val="auto"/>
        </w:rPr>
      </w:pPr>
    </w:p>
    <w:p>
      <w:pPr>
        <w:ind w:left="5872"/>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0" w:right="339" w:bottom="1440" w:gutter="0" w:footer="0" w:header="0"/>
        </w:sectPr>
      </w:pPr>
    </w:p>
    <w:bookmarkStart w:id="161" w:name="page162"/>
    <w:bookmarkEnd w:id="161"/>
    <w:p>
      <w:pPr>
        <w:ind w:right="420" w:firstLine="8"/>
        <w:spacing w:after="0" w:line="293" w:lineRule="auto"/>
        <w:tabs>
          <w:tab w:leader="none" w:pos="352" w:val="left"/>
        </w:tabs>
        <w:numPr>
          <w:ilvl w:val="0"/>
          <w:numId w:val="17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obtain any rights, under any Seller Marks, (iii) it shall not, and shall ensure that its Affiliates do not, use in any manner any Seller Mark or any trademark confusingly similar to any Seller Mark except as expressly permitted hereunder, and (iv) the Purchaser shall immediately cease the use of any Seller Mark upon receipt of notice from the Seller that such use is inconsistent with the limited rights granted under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9.11 Tax Matters</w:t>
      </w:r>
      <w:r>
        <w:rPr>
          <w:rFonts w:ascii="Arial" w:cs="Arial" w:eastAsia="Arial" w:hAnsi="Arial"/>
          <w:sz w:val="20"/>
          <w:szCs w:val="20"/>
          <w:color w:val="auto"/>
        </w:rPr>
        <w:t>.</w:t>
      </w:r>
    </w:p>
    <w:p>
      <w:pPr>
        <w:spacing w:after="0" w:line="222" w:lineRule="exact"/>
        <w:rPr>
          <w:sz w:val="20"/>
          <w:szCs w:val="20"/>
          <w:color w:val="auto"/>
        </w:rPr>
      </w:pPr>
    </w:p>
    <w:p>
      <w:pPr>
        <w:jc w:val="both"/>
        <w:ind w:firstLine="1505"/>
        <w:spacing w:after="0" w:line="276" w:lineRule="auto"/>
        <w:tabs>
          <w:tab w:leader="none" w:pos="1893"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The Seller and the Purchaser shall use commercially reasonable efforts to (i) provide the other with such assistance as may reasonably be requested by either of them in connection with the preparation of any Tax Return, any audit or other examination by any taxing authority or any judicial or administrative proceeding with respect to Taxes, (ii) retain and provide the other with any records or other information which may be relevant to such Tax Return, audit, examination or proceeding, and (iii) provide the other with any final determination of any such audit or examination proceeding or determination that affects any amount required to be shown on any Tax Return of the other for any period (which shall be maintained confidentially), in each case, relating to the Purchased Assets or the Business.</w:t>
      </w:r>
    </w:p>
    <w:p>
      <w:pPr>
        <w:spacing w:after="0" w:line="164" w:lineRule="exact"/>
        <w:rPr>
          <w:rFonts w:ascii="Arial" w:cs="Arial" w:eastAsia="Arial" w:hAnsi="Arial"/>
          <w:sz w:val="18"/>
          <w:szCs w:val="18"/>
          <w:b w:val="1"/>
          <w:bCs w:val="1"/>
          <w:color w:val="auto"/>
        </w:rPr>
      </w:pPr>
    </w:p>
    <w:p>
      <w:pPr>
        <w:jc w:val="both"/>
        <w:ind w:firstLine="1505"/>
        <w:spacing w:after="0" w:line="269" w:lineRule="auto"/>
        <w:tabs>
          <w:tab w:leader="none" w:pos="192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 xml:space="preserve">All real property Taxes, personal property Taxes and similar ad valorem obligations levied with respect to the Purchased Assets for a Straddle Period shall be apportioned between the Seller (on behalf of itself and each applicable Seller Affiliate), on the one hand, and the Purchaser (on behalf of itself and each applicable Purchaser Affiliate), on the other hand, as of the Closing based on the number of days of such taxable period ending on the date of the Closing (each such portion of such taxable period, a Pre-Closing Tax Period) and the number of days of such taxable period after the Closing (each such portion of such taxable period, a Post-Closing Tax Period). The Seller (on behalf of itself and each applicable Seller Affiliate) shall be liable for the proportionate amount of such Taxes that is attributable to the Pre-Closing Tax Period, and the Purchaser (on behalf of itself and each applicable Purchaser Affiliate) shall be liable for the proportionate amount of such Taxes that is attributable to the Post-Closing Tax Period. Upon receipt of any bill for real or personal property Taxes relating to the Purchased Assets, the Seller and the Purchaser, as applicable, shall present a statement to the other setting forth the amount of reimbursement to which each is entitled under this </w:t>
      </w:r>
      <w:r>
        <w:rPr>
          <w:rFonts w:ascii="Arial" w:cs="Arial" w:eastAsia="Arial" w:hAnsi="Arial"/>
          <w:sz w:val="18"/>
          <w:szCs w:val="18"/>
          <w:u w:val="single" w:color="auto"/>
          <w:color w:val="auto"/>
        </w:rPr>
        <w:t>Section 9.11(b)</w:t>
      </w:r>
      <w:r>
        <w:rPr>
          <w:rFonts w:ascii="Arial" w:cs="Arial" w:eastAsia="Arial" w:hAnsi="Arial"/>
          <w:sz w:val="18"/>
          <w:szCs w:val="18"/>
          <w:color w:val="auto"/>
        </w:rPr>
        <w:t xml:space="preserve"> together with such supporting evidence as is reasonably necessary to calculate the proration amount. The proration amount shall be paid by the Party owing it to the other within 20 days after delivery of such statement. In the event that the Seller, on the one hand, or the Purchaser, on the other hand, shall make any other payment for which it is entitled to reimbursement under this </w:t>
      </w:r>
      <w:r>
        <w:rPr>
          <w:rFonts w:ascii="Arial" w:cs="Arial" w:eastAsia="Arial" w:hAnsi="Arial"/>
          <w:sz w:val="18"/>
          <w:szCs w:val="18"/>
          <w:u w:val="single" w:color="auto"/>
          <w:color w:val="auto"/>
        </w:rPr>
        <w:t>Section 9.11(b)</w:t>
      </w:r>
      <w:r>
        <w:rPr>
          <w:rFonts w:ascii="Arial" w:cs="Arial" w:eastAsia="Arial" w:hAnsi="Arial"/>
          <w:sz w:val="18"/>
          <w:szCs w:val="18"/>
          <w:color w:val="auto"/>
        </w:rPr>
        <w:t>, the other Party shall make such reimbursement promptly but in no event later than 20 days after the presentation of a statement setting forth the amount of reimbursement to which the presenting Party is entitled along with such supporting evidence as is reasonably necessary to calculate the amount of reimbursement.</w:t>
      </w:r>
    </w:p>
    <w:p>
      <w:pPr>
        <w:spacing w:after="0" w:line="178" w:lineRule="exact"/>
        <w:rPr>
          <w:rFonts w:ascii="Arial" w:cs="Arial" w:eastAsia="Arial" w:hAnsi="Arial"/>
          <w:sz w:val="18"/>
          <w:szCs w:val="18"/>
          <w:b w:val="1"/>
          <w:bCs w:val="1"/>
          <w:color w:val="auto"/>
        </w:rPr>
      </w:pPr>
    </w:p>
    <w:p>
      <w:pPr>
        <w:jc w:val="both"/>
        <w:ind w:firstLine="1505"/>
        <w:spacing w:after="0" w:line="260" w:lineRule="auto"/>
        <w:tabs>
          <w:tab w:leader="none" w:pos="1907" w:val="left"/>
        </w:tabs>
        <w:numPr>
          <w:ilvl w:val="0"/>
          <w:numId w:val="174"/>
        </w:numPr>
        <w:rPr>
          <w:rFonts w:ascii="Arial" w:cs="Arial" w:eastAsia="Arial" w:hAnsi="Arial"/>
          <w:sz w:val="19"/>
          <w:szCs w:val="19"/>
          <w:b w:val="1"/>
          <w:bCs w:val="1"/>
          <w:color w:val="auto"/>
        </w:rPr>
      </w:pPr>
      <w:r>
        <w:rPr>
          <w:rFonts w:ascii="Arial" w:cs="Arial" w:eastAsia="Arial" w:hAnsi="Arial"/>
          <w:sz w:val="19"/>
          <w:szCs w:val="19"/>
          <w:color w:val="auto"/>
        </w:rPr>
        <w:t xml:space="preserve">The Parties intend for U.S. federal and all applicable state and local income Tax purposes that any liability that is assumed by the Purchaser in connection with the Transactions that is attributable to deferred revenue shall not be treated as giving rise to taxable income of the Purchaser or its Affiliates under James M. Pierce Corp. v. Commissioner, 326 F.2d 67 (8th Cir. 1964). Except as otherwise required by applicable Law or by a taxing authority in connection with a Tax related Proceeding, none of the Parties shall take a Tax position inconsistent with this </w:t>
      </w:r>
      <w:r>
        <w:rPr>
          <w:rFonts w:ascii="Arial" w:cs="Arial" w:eastAsia="Arial" w:hAnsi="Arial"/>
          <w:sz w:val="19"/>
          <w:szCs w:val="19"/>
          <w:u w:val="single" w:color="auto"/>
          <w:color w:val="auto"/>
        </w:rPr>
        <w:t>Section 9.11(c)</w:t>
      </w:r>
      <w:r>
        <w:rPr>
          <w:rFonts w:ascii="Arial" w:cs="Arial" w:eastAsia="Arial" w:hAnsi="Arial"/>
          <w:sz w:val="19"/>
          <w:szCs w:val="19"/>
          <w:color w:val="auto"/>
        </w:rPr>
        <w:t xml:space="preserve"> on any Tax Return or otherwise.</w:t>
      </w:r>
    </w:p>
    <w:p>
      <w:pPr>
        <w:spacing w:after="0" w:line="180" w:lineRule="exact"/>
        <w:rPr>
          <w:rFonts w:ascii="Arial" w:cs="Arial" w:eastAsia="Arial" w:hAnsi="Arial"/>
          <w:sz w:val="19"/>
          <w:szCs w:val="19"/>
          <w:b w:val="1"/>
          <w:bCs w:val="1"/>
          <w:color w:val="auto"/>
        </w:rPr>
      </w:pPr>
    </w:p>
    <w:p>
      <w:pPr>
        <w:ind w:firstLine="1505"/>
        <w:spacing w:after="0" w:line="316" w:lineRule="auto"/>
        <w:tabs>
          <w:tab w:leader="none" w:pos="1893"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The Purchaser and the Seller agree to utilize or cause their respective Affiliates to utilize, the standard procedure set forth in Revenue Procedure 2004-53, 2004-2 C.B. 320, with respect to wage reporting in respect of Transferred Employees.</w:t>
      </w:r>
    </w:p>
    <w:p>
      <w:pPr>
        <w:spacing w:after="0" w:line="13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2" w:name="page163"/>
    <w:bookmarkEnd w:id="162"/>
    <w:p>
      <w:pPr>
        <w:ind w:right="420" w:firstLine="8"/>
        <w:spacing w:after="0" w:line="293" w:lineRule="auto"/>
        <w:tabs>
          <w:tab w:leader="none" w:pos="352" w:val="left"/>
        </w:tabs>
        <w:numPr>
          <w:ilvl w:val="0"/>
          <w:numId w:val="17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9.11</w:t>
      </w:r>
      <w:r>
        <w:rPr>
          <w:rFonts w:ascii="Arial" w:cs="Arial" w:eastAsia="Arial" w:hAnsi="Arial"/>
          <w:sz w:val="20"/>
          <w:szCs w:val="20"/>
          <w:color w:val="auto"/>
        </w:rPr>
        <w:t>, unless clearly indicated to the contrary, all references to “Seller” shall be deemed to also refer to any Seller Affiliate that transfers any Purchased Asset or any Assumed Liability to the Purchaser or any Purchaser Affiliate in connection with the Transactions.</w:t>
      </w:r>
    </w:p>
    <w:p>
      <w:pPr>
        <w:spacing w:after="0" w:line="18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b w:val="1"/>
          <w:bCs w:val="1"/>
          <w:color w:val="auto"/>
        </w:rPr>
        <w:t xml:space="preserve">9.12 Release of Guarantees. </w:t>
      </w:r>
      <w:r>
        <w:rPr>
          <w:rFonts w:ascii="Arial" w:cs="Arial" w:eastAsia="Arial" w:hAnsi="Arial"/>
          <w:sz w:val="19"/>
          <w:szCs w:val="19"/>
          <w:color w:val="auto"/>
        </w:rPr>
        <w:t>The Purchaser shall cooperate with the Seller and the Seller Affiliates to obtain the return or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of all bonds, security, credit support, parent guarantees and indemnifications as set forth on Part 9.12 of the Disclosure Schedule, and, to effectuate such return or release, the Purchaser shall, to the extent required, post its own bonds, letters of credit, parent guarantees, indemnifications and other security in substitution therefor. If, notwithstanding the Purchaser’s compliance with the foregoing sentence, any such bonds, security, credit support, parent guarantees or indemnifications remain outstanding following the Closing, the Purchaser shall indemnify and hold harmless the Seller and the Seller Affiliates from and against all Damages suffered or incurred by them in connection with such bonds, security, credit support, parent guarantees or indemnifications.</w:t>
      </w:r>
    </w:p>
    <w:p>
      <w:pPr>
        <w:spacing w:after="0" w:line="17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b w:val="1"/>
          <w:bCs w:val="1"/>
          <w:color w:val="auto"/>
        </w:rPr>
        <w:t xml:space="preserve">9.13 Delivery of Financial Statements </w:t>
      </w:r>
      <w:r>
        <w:rPr>
          <w:rFonts w:ascii="Arial" w:cs="Arial" w:eastAsia="Arial" w:hAnsi="Arial"/>
          <w:sz w:val="19"/>
          <w:szCs w:val="19"/>
          <w:color w:val="auto"/>
        </w:rPr>
        <w:t>At the latest on the day that is [***] after the Closing Date, the Seller shall provide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with audited abbreviated financial statements for the Business for the financial year ended on December 31, 2022, which financial statements shall meet the presentation requirements set forth in § 210.3-05(e) of Regulation S-X (the “</w:t>
      </w:r>
      <w:r>
        <w:rPr>
          <w:rFonts w:ascii="Arial" w:cs="Arial" w:eastAsia="Arial" w:hAnsi="Arial"/>
          <w:sz w:val="19"/>
          <w:szCs w:val="19"/>
          <w:b w:val="1"/>
          <w:bCs w:val="1"/>
          <w:color w:val="auto"/>
        </w:rPr>
        <w:t>Abbreviated Financials</w:t>
      </w:r>
      <w:r>
        <w:rPr>
          <w:rFonts w:ascii="Arial" w:cs="Arial" w:eastAsia="Arial" w:hAnsi="Arial"/>
          <w:sz w:val="19"/>
          <w:szCs w:val="19"/>
          <w:color w:val="auto"/>
        </w:rPr>
        <w:t>”) and information reasonably requested by the Purchaser and necessary to prepare any applicable pro forma financial information required to be filed by the Purchaser with the U.S.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xml:space="preserve">”) pursuant to Article II of Regulation S-X;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Purchaser will execute such acknowledgments and releases as are requested by the Seller’s independent certified public accountants with respect to the receipt and use of the Abbreviated Financials. Without limiting the foregoing, for purposes of complying with Section 210.3.05 of Regulation S-X, the Purchaser will request from the Seller’s independent certified public accountants customary consent for inclusion or incorporation by reference of the audit report in respect of the Abbreviated Financials in the Purchaser’s filings with the SEC. The Seller will (A) use [***] efforts to obtain such consent from the Seller’s independent certified public accountants and (B) otherwise cooperate with the Purchaser in good faith in connection with the use of the Abbreviated Financials referred to in the foregoing clause (A) in any filing by the Purchaser with the SEC, including any reasonable requests from the Purchaser to the Seller’s independent certified public accountants in connection with any use of the Abbreviated Financials in any filing by the Purchaser with the SEC (subject, in each case, to the execution by the Purchaser of any necessary acknowledgments, releases and consents reasonably requested by the Seller’s independent certified public accountants). The [***] shall pay [***] for [***] to be retained by [***] in connection with complying with the delivery of the Abbreviated Financials to the Purchaser;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in no event shall the [***] be required to pay [***] for any other fees, costs, or expenses incurred now or in the future by [***] for or in connection with complying with its obligations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9.13</w:t>
      </w:r>
      <w:r>
        <w:rPr>
          <w:rFonts w:ascii="Arial" w:cs="Arial" w:eastAsia="Arial" w:hAnsi="Arial"/>
          <w:sz w:val="19"/>
          <w:szCs w:val="19"/>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9.14 Inventory and Open Purchase Orders. </w:t>
      </w:r>
      <w:r>
        <w:rPr>
          <w:rFonts w:ascii="Arial" w:cs="Arial" w:eastAsia="Arial" w:hAnsi="Arial"/>
          <w:sz w:val="20"/>
          <w:szCs w:val="20"/>
          <w:color w:val="auto"/>
        </w:rPr>
        <w:t>Within fifteen (15) Business Days after the Closing, the Seller shall deliver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 a materially accurate (i) breakdown of the Inventory as of the Closing Date and (ii) list of open purchase orders forming part of the Seller Contracts and Shared Contracts.</w:t>
      </w:r>
    </w:p>
    <w:p>
      <w:pPr>
        <w:spacing w:after="0" w:line="39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9.15 Intellectual Property Recordations. </w:t>
      </w:r>
      <w:r>
        <w:rPr>
          <w:rFonts w:ascii="Arial" w:cs="Arial" w:eastAsia="Arial" w:hAnsi="Arial"/>
          <w:sz w:val="20"/>
          <w:szCs w:val="20"/>
          <w:color w:val="auto"/>
        </w:rPr>
        <w:t>To the extent the actions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G</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completed prior to the Closing,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Seller shall continue to use [***] efforts to take the actions set forth on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for up to [***] after the Closing Date. At the Seller’s request, the Purchaser agrees to reasonably cooperate with the Seller in carrying out such actions.</w:t>
      </w:r>
    </w:p>
    <w:p>
      <w:pPr>
        <w:spacing w:after="0" w:line="183"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3" w:name="page164"/>
    <w:bookmarkEnd w:id="163"/>
    <w:p>
      <w:pPr>
        <w:ind w:right="420" w:firstLine="8"/>
        <w:spacing w:after="0" w:line="293" w:lineRule="auto"/>
        <w:tabs>
          <w:tab w:leader="none" w:pos="352" w:val="left"/>
        </w:tabs>
        <w:numPr>
          <w:ilvl w:val="0"/>
          <w:numId w:val="17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left="400" w:hanging="392"/>
        <w:spacing w:after="0"/>
        <w:tabs>
          <w:tab w:leader="none" w:pos="40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rovisions</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10.1 Fees and Expenses. </w:t>
      </w:r>
      <w:r>
        <w:rPr>
          <w:rFonts w:ascii="Arial" w:cs="Arial" w:eastAsia="Arial" w:hAnsi="Arial"/>
          <w:sz w:val="20"/>
          <w:szCs w:val="20"/>
          <w:color w:val="auto"/>
        </w:rPr>
        <w:t>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1.11</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Taxes)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 each Party shall bear and pay all fees, costs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(including all legal fees and expenses) that have been incurred or that are in the future incurred by, on behalf of or for the benefit of itself.</w:t>
      </w:r>
    </w:p>
    <w:p>
      <w:pPr>
        <w:spacing w:after="0" w:line="17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 xml:space="preserve">10.2 Notices. </w:t>
      </w:r>
      <w:r>
        <w:rPr>
          <w:rFonts w:ascii="Arial" w:cs="Arial" w:eastAsia="Arial" w:hAnsi="Arial"/>
          <w:sz w:val="18"/>
          <w:szCs w:val="18"/>
          <w:color w:val="auto"/>
        </w:rPr>
        <w:t>Any notice or other communication required or permitted to be delivered to any Party under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and 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the Seller:</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Luminex Corporation</w:t>
      </w:r>
    </w:p>
    <w:p>
      <w:pPr>
        <w:ind w:left="3000"/>
        <w:spacing w:after="0"/>
        <w:rPr>
          <w:sz w:val="20"/>
          <w:szCs w:val="20"/>
          <w:color w:val="auto"/>
        </w:rPr>
      </w:pPr>
      <w:r>
        <w:rPr>
          <w:rFonts w:ascii="Arial" w:cs="Arial" w:eastAsia="Arial" w:hAnsi="Arial"/>
          <w:sz w:val="20"/>
          <w:szCs w:val="20"/>
          <w:color w:val="auto"/>
        </w:rPr>
        <w:t>12212 Technology Blvd., Suite 130</w:t>
      </w:r>
    </w:p>
    <w:p>
      <w:pPr>
        <w:ind w:left="3000"/>
        <w:spacing w:after="0"/>
        <w:rPr>
          <w:sz w:val="20"/>
          <w:szCs w:val="20"/>
          <w:color w:val="auto"/>
        </w:rPr>
      </w:pPr>
      <w:r>
        <w:rPr>
          <w:rFonts w:ascii="Arial" w:cs="Arial" w:eastAsia="Arial" w:hAnsi="Arial"/>
          <w:sz w:val="20"/>
          <w:szCs w:val="20"/>
          <w:color w:val="auto"/>
        </w:rPr>
        <w:t>Austin, TX 78727</w:t>
      </w:r>
    </w:p>
    <w:p>
      <w:pPr>
        <w:ind w:left="3000"/>
        <w:spacing w:after="0"/>
        <w:rPr>
          <w:sz w:val="20"/>
          <w:szCs w:val="20"/>
          <w:color w:val="auto"/>
        </w:rPr>
      </w:pPr>
      <w:r>
        <w:rPr>
          <w:rFonts w:ascii="Arial" w:cs="Arial" w:eastAsia="Arial" w:hAnsi="Arial"/>
          <w:sz w:val="20"/>
          <w:szCs w:val="20"/>
          <w:color w:val="auto"/>
        </w:rPr>
        <w:t>Email: [***]</w:t>
      </w:r>
    </w:p>
    <w:p>
      <w:pPr>
        <w:ind w:left="3000"/>
        <w:spacing w:after="0"/>
        <w:rPr>
          <w:sz w:val="20"/>
          <w:szCs w:val="20"/>
          <w:color w:val="auto"/>
        </w:rPr>
      </w:pPr>
      <w:r>
        <w:rPr>
          <w:rFonts w:ascii="Arial" w:cs="Arial" w:eastAsia="Arial" w:hAnsi="Arial"/>
          <w:sz w:val="20"/>
          <w:szCs w:val="20"/>
          <w:color w:val="auto"/>
        </w:rPr>
        <w:t>Attention: Ulisse Spada (Group General Counsel)</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Freshfields Bruckhaus Deringer US LLP</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601 Lexington Avenue</w:t>
      </w:r>
    </w:p>
    <w:p>
      <w:pPr>
        <w:ind w:left="3000"/>
        <w:spacing w:after="0"/>
        <w:rPr>
          <w:sz w:val="20"/>
          <w:szCs w:val="20"/>
          <w:color w:val="auto"/>
        </w:rPr>
      </w:pPr>
      <w:r>
        <w:rPr>
          <w:rFonts w:ascii="Arial" w:cs="Arial" w:eastAsia="Arial" w:hAnsi="Arial"/>
          <w:sz w:val="20"/>
          <w:szCs w:val="20"/>
          <w:color w:val="auto"/>
        </w:rPr>
        <w:t>New York, NY 10022</w:t>
      </w:r>
    </w:p>
    <w:p>
      <w:pPr>
        <w:ind w:left="3000"/>
        <w:spacing w:after="0"/>
        <w:tabs>
          <w:tab w:leader="none" w:pos="37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Damien Zoubek</w:t>
      </w:r>
    </w:p>
    <w:p>
      <w:pPr>
        <w:ind w:left="3400"/>
        <w:spacing w:after="0"/>
        <w:rPr>
          <w:sz w:val="20"/>
          <w:szCs w:val="20"/>
          <w:color w:val="auto"/>
        </w:rPr>
      </w:pPr>
      <w:r>
        <w:rPr>
          <w:rFonts w:ascii="Arial" w:cs="Arial" w:eastAsia="Arial" w:hAnsi="Arial"/>
          <w:sz w:val="20"/>
          <w:szCs w:val="20"/>
          <w:color w:val="auto"/>
        </w:rPr>
        <w:t>Olaf Ehlers</w:t>
      </w:r>
    </w:p>
    <w:p>
      <w:pPr>
        <w:ind w:left="3000"/>
        <w:spacing w:after="0"/>
        <w:tabs>
          <w:tab w:leader="none" w:pos="3780" w:val="left"/>
        </w:tabs>
        <w:rPr>
          <w:sz w:val="20"/>
          <w:szCs w:val="20"/>
          <w:color w:val="auto"/>
        </w:rPr>
      </w:pPr>
      <w:r>
        <w:rPr>
          <w:rFonts w:ascii="Arial" w:cs="Arial" w:eastAsia="Arial" w:hAnsi="Arial"/>
          <w:sz w:val="20"/>
          <w:szCs w:val="20"/>
          <w:color w:val="auto"/>
        </w:rPr>
        <w:t>Email:</w:t>
        <w:tab/>
        <w:t>[***]</w:t>
      </w:r>
    </w:p>
    <w:p>
      <w:pPr>
        <w:ind w:left="34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if to the Purchaser:</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Cytek Biosciences, Inc.</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47215 Lakeview Boulevard</w:t>
      </w:r>
    </w:p>
    <w:p>
      <w:pPr>
        <w:ind w:left="3000"/>
        <w:spacing w:after="0"/>
        <w:rPr>
          <w:sz w:val="20"/>
          <w:szCs w:val="20"/>
          <w:color w:val="auto"/>
        </w:rPr>
      </w:pPr>
      <w:r>
        <w:rPr>
          <w:rFonts w:ascii="Arial" w:cs="Arial" w:eastAsia="Arial" w:hAnsi="Arial"/>
          <w:sz w:val="20"/>
          <w:szCs w:val="20"/>
          <w:color w:val="auto"/>
        </w:rPr>
        <w:t>Fremont, California 94538</w:t>
      </w:r>
    </w:p>
    <w:p>
      <w:pPr>
        <w:ind w:left="3000"/>
        <w:spacing w:after="0"/>
        <w:tabs>
          <w:tab w:leader="none" w:pos="37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Allen Poirson, Sr. Vice President, Business and Corporate Development</w:t>
      </w:r>
    </w:p>
    <w:p>
      <w:pPr>
        <w:ind w:left="3000"/>
        <w:spacing w:after="0"/>
        <w:tabs>
          <w:tab w:leader="none" w:pos="3780" w:val="left"/>
        </w:tabs>
        <w:rPr>
          <w:sz w:val="20"/>
          <w:szCs w:val="20"/>
          <w:color w:val="auto"/>
        </w:rPr>
      </w:pPr>
      <w:r>
        <w:rPr>
          <w:rFonts w:ascii="Arial" w:cs="Arial" w:eastAsia="Arial" w:hAnsi="Arial"/>
          <w:sz w:val="20"/>
          <w:szCs w:val="20"/>
          <w:color w:val="auto"/>
        </w:rPr>
        <w:t>Email:</w:t>
        <w:tab/>
        <w: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Cytek Biosciences, Inc.</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47215 Lakeview Boulevard</w:t>
      </w:r>
    </w:p>
    <w:p>
      <w:pPr>
        <w:ind w:left="3000"/>
        <w:spacing w:after="0"/>
        <w:rPr>
          <w:sz w:val="20"/>
          <w:szCs w:val="20"/>
          <w:color w:val="auto"/>
        </w:rPr>
      </w:pPr>
      <w:r>
        <w:rPr>
          <w:rFonts w:ascii="Arial" w:cs="Arial" w:eastAsia="Arial" w:hAnsi="Arial"/>
          <w:sz w:val="20"/>
          <w:szCs w:val="20"/>
          <w:color w:val="auto"/>
        </w:rPr>
        <w:t>Fremont, California 94538</w:t>
      </w:r>
    </w:p>
    <w:p>
      <w:pPr>
        <w:ind w:left="3000"/>
        <w:spacing w:after="0"/>
        <w:tabs>
          <w:tab w:leader="none" w:pos="37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Valerie Barnett, Esq., General Counsel</w:t>
      </w:r>
    </w:p>
    <w:p>
      <w:pPr>
        <w:ind w:left="3000"/>
        <w:spacing w:after="0"/>
        <w:tabs>
          <w:tab w:leader="none" w:pos="3820" w:val="left"/>
        </w:tabs>
        <w:rPr>
          <w:sz w:val="20"/>
          <w:szCs w:val="20"/>
          <w:color w:val="auto"/>
        </w:rPr>
      </w:pPr>
      <w:r>
        <w:rPr>
          <w:rFonts w:ascii="Arial" w:cs="Arial" w:eastAsia="Arial" w:hAnsi="Arial"/>
          <w:sz w:val="20"/>
          <w:szCs w:val="20"/>
          <w:color w:val="auto"/>
        </w:rPr>
        <w:t>Email:</w:t>
        <w:tab/>
        <w:t>[***]</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Cooley LLP</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3175 Hanover Street</w:t>
      </w:r>
    </w:p>
    <w:p>
      <w:pPr>
        <w:ind w:left="588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4" w:name="page165"/>
    <w:bookmarkEnd w:id="164"/>
    <w:p>
      <w:pPr>
        <w:ind w:right="420" w:firstLine="8"/>
        <w:spacing w:after="0" w:line="293" w:lineRule="auto"/>
        <w:tabs>
          <w:tab w:leader="none" w:pos="352" w:val="left"/>
        </w:tabs>
        <w:numPr>
          <w:ilvl w:val="0"/>
          <w:numId w:val="17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Palo Alto, CA 94304</w:t>
      </w:r>
    </w:p>
    <w:p>
      <w:pPr>
        <w:spacing w:after="0" w:line="15" w:lineRule="exact"/>
        <w:rPr>
          <w:sz w:val="20"/>
          <w:szCs w:val="20"/>
          <w:color w:val="auto"/>
        </w:rPr>
      </w:pPr>
    </w:p>
    <w:p>
      <w:pPr>
        <w:ind w:left="3000"/>
        <w:spacing w:after="0"/>
        <w:tabs>
          <w:tab w:leader="none" w:pos="37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Gordon Ho, Esq.</w:t>
      </w:r>
    </w:p>
    <w:p>
      <w:pPr>
        <w:ind w:left="3400"/>
        <w:spacing w:after="0"/>
        <w:rPr>
          <w:sz w:val="20"/>
          <w:szCs w:val="20"/>
          <w:color w:val="auto"/>
        </w:rPr>
      </w:pPr>
      <w:r>
        <w:rPr>
          <w:rFonts w:ascii="Arial" w:cs="Arial" w:eastAsia="Arial" w:hAnsi="Arial"/>
          <w:sz w:val="20"/>
          <w:szCs w:val="20"/>
          <w:color w:val="auto"/>
        </w:rPr>
        <w:t>Rishab Kumar, Esq.</w:t>
      </w:r>
    </w:p>
    <w:p>
      <w:pPr>
        <w:ind w:left="3000"/>
        <w:spacing w:after="0"/>
        <w:tabs>
          <w:tab w:leader="none" w:pos="3780" w:val="left"/>
        </w:tabs>
        <w:rPr>
          <w:sz w:val="20"/>
          <w:szCs w:val="20"/>
          <w:color w:val="auto"/>
        </w:rPr>
      </w:pPr>
      <w:r>
        <w:rPr>
          <w:rFonts w:ascii="Arial" w:cs="Arial" w:eastAsia="Arial" w:hAnsi="Arial"/>
          <w:sz w:val="20"/>
          <w:szCs w:val="20"/>
          <w:color w:val="auto"/>
        </w:rPr>
        <w:t>Email:</w:t>
        <w:tab/>
        <w:t>[***]</w:t>
      </w:r>
    </w:p>
    <w:p>
      <w:pPr>
        <w:jc w:val="center"/>
        <w:ind w:right="4020"/>
        <w:spacing w:after="0"/>
        <w:rPr>
          <w:sz w:val="20"/>
          <w:szCs w:val="20"/>
          <w:color w:val="auto"/>
        </w:rPr>
      </w:pPr>
      <w:r>
        <w:rPr>
          <w:rFonts w:ascii="Arial" w:cs="Arial" w:eastAsia="Arial" w:hAnsi="Arial"/>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10.3 Time Of The Essence. </w:t>
      </w:r>
      <w:r>
        <w:rPr>
          <w:rFonts w:ascii="Arial" w:cs="Arial" w:eastAsia="Arial" w:hAnsi="Arial"/>
          <w:sz w:val="20"/>
          <w:szCs w:val="20"/>
          <w:color w:val="auto"/>
        </w:rPr>
        <w:t>Time is of the essence of this Agreement.</w:t>
      </w:r>
    </w:p>
    <w:p>
      <w:pPr>
        <w:spacing w:after="0" w:line="216"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b w:val="1"/>
          <w:bCs w:val="1"/>
          <w:color w:val="auto"/>
        </w:rPr>
        <w:t xml:space="preserve">10.4 Headings. </w:t>
      </w:r>
      <w:r>
        <w:rPr>
          <w:rFonts w:ascii="Arial" w:cs="Arial" w:eastAsia="Arial" w:hAnsi="Arial"/>
          <w:sz w:val="18"/>
          <w:szCs w:val="18"/>
          <w:color w:val="auto"/>
        </w:rPr>
        <w:t>The underlined headings contained in this Agreement are for convenience of reference only,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 part of this Agreement and shall not be referred to in connection with the construction or interpretation of this Agreement.</w:t>
      </w:r>
    </w:p>
    <w:p>
      <w:pPr>
        <w:spacing w:after="0" w:line="11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b w:val="1"/>
          <w:bCs w:val="1"/>
          <w:color w:val="auto"/>
        </w:rPr>
        <w:t xml:space="preserve">10.5 Counterparts. </w:t>
      </w:r>
      <w:r>
        <w:rPr>
          <w:rFonts w:ascii="Arial" w:cs="Arial" w:eastAsia="Arial" w:hAnsi="Arial"/>
          <w:sz w:val="20"/>
          <w:szCs w:val="20"/>
          <w:color w:val="auto"/>
        </w:rPr>
        <w:t>This Agreement may be executed in several counterparts, each of which shall constitute an original and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when taken together, shall constitute one agreement. Any signature page hereto delivered by facsimile machine or by e-mail (including in portable document format (pdf), as a joint photographic experts group (jpg) file, or otherwise) shall be binding to the same extent as an original signature page, with regard to any agreement subject to the terms hereof or any amendment thereto and may be used in lieu of the original signatures for all purposes. Any Party that delivers such a signature page agrees to later deliver an original counterpart to any Party that requests it. Signatures may be any electronic signature complying with the U.S. federal ESIGN Act of 2000, e.g., www.docusign.com.</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10.6 Governing Law; Venue.</w:t>
      </w:r>
    </w:p>
    <w:p>
      <w:pPr>
        <w:spacing w:after="0" w:line="222" w:lineRule="exact"/>
        <w:rPr>
          <w:sz w:val="20"/>
          <w:szCs w:val="20"/>
          <w:color w:val="auto"/>
        </w:rPr>
      </w:pPr>
    </w:p>
    <w:p>
      <w:pPr>
        <w:jc w:val="both"/>
        <w:ind w:firstLine="1505"/>
        <w:spacing w:after="0" w:line="243" w:lineRule="auto"/>
        <w:tabs>
          <w:tab w:leader="none" w:pos="1893" w:val="left"/>
        </w:tabs>
        <w:numPr>
          <w:ilvl w:val="0"/>
          <w:numId w:val="179"/>
        </w:numPr>
        <w:rPr>
          <w:rFonts w:ascii="Arial" w:cs="Arial" w:eastAsia="Arial" w:hAnsi="Arial"/>
          <w:sz w:val="20"/>
          <w:szCs w:val="20"/>
          <w:b w:val="1"/>
          <w:bCs w:val="1"/>
          <w:color w:val="auto"/>
        </w:rPr>
      </w:pPr>
      <w:r>
        <w:rPr>
          <w:rFonts w:ascii="Arial" w:cs="Arial" w:eastAsia="Arial" w:hAnsi="Arial"/>
          <w:sz w:val="20"/>
          <w:szCs w:val="20"/>
          <w:color w:val="auto"/>
        </w:rPr>
        <w:t>This Agreement and all matters, claims, controversies, disputes, suits, actions or proceedings arising out of or relating to this Agreement and the negotiation, execution or performance of this Agreement or any of the transactions contemplated hereby, including all rights of the Parties (whether in contract, tort, common or statutory law, equity or otherwise) in connection therewith, shall be interpreted, construed and governed by and in accordance with the internal Laws of the State of Delaware without giving effect to any choice or conflict of law provision or rule (whether of the State of Delaware or any other jurisdiction) that would cause the application of the Law of any jurisdiction other than the State of Delaware.</w:t>
      </w:r>
    </w:p>
    <w:p>
      <w:pPr>
        <w:spacing w:after="0" w:line="195" w:lineRule="exact"/>
        <w:rPr>
          <w:rFonts w:ascii="Arial" w:cs="Arial" w:eastAsia="Arial" w:hAnsi="Arial"/>
          <w:sz w:val="20"/>
          <w:szCs w:val="20"/>
          <w:b w:val="1"/>
          <w:bCs w:val="1"/>
          <w:color w:val="auto"/>
        </w:rPr>
      </w:pPr>
    </w:p>
    <w:p>
      <w:pPr>
        <w:jc w:val="both"/>
        <w:ind w:firstLine="1505"/>
        <w:spacing w:after="0" w:line="255" w:lineRule="auto"/>
        <w:tabs>
          <w:tab w:leader="none" w:pos="1893" w:val="left"/>
        </w:tabs>
        <w:numPr>
          <w:ilvl w:val="0"/>
          <w:numId w:val="179"/>
        </w:numPr>
        <w:rPr>
          <w:rFonts w:ascii="Arial" w:cs="Arial" w:eastAsia="Arial" w:hAnsi="Arial"/>
          <w:sz w:val="19"/>
          <w:szCs w:val="19"/>
          <w:b w:val="1"/>
          <w:bCs w:val="1"/>
          <w:color w:val="auto"/>
        </w:rPr>
      </w:pPr>
      <w:r>
        <w:rPr>
          <w:rFonts w:ascii="Arial" w:cs="Arial" w:eastAsia="Arial" w:hAnsi="Arial"/>
          <w:sz w:val="19"/>
          <w:szCs w:val="19"/>
          <w:color w:val="auto"/>
        </w:rPr>
        <w:t xml:space="preserve">To the fullest extent permitted by applicable Law, each Party (i) agrees that any Proceeding by such Party seeking any relief whatsoever arising out of, relating to or in connection with, this Agreement or the transactions contemplated hereby or thereby shall be brought only in the Court of Chancery of the State of Delaware, and only if such court lacks subject matter jurisdiction, any other state or federal court sitting in the city of Wilmington, Delaware, and any appellate court therefrom; (ii) agrees to submit to the exclusive jurisdiction of such courts for purposes of all legal proceedings arising out of, or in connection with, this Agreement, the other Transactional Agreements or the transactions contemplated hereby or thereby; (iii) waives and agrees not to assert any objection that it may now or hereafter have to the laying of the venue of any such Proceeding brought in such a court or any claim that any such Proceeding brought in such a court has been brought in an inconvenient forum; (iv) agrees that mailing of process or other papers in connection with any such Proceeding in the manner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any other manner as may be permitted by Law shall be valid and sufficient service thereof; and (v) agrees that a final judgment in any such Proceeding shall be conclusive and may be enforced in other jurisdictions by suit on the judgment or in any other manner provided by applicable Law. .</w:t>
      </w:r>
    </w:p>
    <w:p>
      <w:pPr>
        <w:spacing w:after="0" w:line="186" w:lineRule="exact"/>
        <w:rPr>
          <w:rFonts w:ascii="Arial" w:cs="Arial" w:eastAsia="Arial" w:hAnsi="Arial"/>
          <w:sz w:val="19"/>
          <w:szCs w:val="19"/>
          <w:b w:val="1"/>
          <w:bCs w:val="1"/>
          <w:color w:val="auto"/>
        </w:rPr>
      </w:pPr>
    </w:p>
    <w:p>
      <w:pPr>
        <w:jc w:val="both"/>
        <w:ind w:firstLine="1505"/>
        <w:spacing w:after="0" w:line="250" w:lineRule="auto"/>
        <w:tabs>
          <w:tab w:leader="none" w:pos="1893" w:val="left"/>
        </w:tabs>
        <w:numPr>
          <w:ilvl w:val="0"/>
          <w:numId w:val="179"/>
        </w:numPr>
        <w:rPr>
          <w:rFonts w:ascii="Arial" w:cs="Arial" w:eastAsia="Arial" w:hAnsi="Arial"/>
          <w:sz w:val="20"/>
          <w:szCs w:val="20"/>
          <w:b w:val="1"/>
          <w:bCs w:val="1"/>
          <w:color w:val="auto"/>
        </w:rPr>
      </w:pPr>
      <w:r>
        <w:rPr>
          <w:rFonts w:ascii="Arial" w:cs="Arial" w:eastAsia="Arial" w:hAnsi="Arial"/>
          <w:sz w:val="20"/>
          <w:szCs w:val="20"/>
          <w:color w:val="auto"/>
        </w:rPr>
        <w:t>Waiver of Jury Trial: EACH PARTY HEREBY WAIVES ITS RIGHTS TO A JURY TRIAL OF ANY CLAIM OR CAUSE OF ACTION BASED UPON OR ARISING OUT OF THIS AGREEMENT, THE OTHER TRANSACTIONAL AGREEMENTS OR THE SUBJECT MATTER</w:t>
      </w:r>
    </w:p>
    <w:p>
      <w:pPr>
        <w:spacing w:after="0" w:line="18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5" w:name="page166"/>
    <w:bookmarkEnd w:id="165"/>
    <w:p>
      <w:pPr>
        <w:ind w:right="420" w:firstLine="8"/>
        <w:spacing w:after="0" w:line="293" w:lineRule="auto"/>
        <w:tabs>
          <w:tab w:leader="none" w:pos="352" w:val="left"/>
        </w:tabs>
        <w:numPr>
          <w:ilvl w:val="0"/>
          <w:numId w:val="18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HEREOF OR THEREOF. THE SCOPE OF THIS WAIVER IS INTENDED TO BE ALL-ENCOMPASSING OF ANY AND ALL DISPUTES THAT MAY BE FILED IN ANY COURT AND THAT RELATE TO THE SUBJECT MATTER OF THE TRANSACTIONS,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10.7 Successors And Assigns; Parties In Interest.</w:t>
      </w:r>
    </w:p>
    <w:p>
      <w:pPr>
        <w:spacing w:after="0" w:line="222" w:lineRule="exact"/>
        <w:rPr>
          <w:sz w:val="20"/>
          <w:szCs w:val="20"/>
          <w:color w:val="auto"/>
        </w:rPr>
      </w:pPr>
    </w:p>
    <w:p>
      <w:pPr>
        <w:jc w:val="both"/>
        <w:ind w:firstLine="1505"/>
        <w:spacing w:after="0" w:line="269" w:lineRule="auto"/>
        <w:tabs>
          <w:tab w:leader="none" w:pos="1893" w:val="left"/>
        </w:tabs>
        <w:numPr>
          <w:ilvl w:val="0"/>
          <w:numId w:val="181"/>
        </w:numPr>
        <w:rPr>
          <w:rFonts w:ascii="Arial" w:cs="Arial" w:eastAsia="Arial" w:hAnsi="Arial"/>
          <w:sz w:val="19"/>
          <w:szCs w:val="19"/>
          <w:b w:val="1"/>
          <w:bCs w:val="1"/>
          <w:color w:val="auto"/>
        </w:rPr>
      </w:pPr>
      <w:r>
        <w:rPr>
          <w:rFonts w:ascii="Arial" w:cs="Arial" w:eastAsia="Arial" w:hAnsi="Arial"/>
          <w:sz w:val="19"/>
          <w:szCs w:val="19"/>
          <w:color w:val="auto"/>
        </w:rPr>
        <w:t>This Agreement shall be binding upon the Seller and its permitted successors and assigns (if any), the Purchaser and its permitted successors and assigns (if any). This Agreement shall inure to the benefit of the Seller, the Purchaser, the Purchaser Indemnitees, the Seller Indemnitees and the respective successors and assigns (if any) of the foregoing.</w:t>
      </w:r>
    </w:p>
    <w:p>
      <w:pPr>
        <w:spacing w:after="0" w:line="169" w:lineRule="exact"/>
        <w:rPr>
          <w:rFonts w:ascii="Arial" w:cs="Arial" w:eastAsia="Arial" w:hAnsi="Arial"/>
          <w:sz w:val="19"/>
          <w:szCs w:val="19"/>
          <w:b w:val="1"/>
          <w:bCs w:val="1"/>
          <w:color w:val="auto"/>
        </w:rPr>
      </w:pPr>
    </w:p>
    <w:p>
      <w:pPr>
        <w:ind w:firstLine="1505"/>
        <w:spacing w:after="0" w:line="260" w:lineRule="auto"/>
        <w:tabs>
          <w:tab w:leader="none" w:pos="1907" w:val="left"/>
        </w:tabs>
        <w:numPr>
          <w:ilvl w:val="0"/>
          <w:numId w:val="181"/>
        </w:numPr>
        <w:rPr>
          <w:rFonts w:ascii="Arial" w:cs="Arial" w:eastAsia="Arial" w:hAnsi="Arial"/>
          <w:sz w:val="20"/>
          <w:szCs w:val="20"/>
          <w:b w:val="1"/>
          <w:bCs w:val="1"/>
          <w:color w:val="auto"/>
        </w:rPr>
      </w:pPr>
      <w:r>
        <w:rPr>
          <w:rFonts w:ascii="Arial" w:cs="Arial" w:eastAsia="Arial" w:hAnsi="Arial"/>
          <w:sz w:val="20"/>
          <w:szCs w:val="20"/>
          <w:color w:val="auto"/>
        </w:rPr>
        <w:t xml:space="preserve">Neither Party may transfer any of its rights or obligations hereunder, without the prior written consent of the other Party. Any assignment or transfer in violation of this </w:t>
      </w:r>
      <w:r>
        <w:rPr>
          <w:rFonts w:ascii="Arial" w:cs="Arial" w:eastAsia="Arial" w:hAnsi="Arial"/>
          <w:sz w:val="20"/>
          <w:szCs w:val="20"/>
          <w:u w:val="single" w:color="auto"/>
          <w:color w:val="auto"/>
        </w:rPr>
        <w:t>Section 10.7(b)</w:t>
      </w:r>
      <w:r>
        <w:rPr>
          <w:rFonts w:ascii="Arial" w:cs="Arial" w:eastAsia="Arial" w:hAnsi="Arial"/>
          <w:sz w:val="20"/>
          <w:szCs w:val="20"/>
          <w:color w:val="auto"/>
        </w:rPr>
        <w:t xml:space="preserve"> shall be null and void.</w:t>
      </w:r>
    </w:p>
    <w:p>
      <w:pPr>
        <w:spacing w:after="0" w:line="176" w:lineRule="exact"/>
        <w:rPr>
          <w:rFonts w:ascii="Arial" w:cs="Arial" w:eastAsia="Arial" w:hAnsi="Arial"/>
          <w:sz w:val="20"/>
          <w:szCs w:val="20"/>
          <w:b w:val="1"/>
          <w:bCs w:val="1"/>
          <w:color w:val="auto"/>
        </w:rPr>
      </w:pPr>
    </w:p>
    <w:p>
      <w:pPr>
        <w:jc w:val="both"/>
        <w:ind w:firstLine="1505"/>
        <w:spacing w:after="0" w:line="282" w:lineRule="auto"/>
        <w:tabs>
          <w:tab w:leader="none" w:pos="1907"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none of the provisions of this Agreement is intended to provide any rights or remedies to any Person other than the Parties and their permitted respective successors and assigns (if any). Without limiting the generality of the foregoing, (i) no employee of the Seller shall have any rights under this Agreement or under any of the other Transactional Agreements, and (ii) no creditor of the Seller shall have any rights under this Agreement or any of the other Transactional Agreements.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10.8 Waiver.</w:t>
      </w:r>
    </w:p>
    <w:p>
      <w:pPr>
        <w:spacing w:after="0" w:line="222" w:lineRule="exact"/>
        <w:rPr>
          <w:sz w:val="20"/>
          <w:szCs w:val="20"/>
          <w:color w:val="auto"/>
        </w:rPr>
      </w:pPr>
    </w:p>
    <w:p>
      <w:pPr>
        <w:jc w:val="both"/>
        <w:ind w:firstLine="1505"/>
        <w:spacing w:after="0" w:line="246" w:lineRule="auto"/>
        <w:tabs>
          <w:tab w:leader="none" w:pos="1893"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91" w:lineRule="exact"/>
        <w:rPr>
          <w:rFonts w:ascii="Arial" w:cs="Arial" w:eastAsia="Arial" w:hAnsi="Arial"/>
          <w:sz w:val="20"/>
          <w:szCs w:val="20"/>
          <w:b w:val="1"/>
          <w:bCs w:val="1"/>
          <w:color w:val="auto"/>
        </w:rPr>
      </w:pPr>
    </w:p>
    <w:p>
      <w:pPr>
        <w:jc w:val="both"/>
        <w:ind w:firstLine="1505"/>
        <w:spacing w:after="0" w:line="246" w:lineRule="auto"/>
        <w:tabs>
          <w:tab w:leader="none" w:pos="1893"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 xml:space="preserve">10.9 Enforcement. </w:t>
      </w:r>
      <w:r>
        <w:rPr>
          <w:rFonts w:ascii="Arial" w:cs="Arial" w:eastAsia="Arial" w:hAnsi="Arial"/>
          <w:sz w:val="20"/>
          <w:szCs w:val="20"/>
          <w:color w:val="auto"/>
        </w:rPr>
        <w:t>The Parties agree that irreparable damage would occur in the event that any of the provisions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were not performed in accordance with their specific terms or were otherwise breached and that any breach of this Agreement would not be adequately compensated by monetary damages. The Parties acknowledge and agree that the Parties shall be entitled, without posting a bond or similar indemnity, to an injunction, specific performance and other equitable relief to prevent breaches of this Agreement and to enforce specifically the terms and provisions hereof in any court as specified in </w:t>
      </w:r>
      <w:r>
        <w:rPr>
          <w:rFonts w:ascii="Arial" w:cs="Arial" w:eastAsia="Arial" w:hAnsi="Arial"/>
          <w:sz w:val="20"/>
          <w:szCs w:val="20"/>
          <w:u w:val="single" w:color="auto"/>
          <w:color w:val="auto"/>
        </w:rPr>
        <w:t>Section 10.6</w:t>
      </w:r>
      <w:r>
        <w:rPr>
          <w:rFonts w:ascii="Arial" w:cs="Arial" w:eastAsia="Arial" w:hAnsi="Arial"/>
          <w:sz w:val="20"/>
          <w:szCs w:val="20"/>
          <w:color w:val="auto"/>
        </w:rPr>
        <w:t>, in addition to any other remedy to which they are entitled at Law or in equity.</w:t>
      </w:r>
    </w:p>
    <w:p>
      <w:pPr>
        <w:spacing w:after="0" w:line="19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6" w:name="page167"/>
    <w:bookmarkEnd w:id="166"/>
    <w:p>
      <w:pPr>
        <w:ind w:right="420" w:firstLine="8"/>
        <w:spacing w:after="0" w:line="293" w:lineRule="auto"/>
        <w:tabs>
          <w:tab w:leader="none" w:pos="352" w:val="left"/>
        </w:tabs>
        <w:numPr>
          <w:ilvl w:val="0"/>
          <w:numId w:val="18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 xml:space="preserve">10.10 Amendments. </w:t>
      </w:r>
      <w:r>
        <w:rPr>
          <w:rFonts w:ascii="Arial" w:cs="Arial" w:eastAsia="Arial" w:hAnsi="Arial"/>
          <w:sz w:val="20"/>
          <w:szCs w:val="20"/>
          <w:color w:val="auto"/>
        </w:rPr>
        <w:t>This Agreement may not be amended, modified, altered or supplemented other than by means of a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 duly executed and delivered on behalf of the Purchaser and the Seller.</w:t>
      </w:r>
    </w:p>
    <w:p>
      <w:pPr>
        <w:spacing w:after="0" w:line="16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 xml:space="preserve">10.11 Severability. </w:t>
      </w:r>
      <w:r>
        <w:rPr>
          <w:rFonts w:ascii="Arial" w:cs="Arial" w:eastAsia="Arial" w:hAnsi="Arial"/>
          <w:sz w:val="18"/>
          <w:szCs w:val="18"/>
          <w:color w:val="auto"/>
        </w:rPr>
        <w:t>Any term or provision of this Agreement that is invalid or unenforceable in any situation in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w:t>
      </w:r>
    </w:p>
    <w:p>
      <w:pPr>
        <w:spacing w:after="0" w:line="162"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b w:val="1"/>
          <w:bCs w:val="1"/>
          <w:color w:val="auto"/>
        </w:rPr>
        <w:t xml:space="preserve">10.12 Entire Agreement. </w:t>
      </w:r>
      <w:r>
        <w:rPr>
          <w:rFonts w:ascii="Arial" w:cs="Arial" w:eastAsia="Arial" w:hAnsi="Arial"/>
          <w:sz w:val="20"/>
          <w:szCs w:val="20"/>
          <w:color w:val="auto"/>
        </w:rPr>
        <w:t>The Transactional Agreements set forth the entire understanding of the Parties relating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thereof and supersede all prior agreements and understandings among or between any of the Parties relating to the subject matter thereof.</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 xml:space="preserve">10.13 Knowledge. </w:t>
      </w: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Knowledge</w:t>
      </w:r>
      <w:r>
        <w:rPr>
          <w:rFonts w:ascii="Arial" w:cs="Arial" w:eastAsia="Arial" w:hAnsi="Arial"/>
          <w:sz w:val="20"/>
          <w:szCs w:val="20"/>
          <w:color w:val="auto"/>
        </w:rPr>
        <w:t>” means the [***] by the officer of the Seller or Seller</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who has [***] responsibility for the subject matter in question) of the individuals listed in Part 10.13 of the Disclosure Schedule as of the date of this Agreement.</w:t>
      </w:r>
    </w:p>
    <w:p>
      <w:pPr>
        <w:spacing w:after="0" w:line="177"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6"/>
          <w:szCs w:val="16"/>
          <w:b w:val="1"/>
          <w:bCs w:val="1"/>
          <w:color w:val="auto"/>
        </w:rPr>
        <w:t>Construction.</w:t>
      </w:r>
    </w:p>
    <w:p>
      <w:pPr>
        <w:spacing w:after="0" w:line="222" w:lineRule="exact"/>
        <w:rPr>
          <w:sz w:val="20"/>
          <w:szCs w:val="20"/>
          <w:color w:val="auto"/>
        </w:rPr>
      </w:pPr>
    </w:p>
    <w:p>
      <w:pPr>
        <w:jc w:val="both"/>
        <w:ind w:firstLine="1505"/>
        <w:spacing w:after="0" w:line="250" w:lineRule="auto"/>
        <w:tabs>
          <w:tab w:leader="none" w:pos="1893" w:val="left"/>
        </w:tabs>
        <w:numPr>
          <w:ilvl w:val="0"/>
          <w:numId w:val="184"/>
        </w:numPr>
        <w:rPr>
          <w:rFonts w:ascii="Arial" w:cs="Arial" w:eastAsia="Arial" w:hAnsi="Arial"/>
          <w:sz w:val="20"/>
          <w:szCs w:val="20"/>
          <w:b w:val="1"/>
          <w:bCs w:val="1"/>
          <w:color w:val="auto"/>
        </w:rPr>
      </w:pPr>
      <w:r>
        <w:rPr>
          <w:rFonts w:ascii="Arial" w:cs="Arial" w:eastAsia="Arial" w:hAnsi="Arial"/>
          <w:sz w:val="20"/>
          <w:szCs w:val="20"/>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85" w:lineRule="exact"/>
        <w:rPr>
          <w:rFonts w:ascii="Arial" w:cs="Arial" w:eastAsia="Arial" w:hAnsi="Arial"/>
          <w:sz w:val="20"/>
          <w:szCs w:val="20"/>
          <w:b w:val="1"/>
          <w:bCs w:val="1"/>
          <w:color w:val="auto"/>
        </w:rPr>
      </w:pPr>
    </w:p>
    <w:p>
      <w:pPr>
        <w:ind w:right="20" w:firstLine="1505"/>
        <w:spacing w:after="0" w:line="260" w:lineRule="auto"/>
        <w:tabs>
          <w:tab w:leader="none" w:pos="1907" w:val="left"/>
        </w:tabs>
        <w:numPr>
          <w:ilvl w:val="0"/>
          <w:numId w:val="184"/>
        </w:numPr>
        <w:rPr>
          <w:rFonts w:ascii="Arial" w:cs="Arial" w:eastAsia="Arial" w:hAnsi="Arial"/>
          <w:sz w:val="20"/>
          <w:szCs w:val="20"/>
          <w:b w:val="1"/>
          <w:bCs w:val="1"/>
          <w:color w:val="auto"/>
        </w:rPr>
      </w:pPr>
      <w:r>
        <w:rPr>
          <w:rFonts w:ascii="Arial" w:cs="Arial" w:eastAsia="Arial" w:hAnsi="Arial"/>
          <w:sz w:val="20"/>
          <w:szCs w:val="20"/>
          <w:color w:val="auto"/>
        </w:rPr>
        <w:t>The Parties agree that any rule of construction to the effect that ambiguities are to be resolved against the drafting party shall not be applied in the construction or interpretation of this Agreement.</w:t>
      </w:r>
    </w:p>
    <w:p>
      <w:pPr>
        <w:spacing w:after="0" w:line="176" w:lineRule="exact"/>
        <w:rPr>
          <w:rFonts w:ascii="Arial" w:cs="Arial" w:eastAsia="Arial" w:hAnsi="Arial"/>
          <w:sz w:val="20"/>
          <w:szCs w:val="20"/>
          <w:b w:val="1"/>
          <w:bCs w:val="1"/>
          <w:color w:val="auto"/>
        </w:rPr>
      </w:pPr>
    </w:p>
    <w:p>
      <w:pPr>
        <w:ind w:firstLine="1505"/>
        <w:spacing w:after="0" w:line="260" w:lineRule="auto"/>
        <w:tabs>
          <w:tab w:leader="none" w:pos="1907" w:val="left"/>
        </w:tabs>
        <w:numPr>
          <w:ilvl w:val="0"/>
          <w:numId w:val="184"/>
        </w:numPr>
        <w:rPr>
          <w:rFonts w:ascii="Arial" w:cs="Arial" w:eastAsia="Arial" w:hAnsi="Arial"/>
          <w:sz w:val="20"/>
          <w:szCs w:val="20"/>
          <w:b w:val="1"/>
          <w:bCs w:val="1"/>
          <w:color w:val="auto"/>
        </w:rPr>
      </w:pPr>
      <w:r>
        <w:rPr>
          <w:rFonts w:ascii="Arial" w:cs="Arial" w:eastAsia="Arial" w:hAnsi="Arial"/>
          <w:sz w:val="20"/>
          <w:szCs w:val="20"/>
          <w:color w:val="auto"/>
        </w:rPr>
        <w:t>As used in this Agreement, the words “include” and “including,” and variations thereof, shall not be deemed to be terms of limitation, but rather shall be deemed to be followed by the words “without limitation.”</w:t>
      </w:r>
    </w:p>
    <w:p>
      <w:pPr>
        <w:spacing w:after="0" w:line="176" w:lineRule="exact"/>
        <w:rPr>
          <w:rFonts w:ascii="Arial" w:cs="Arial" w:eastAsia="Arial" w:hAnsi="Arial"/>
          <w:sz w:val="20"/>
          <w:szCs w:val="20"/>
          <w:b w:val="1"/>
          <w:bCs w:val="1"/>
          <w:color w:val="auto"/>
        </w:rPr>
      </w:pPr>
    </w:p>
    <w:p>
      <w:pPr>
        <w:ind w:right="20" w:firstLine="1505"/>
        <w:spacing w:after="0" w:line="260" w:lineRule="auto"/>
        <w:tabs>
          <w:tab w:leader="none" w:pos="1893" w:val="left"/>
        </w:tabs>
        <w:numPr>
          <w:ilvl w:val="0"/>
          <w:numId w:val="184"/>
        </w:numPr>
        <w:rPr>
          <w:rFonts w:ascii="Arial" w:cs="Arial" w:eastAsia="Arial" w:hAnsi="Arial"/>
          <w:sz w:val="20"/>
          <w:szCs w:val="20"/>
          <w:b w:val="1"/>
          <w:bCs w:val="1"/>
          <w:color w:val="auto"/>
        </w:rPr>
      </w:pPr>
      <w:r>
        <w:rPr>
          <w:rFonts w:ascii="Arial" w:cs="Arial" w:eastAsia="Arial" w:hAnsi="Arial"/>
          <w:sz w:val="20"/>
          <w:szCs w:val="20"/>
          <w:color w:val="auto"/>
        </w:rPr>
        <w:t>Except as otherwise indicated, all references in this Agreement to “Sections” and “Exhibits” are intended to refer to Sections of this Agreement and Exhibits to this Agreement.</w:t>
      </w:r>
    </w:p>
    <w:p>
      <w:pPr>
        <w:spacing w:after="0" w:line="176" w:lineRule="exact"/>
        <w:rPr>
          <w:rFonts w:ascii="Arial" w:cs="Arial" w:eastAsia="Arial" w:hAnsi="Arial"/>
          <w:sz w:val="20"/>
          <w:szCs w:val="20"/>
          <w:b w:val="1"/>
          <w:bCs w:val="1"/>
          <w:color w:val="auto"/>
        </w:rPr>
      </w:pPr>
    </w:p>
    <w:p>
      <w:pPr>
        <w:jc w:val="both"/>
        <w:ind w:firstLine="1505"/>
        <w:spacing w:after="0" w:line="260" w:lineRule="auto"/>
        <w:tabs>
          <w:tab w:leader="none" w:pos="1893" w:val="left"/>
        </w:tabs>
        <w:numPr>
          <w:ilvl w:val="0"/>
          <w:numId w:val="184"/>
        </w:numPr>
        <w:rPr>
          <w:rFonts w:ascii="Arial" w:cs="Arial" w:eastAsia="Arial" w:hAnsi="Arial"/>
          <w:sz w:val="19"/>
          <w:szCs w:val="19"/>
          <w:b w:val="1"/>
          <w:bCs w:val="1"/>
          <w:color w:val="auto"/>
        </w:rPr>
      </w:pPr>
      <w:r>
        <w:rPr>
          <w:rFonts w:ascii="Arial" w:cs="Arial" w:eastAsia="Arial" w:hAnsi="Arial"/>
          <w:sz w:val="19"/>
          <w:szCs w:val="19"/>
          <w:color w:val="auto"/>
        </w:rPr>
        <w:t>Neither the specification of any dollar amount in any representation or warranty contained in this Agreement nor the inclusion of any specific item in the Disclosure Schedule is intended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 is or is not material for purposes of this Agreement.</w:t>
      </w:r>
    </w:p>
    <w:p>
      <w:pPr>
        <w:spacing w:after="0" w:line="18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7" w:name="page168"/>
    <w:bookmarkEnd w:id="167"/>
    <w:p>
      <w:pPr>
        <w:ind w:left="-8" w:right="420" w:firstLine="8"/>
        <w:spacing w:after="0" w:line="293" w:lineRule="auto"/>
        <w:tabs>
          <w:tab w:leader="none" w:pos="344" w:val="left"/>
        </w:tabs>
        <w:numPr>
          <w:ilvl w:val="0"/>
          <w:numId w:val="18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rFonts w:ascii="Arial" w:cs="Arial" w:eastAsia="Arial" w:hAnsi="Arial"/>
          <w:sz w:val="14"/>
          <w:szCs w:val="14"/>
          <w:color w:val="auto"/>
        </w:rPr>
      </w:pPr>
    </w:p>
    <w:p>
      <w:pPr>
        <w:jc w:val="both"/>
        <w:ind w:left="-8" w:firstLine="1505"/>
        <w:spacing w:after="0" w:line="243" w:lineRule="auto"/>
        <w:tabs>
          <w:tab w:leader="none" w:pos="1926" w:val="left"/>
        </w:tabs>
        <w:numPr>
          <w:ilvl w:val="1"/>
          <w:numId w:val="185"/>
        </w:numPr>
        <w:rPr>
          <w:rFonts w:ascii="Arial" w:cs="Arial" w:eastAsia="Arial" w:hAnsi="Arial"/>
          <w:sz w:val="20"/>
          <w:szCs w:val="20"/>
          <w:b w:val="1"/>
          <w:bCs w:val="1"/>
          <w:color w:val="auto"/>
        </w:rPr>
      </w:pPr>
      <w:r>
        <w:rPr>
          <w:rFonts w:ascii="Arial" w:cs="Arial" w:eastAsia="Arial" w:hAnsi="Arial"/>
          <w:sz w:val="20"/>
          <w:szCs w:val="20"/>
          <w:color w:val="auto"/>
        </w:rPr>
        <w:t>Unless this Agreement specifically provides otherwise, neither the specification of any item or matter in any representation or warranty contained in this Agreement nor the inclusion of any specific item in the Disclosure Schedule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herein or included in the Disclosure Schedules is or is not in the Ordinary Course of Business for purposes of this Agreement.</w:t>
      </w:r>
    </w:p>
    <w:p>
      <w:pPr>
        <w:spacing w:after="0" w:line="195" w:lineRule="exact"/>
        <w:rPr>
          <w:rFonts w:ascii="Arial" w:cs="Arial" w:eastAsia="Arial" w:hAnsi="Arial"/>
          <w:sz w:val="20"/>
          <w:szCs w:val="20"/>
          <w:b w:val="1"/>
          <w:bCs w:val="1"/>
          <w:color w:val="auto"/>
        </w:rPr>
      </w:pPr>
    </w:p>
    <w:p>
      <w:pPr>
        <w:jc w:val="both"/>
        <w:ind w:left="-8" w:firstLine="1505"/>
        <w:spacing w:after="0" w:line="250" w:lineRule="auto"/>
        <w:tabs>
          <w:tab w:leader="none" w:pos="1885" w:val="left"/>
        </w:tabs>
        <w:numPr>
          <w:ilvl w:val="1"/>
          <w:numId w:val="185"/>
        </w:numPr>
        <w:rPr>
          <w:rFonts w:ascii="Arial" w:cs="Arial" w:eastAsia="Arial" w:hAnsi="Arial"/>
          <w:sz w:val="20"/>
          <w:szCs w:val="20"/>
          <w:b w:val="1"/>
          <w:bCs w:val="1"/>
          <w:color w:val="auto"/>
        </w:rPr>
      </w:pPr>
      <w:r>
        <w:rPr>
          <w:rFonts w:ascii="Arial" w:cs="Arial" w:eastAsia="Arial" w:hAnsi="Arial"/>
          <w:sz w:val="20"/>
          <w:szCs w:val="20"/>
          <w:color w:val="auto"/>
        </w:rPr>
        <w:t>References to any document or information having been “made available” by the Seller to the Purchaser shall include the Seller or its Representatives having posted such document or information to the VDR or otherwise having made a copy of such document or information available (electronically or otherwise) prior to the execution hereof.</w:t>
      </w:r>
    </w:p>
    <w:p>
      <w:pPr>
        <w:spacing w:after="0" w:line="185" w:lineRule="exact"/>
        <w:rPr>
          <w:rFonts w:ascii="Arial" w:cs="Arial" w:eastAsia="Arial" w:hAnsi="Arial"/>
          <w:sz w:val="20"/>
          <w:szCs w:val="20"/>
          <w:b w:val="1"/>
          <w:bCs w:val="1"/>
          <w:color w:val="auto"/>
        </w:rPr>
      </w:pPr>
    </w:p>
    <w:p>
      <w:pPr>
        <w:jc w:val="both"/>
        <w:ind w:left="-8" w:firstLine="1505"/>
        <w:spacing w:after="0" w:line="256" w:lineRule="auto"/>
        <w:tabs>
          <w:tab w:leader="none" w:pos="1899" w:val="left"/>
        </w:tabs>
        <w:numPr>
          <w:ilvl w:val="1"/>
          <w:numId w:val="185"/>
        </w:numPr>
        <w:rPr>
          <w:rFonts w:ascii="Arial" w:cs="Arial" w:eastAsia="Arial" w:hAnsi="Arial"/>
          <w:sz w:val="19"/>
          <w:szCs w:val="19"/>
          <w:b w:val="1"/>
          <w:bCs w:val="1"/>
          <w:color w:val="auto"/>
        </w:rPr>
      </w:pPr>
      <w:r>
        <w:rPr>
          <w:rFonts w:ascii="Arial" w:cs="Arial" w:eastAsia="Arial" w:hAnsi="Arial"/>
          <w:sz w:val="19"/>
          <w:szCs w:val="19"/>
          <w:color w:val="auto"/>
        </w:rPr>
        <w:t>Each Part of the Disclosure Schedule qualifies, and constitutes disclosure for purposes of, (i) the correspondingly numbered Section of this Agreement; and (ii) any other Section of this Agreement to the extent it is reasonably apparent upon reading the disclosure contained in such Part of the Disclosure Schedule that such disclosure is applicable, relevant or responsive to such other Section of this Agreement. The inclusion of any information, matter or document disclosed or referenced in, or attached to, the Disclosure Schedule shall not (i) be used as a basis for interpreting the terms “material”, “Material Adverse Effect” or other similar terms in this Agreement or to establish a standard of materiality; (ii) represent a determination that such item or matter did not arise in the Ordinary Course of Business; (iii) be deemed or interpreted to expand the scope of the Seller’s respective representations and warranties, obligations, covenants, conditions or agreements contained herein; or (iv) constitute, or be deemed to constitute, an admission of liability or obligation to a third-party regarding such matter.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72"/>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ind w:left="5872"/>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0" w:right="339" w:bottom="1440" w:gutter="0" w:footer="0" w:header="0"/>
        </w:sectPr>
      </w:pPr>
    </w:p>
    <w:bookmarkStart w:id="168" w:name="page169"/>
    <w:bookmarkEnd w:id="168"/>
    <w:p>
      <w:pPr>
        <w:ind w:firstLine="8"/>
        <w:spacing w:after="0" w:line="293" w:lineRule="auto"/>
        <w:tabs>
          <w:tab w:leader="none" w:pos="352" w:val="left"/>
        </w:tabs>
        <w:numPr>
          <w:ilvl w:val="0"/>
          <w:numId w:val="18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The Parties have caused this Agreement to be executed and delivered as of the date first written above.</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ytek</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4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Wenbin Jiang,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-14605</wp:posOffset>
            </wp:positionV>
            <wp:extent cx="12947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 Wenbin Jiang, Ph.D.</w:t>
      </w:r>
    </w:p>
    <w:p>
      <w:pPr>
        <w:ind w:left="450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uminex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/s/ Angelo Rago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-14605</wp:posOffset>
            </wp:positionV>
            <wp:extent cx="10433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 Angelo Rago</w:t>
      </w:r>
    </w:p>
    <w:p>
      <w:pPr>
        <w:ind w:left="45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Signature Page to Asset Purchase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0" w:right="759" w:bottom="1440" w:gutter="0" w:footer="0" w:header="0"/>
        </w:sectPr>
      </w:pPr>
    </w:p>
    <w:bookmarkStart w:id="169" w:name="page170"/>
    <w:bookmarkEnd w:id="169"/>
    <w:p>
      <w:pPr>
        <w:ind w:right="420" w:firstLine="8"/>
        <w:spacing w:after="0" w:line="293" w:lineRule="auto"/>
        <w:tabs>
          <w:tab w:leader="none" w:pos="352" w:val="left"/>
        </w:tabs>
        <w:numPr>
          <w:ilvl w:val="0"/>
          <w:numId w:val="18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CERTAIN DEFINITIONS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purposes of the Agreement (including this E</w:t>
      </w:r>
      <w:r>
        <w:rPr>
          <w:rFonts w:ascii="Arial" w:cs="Arial" w:eastAsia="Arial" w:hAnsi="Arial"/>
          <w:sz w:val="13"/>
          <w:szCs w:val="13"/>
          <w:color w:val="auto"/>
        </w:rPr>
        <w:t>xhibit</w:t>
      </w:r>
      <w:r>
        <w:rPr>
          <w:rFonts w:ascii="Arial" w:cs="Arial" w:eastAsia="Arial" w:hAnsi="Arial"/>
          <w:sz w:val="20"/>
          <w:szCs w:val="20"/>
          <w:color w:val="auto"/>
        </w:rPr>
        <w:t xml:space="preserve"> A):</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Abbreviated Financials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 Payable</w:t>
      </w:r>
      <w:r>
        <w:rPr>
          <w:rFonts w:ascii="Arial" w:cs="Arial" w:eastAsia="Arial" w:hAnsi="Arial"/>
          <w:sz w:val="19"/>
          <w:szCs w:val="19"/>
          <w:color w:val="auto"/>
        </w:rPr>
        <w:t>” shall mean accounts payable (including accounting accruals associated with invoices received not entered, or for receipts of goods of services performed not yet entered into the accounts payable sub-ledger) to the extent related to the Business which, as of the Closing, are (i) outstanding and (ii) not overdue pursuant to the applicable payment terms.</w:t>
      </w:r>
    </w:p>
    <w:p>
      <w:pPr>
        <w:spacing w:after="0" w:line="162"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 Receivable</w:t>
      </w:r>
      <w:r>
        <w:rPr>
          <w:rFonts w:ascii="Arial" w:cs="Arial" w:eastAsia="Arial" w:hAnsi="Arial"/>
          <w:sz w:val="20"/>
          <w:szCs w:val="20"/>
          <w:color w:val="auto"/>
        </w:rPr>
        <w:t>” shall mean accounts receivable to the extent related to the Business and other rights to payment from customers of the Seller and each Seller Affiliate with respect to the Business which, as of the Closing: (i) have not been paid to the Seller or a Seller Affiliate and (ii) are not overdue pursuant to the applicable payment terms.</w:t>
      </w:r>
    </w:p>
    <w:p>
      <w:pPr>
        <w:spacing w:after="0" w:line="17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shall mean any transaction involving the sale or other disposition of all or a portion of the Business or the Purchased Assets (other than in the Ordinary Course of Business). For the avoidance of doubt, the term “Acquisition Transaction” shall not be construed to mean any transaction involving the Seller or any of its Affiliates that is not specifically related to the Business or the Purchased Assets and that does not impair or impede the consummation of the transactions contemplated by this Agreement.</w:t>
      </w:r>
    </w:p>
    <w:p>
      <w:pPr>
        <w:spacing w:after="0" w:line="15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Except as otherwise specifically provided in the Agreement, “</w:t>
      </w:r>
      <w:r>
        <w:rPr>
          <w:rFonts w:ascii="Arial" w:cs="Arial" w:eastAsia="Arial" w:hAnsi="Arial"/>
          <w:sz w:val="20"/>
          <w:szCs w:val="20"/>
          <w:b w:val="1"/>
          <w:bCs w:val="1"/>
          <w:color w:val="auto"/>
        </w:rPr>
        <w:t>Affiliate</w:t>
      </w:r>
      <w:r>
        <w:rPr>
          <w:rFonts w:ascii="Arial" w:cs="Arial" w:eastAsia="Arial" w:hAnsi="Arial"/>
          <w:sz w:val="20"/>
          <w:szCs w:val="20"/>
          <w:color w:val="auto"/>
        </w:rPr>
        <w:t>” shall mean, with respect to any specified Person, any other Person which, directly or indirectly, controls, is under common control with, or is controlled by, such specified Person, through one or more intermediaries or otherwise. For purposes of this definition, the term “control” means the possession, direct or indirect, of the power to direct or cause the direction of the management or policies of a Person, whether through the ownership of voting securities, by contract or otherwise.</w:t>
      </w:r>
    </w:p>
    <w:p>
      <w:pPr>
        <w:spacing w:after="0" w:line="18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shall mean this Asset Purchase Agreement to which this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 xml:space="preserve"> is attached (including the Disclosure Schedule), as it may be amended from time to time.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Allocation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1.9</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Announcement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4.7</w:t>
      </w:r>
      <w:r>
        <w:rPr>
          <w:rFonts w:ascii="Arial" w:cs="Arial" w:eastAsia="Arial" w:hAnsi="Arial"/>
          <w:sz w:val="20"/>
          <w:szCs w:val="20"/>
          <w:i w:val="1"/>
          <w:iCs w:val="1"/>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Anti-Bribery Law</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2.6(b)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AR/AP Disputed Item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AR/AP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1.3(b)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Bill of Sale and Assumption Agreement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1.10(b)(i)</w:t>
      </w:r>
      <w:r>
        <w:rPr>
          <w:rFonts w:ascii="Arial" w:cs="Arial" w:eastAsia="Arial" w:hAnsi="Arial"/>
          <w:sz w:val="20"/>
          <w:szCs w:val="20"/>
          <w:color w:val="auto"/>
        </w:rPr>
        <w:t>.</w:t>
      </w:r>
    </w:p>
    <w:p>
      <w:pPr>
        <w:spacing w:after="0" w:line="216"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Books and Records</w:t>
      </w:r>
      <w:r>
        <w:rPr>
          <w:rFonts w:ascii="Arial" w:cs="Arial" w:eastAsia="Arial" w:hAnsi="Arial"/>
          <w:sz w:val="20"/>
          <w:szCs w:val="20"/>
          <w:color w:val="auto"/>
        </w:rPr>
        <w:t>” shall mean all books, files, reports, plans, records, manuals and other materials, including Tax Returns, records, files, invoices, correspondence and memoranda, scientific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268605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0" w:name="page171"/>
    <w:bookmarkEnd w:id="170"/>
    <w:p>
      <w:pPr>
        <w:ind w:right="420" w:firstLine="8"/>
        <w:spacing w:after="0" w:line="293" w:lineRule="auto"/>
        <w:tabs>
          <w:tab w:leader="none" w:pos="352" w:val="left"/>
        </w:tabs>
        <w:numPr>
          <w:ilvl w:val="0"/>
          <w:numId w:val="18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records and files (including invention disclosures), customer and supplier lists, data, specifications, operating history information and inventory records (in any form or medium) of, or maintained for, or relating to, the Purchased Assets and/or the Business (it being understood that if any of the foregoing relates to the Purchased Assets and/or the Business as well as other assets or businesses of the Seller or any Seller Affiliate, the term “Books and Records” shall only mean that portion or extract of such item or items that relate to the Purchased Assets and/or the Business). For the avoidance of doubt, the term “Books and Records” shall not include any financial statements, ledgers, books of account or other financial books and records other than historical financial statements in the possession of the Seller of the type described in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other than such books and records readily available and already maintained separately by the Seller for the Business in the Ordinary Course of Business.</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There shall be deemed to be a “</w:t>
      </w:r>
      <w:r>
        <w:rPr>
          <w:rFonts w:ascii="Arial" w:cs="Arial" w:eastAsia="Arial" w:hAnsi="Arial"/>
          <w:sz w:val="20"/>
          <w:szCs w:val="20"/>
          <w:b w:val="1"/>
          <w:bCs w:val="1"/>
          <w:color w:val="auto"/>
        </w:rPr>
        <w:t>Breach</w:t>
      </w:r>
      <w:r>
        <w:rPr>
          <w:rFonts w:ascii="Arial" w:cs="Arial" w:eastAsia="Arial" w:hAnsi="Arial"/>
          <w:sz w:val="20"/>
          <w:szCs w:val="20"/>
          <w:color w:val="auto"/>
        </w:rPr>
        <w:t>” of a representation, warranty, covenant, obligation or other provision if there is or has been any inaccuracy in or breach (including any inadvertent or innocent breach) of, or any failure (including any inadvertent failure) to comply with or perform, such representation, warranty, covenant, obligation or other provision; and the term “Breach” shall be deemed to refer to any such inaccuracy, breach or failure.</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shall mean the Seller’s business of manufacturing, marketing, selling, servicing and maintaining Amnis-, CellStream-, Guava- and Muse-branded (i) instruments (and software developed for use with such instruments) and (ii) flow cytometry reagent products and services.</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any other day on which commercial banks located in the United States or Italy are authorized or obligated by applicable Law to close.</w:t>
      </w:r>
    </w:p>
    <w:p>
      <w:pPr>
        <w:spacing w:after="0" w:line="163"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Portion</w:t>
      </w:r>
      <w:r>
        <w:rPr>
          <w:rFonts w:ascii="Arial" w:cs="Arial" w:eastAsia="Arial" w:hAnsi="Arial"/>
          <w:sz w:val="20"/>
          <w:szCs w:val="20"/>
          <w:color w:val="auto"/>
        </w:rPr>
        <w:t>” means that portion of any Shared Contract that relates to the Business and is separable from the rights thereunder applicable to any other business or operation of the Seller or any Seller Affiliates.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 Notice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Consideration</w:t>
      </w:r>
      <w:r>
        <w:rPr>
          <w:rFonts w:ascii="Arial" w:cs="Arial" w:eastAsia="Arial" w:hAnsi="Arial"/>
          <w:sz w:val="20"/>
          <w:szCs w:val="20"/>
          <w:color w:val="auto"/>
        </w:rPr>
        <w:t>” shall mean the Purchase Price minus $267,150.</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1.10(a)</w:t>
      </w:r>
      <w:r>
        <w:rPr>
          <w:rFonts w:ascii="Arial" w:cs="Arial" w:eastAsia="Arial" w:hAnsi="Arial"/>
          <w:sz w:val="20"/>
          <w:szCs w:val="20"/>
          <w:color w:val="auto"/>
        </w:rPr>
        <w:t>.</w:t>
      </w:r>
    </w:p>
    <w:p>
      <w:pPr>
        <w:spacing w:after="0" w:line="216"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and any reference to any particular Code section shall be interpreted to include any revision of or successor to that section regardless of how numbered or classified.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Combined Cap</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Consent</w:t>
      </w:r>
      <w:r>
        <w:rPr>
          <w:rFonts w:ascii="Arial" w:cs="Arial" w:eastAsia="Arial" w:hAnsi="Arial"/>
          <w:sz w:val="20"/>
          <w:szCs w:val="20"/>
          <w:color w:val="auto"/>
        </w:rPr>
        <w:t>” shall mean any approval, consent, ratification, permission, waiver or authorization (including any Governmental Authorization).</w:t>
      </w:r>
    </w:p>
    <w:p>
      <w:pPr>
        <w:spacing w:after="0" w:line="163"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w:t>
      </w:r>
      <w:r>
        <w:rPr>
          <w:rFonts w:ascii="Arial" w:cs="Arial" w:eastAsia="Arial" w:hAnsi="Arial"/>
          <w:sz w:val="20"/>
          <w:szCs w:val="20"/>
          <w:color w:val="auto"/>
        </w:rPr>
        <w:t>” shall mean any written, oral or other agreement, contract, understanding, arrangement, or other instrument, note, guaranty, indemnity, representation, warranty, deed, assignment, power of attorney, certificate, purchase order, work order, insurance policy, benefit plan, commitment, covenant, assurance or undertaking of any nature.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1" w:name="page172"/>
    <w:bookmarkEnd w:id="171"/>
    <w:p>
      <w:pPr>
        <w:ind w:right="420" w:firstLine="8"/>
        <w:spacing w:after="0" w:line="293" w:lineRule="auto"/>
        <w:tabs>
          <w:tab w:leader="none" w:pos="352" w:val="left"/>
        </w:tabs>
        <w:numPr>
          <w:ilvl w:val="0"/>
          <w:numId w:val="189"/>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Governmental Authorization, Intellectual Property or Technology, possession of the right, whether directly or indirectly, and whether by ownership, license or otherwise, to assign or grant a license, sublicense or other right to or under such Governmental Authorization, Intellectual Property or Technology as provided for herein or in any of the Transactional Agreements without violating the terms of any agreement with any Third Party and without a requirement to obtain a consent from any Third Party or to pay or grant any additional rights, immunities or consideration to any Third Party.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Copyrights</w:t>
      </w:r>
      <w:r>
        <w:rPr>
          <w:rFonts w:ascii="Arial" w:cs="Arial" w:eastAsia="Arial" w:hAnsi="Arial"/>
          <w:sz w:val="20"/>
          <w:szCs w:val="20"/>
          <w:color w:val="auto"/>
        </w:rPr>
        <w:t>” shall mean copyrights and registrations and applications therefor, and mask work rights.</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COVID-19</w:t>
      </w:r>
      <w:r>
        <w:rPr>
          <w:rFonts w:ascii="Arial" w:cs="Arial" w:eastAsia="Arial" w:hAnsi="Arial"/>
          <w:sz w:val="20"/>
          <w:szCs w:val="20"/>
          <w:color w:val="auto"/>
        </w:rPr>
        <w:t>” means SARS-CoV-2 or COVID-19, and any evolutions, mutations (or antigenic shift) or variants thereof or related or associated epidemics, pandemics or disease outbreaks, or any escalation or worsening of any of the foregoing (including any subsequent waves).</w:t>
      </w:r>
    </w:p>
    <w:p>
      <w:pPr>
        <w:spacing w:after="0" w:line="177"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COVID-19 Measure</w:t>
      </w:r>
      <w:r>
        <w:rPr>
          <w:rFonts w:ascii="Arial" w:cs="Arial" w:eastAsia="Arial" w:hAnsi="Arial"/>
          <w:sz w:val="19"/>
          <w:szCs w:val="19"/>
          <w:color w:val="auto"/>
        </w:rPr>
        <w:t>” means any quarantine, shelter in place, stay at home, workforce reduction, social distancing, shut down, closure, sequester, return to work, employment, human resources or similar Law, Governmental Authorization, directive, guidelines or recommendations promulgated by any Governmental Body, including the Centers for Disease Control and Prevention and the World Health Organization, or any applicable industry group, in each case, in connection with or in response to COVID-19, and including, in each case, any changes in any such Law, Governmental Authorization, directive, guidelines or recommendations.</w:t>
      </w:r>
    </w:p>
    <w:p>
      <w:pPr>
        <w:spacing w:after="0" w:line="17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Damages</w:t>
      </w:r>
      <w:r>
        <w:rPr>
          <w:rFonts w:ascii="Arial" w:cs="Arial" w:eastAsia="Arial" w:hAnsi="Arial"/>
          <w:sz w:val="20"/>
          <w:szCs w:val="20"/>
          <w:color w:val="auto"/>
        </w:rPr>
        <w:t xml:space="preserve">” shall include any loss, damage, injury, decline in value, lost opportunity, Liability, claim, demand, settlement, judgment, award, fine, penalty, Tax, fee (including any legal fee, expert fee, accounting fee or advisory fee), charge, cost (including any cost of investigation) or expense of any nature; </w:t>
      </w:r>
      <w:r>
        <w:rPr>
          <w:rFonts w:ascii="Arial" w:cs="Arial" w:eastAsia="Arial" w:hAnsi="Arial"/>
          <w:sz w:val="20"/>
          <w:szCs w:val="20"/>
          <w:u w:val="single" w:color="auto"/>
          <w:color w:val="auto"/>
        </w:rPr>
        <w:t>provided</w:t>
      </w:r>
      <w:r>
        <w:rPr>
          <w:rFonts w:ascii="Arial" w:cs="Arial" w:eastAsia="Arial" w:hAnsi="Arial"/>
          <w:sz w:val="20"/>
          <w:szCs w:val="20"/>
          <w:color w:val="auto"/>
        </w:rPr>
        <w:t>, that “Damages” shall exclude any indirect damages, consequential damages, special damages, punitive damages or lost profits or any damages calculated based on a multiple of earnings or any other multiple-based formulation, unless awarded to a Third Party.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Designated Employees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Disclosure Schedule</w:t>
      </w:r>
      <w:r>
        <w:rPr>
          <w:rFonts w:ascii="Arial" w:cs="Arial" w:eastAsia="Arial" w:hAnsi="Arial"/>
          <w:sz w:val="20"/>
          <w:szCs w:val="20"/>
          <w:color w:val="auto"/>
        </w:rPr>
        <w:t>” shall mean the schedule (dated as of the date of the Agreement) delivered to the Purchaser on behalf of the Seller, a copy of which is attached to the Agreement and incorporated in the Agreement by reference.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Disputed Amounts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“Disputed Item” </w:t>
      </w:r>
      <w:r>
        <w:rPr>
          <w:rFonts w:ascii="Arial" w:cs="Arial" w:eastAsia="Arial" w:hAnsi="Arial"/>
          <w:sz w:val="20"/>
          <w:szCs w:val="20"/>
          <w:color w:val="auto"/>
        </w:rPr>
        <w:t>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1.9</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Agreements</w:t>
      </w:r>
      <w:r>
        <w:rPr>
          <w:rFonts w:ascii="Arial" w:cs="Arial" w:eastAsia="Arial" w:hAnsi="Arial"/>
          <w:sz w:val="20"/>
          <w:szCs w:val="20"/>
          <w:color w:val="auto"/>
        </w:rPr>
        <w:t>” mean all employment agreements, consulting agreements and other similar contracts or agreements, whether written or unwritten between the Seller or any Affiliate, on the one hand, and any employee, director, individual independent contractor or individual consultant that provides services to the Business, on the other hand.</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Offer</w:t>
      </w:r>
      <w:r>
        <w:rPr>
          <w:rFonts w:ascii="Arial" w:cs="Arial" w:eastAsia="Arial" w:hAnsi="Arial"/>
          <w:sz w:val="20"/>
          <w:szCs w:val="20"/>
          <w:color w:val="auto"/>
        </w:rPr>
        <w:t>” shall mean an offer of employment or continued employment upon and following the Closing to a Designated Employee by Purchaser or any Purchaser Affiliate or a third-party professional employer organization with respect to which Purchaser contracts to hire any Designated Employees.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2" w:name="page173"/>
    <w:bookmarkEnd w:id="172"/>
    <w:p>
      <w:pPr>
        <w:ind w:right="420" w:firstLine="8"/>
        <w:spacing w:after="0" w:line="293" w:lineRule="auto"/>
        <w:tabs>
          <w:tab w:leader="none" w:pos="352" w:val="left"/>
        </w:tabs>
        <w:numPr>
          <w:ilvl w:val="0"/>
          <w:numId w:val="19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mortgage, deed of trust, pledge, hypothecation, security interest, encroachment, survey defect, encumbrance, lien, charge (fixed or floating), option, easement, purchase right, right of first refusal, right of pre-emption, conditional sale agreement, covenant, condition or other similar restriction (including restrictions on transfer) or any agreement to create any of the foregoing.</w:t>
      </w:r>
    </w:p>
    <w:p>
      <w:pPr>
        <w:spacing w:after="0" w:line="14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Entity</w:t>
      </w:r>
      <w:r>
        <w:rPr>
          <w:rFonts w:ascii="Arial" w:cs="Arial" w:eastAsia="Arial" w:hAnsi="Arial"/>
          <w:sz w:val="19"/>
          <w:szCs w:val="19"/>
          <w:color w:val="auto"/>
        </w:rPr>
        <w:t>” shall mean a corporation, a partnership, an association, a limited liability company, a joint stock company, a joint venture, a proprietorship, a trust, an unincorporated organization, an estate or other similar business entity or organization.</w:t>
      </w:r>
    </w:p>
    <w:p>
      <w:pPr>
        <w:spacing w:after="0" w:line="14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international, federal, state, or local laws, statutes, ordinances, regulations, policies, guidance, rules, judgments, orders, court decisions or rule of common law, permits, restrictions and licenses, which (a) regulate or relate to the protection or cleanup of the environment; the use, treatment, storage, transportation, handling, disposal or release of Hazardous Materials,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the Occupational Safety and Health Act (29 U.S.C. § 651 et seq.), the Resource Conservation and Recovery Act (42 U.S.C. § 6901 et seq.) and any other Law of similar effect.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Equipment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1.1(h)</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rules and regulations thereunder.</w:t>
      </w:r>
    </w:p>
    <w:p>
      <w:pPr>
        <w:spacing w:after="0" w:line="239"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means any entity that together with the Seller would be deemed a “single employer” within the meaning of Section 4001(b)(i) of ERISA.</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Severance Liability</w:t>
      </w:r>
      <w:r>
        <w:rPr>
          <w:rFonts w:ascii="Arial" w:cs="Arial" w:eastAsia="Arial" w:hAnsi="Arial"/>
          <w:sz w:val="20"/>
          <w:szCs w:val="20"/>
          <w:color w:val="auto"/>
        </w:rPr>
        <w:t>” shall mean the excess, if any, of (i) the total Severance Liabilities (other than Purchaser Sole Severance Liabilities) paid for the Designated Employees over (ii) $[***].</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Assets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16" w:lineRule="exact"/>
        <w:rPr>
          <w:sz w:val="20"/>
          <w:szCs w:val="20"/>
          <w:color w:val="auto"/>
        </w:rPr>
      </w:pPr>
    </w:p>
    <w:p>
      <w:pPr>
        <w:jc w:val="both"/>
        <w:ind w:right="20" w:firstLine="749"/>
        <w:spacing w:after="0" w:line="3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Contracts</w:t>
      </w:r>
      <w:r>
        <w:rPr>
          <w:rFonts w:ascii="Arial" w:cs="Arial" w:eastAsia="Arial" w:hAnsi="Arial"/>
          <w:sz w:val="16"/>
          <w:szCs w:val="16"/>
          <w:color w:val="auto"/>
        </w:rPr>
        <w:t>” means (a) all Shared Contracts; (b) all Contracts of the Seller or any Seller Affiliate related to Overhead and Shared Services; (c) all insurance policies of the Seller or any Seller Affiliate, (d) all Employee Benefit Plans, except to the extent explicitly assumed by the Purchaser pursuant to the terms hereof and (e) Sales Agent Agreement by and between [***] and Seller, dated June 22, 2021.</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1.3(a)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Taxes</w:t>
      </w:r>
      <w:r>
        <w:rPr>
          <w:rFonts w:ascii="Arial" w:cs="Arial" w:eastAsia="Arial" w:hAnsi="Arial"/>
          <w:sz w:val="20"/>
          <w:szCs w:val="20"/>
          <w:color w:val="auto"/>
        </w:rPr>
        <w:t xml:space="preserve">” means, without duplication, (a) Taxes of the Seller or any Seller Affiliate, or related to the Excluded Assets or Excluded Liabilities, for any taxable period (for the avoidance of doubt, including (i) Taxes of the Seller or any Seller Affiliate that becomes a Liability of the Purchaser under any common law doctrine of de facto merger or transferee or successor liability, or by operation of Contract or Law or otherwise and (ii) any Taxes of the Seller or any Seller Affiliate relating to a Pre-Closing Tax Period the payment of which has been deferred until a Post-Closing Tax Period) and (iii) to the extent not already addressed by clauses (i) or (ii) of this clause (a), Taxes of the Seller or any Seller Affiliate imposed on the Purchaser or any Purchaser Affiliate as a result of any Party’s failure to comply with any bulk sales Law and other similar Laws in any applicable jurisdiction in respect of the Transactions; (b) Taxes imposed on the Purchased Assets or with respect to the Business for any Pre-Closing Tax Period; and (c) any Transfer Taxes for which the Seller is liable pursuant to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3" w:name="page174"/>
    <w:bookmarkEnd w:id="173"/>
    <w:p>
      <w:pPr>
        <w:ind w:right="420" w:firstLine="8"/>
        <w:spacing w:after="0" w:line="293" w:lineRule="auto"/>
        <w:tabs>
          <w:tab w:leader="none" w:pos="352" w:val="left"/>
        </w:tabs>
        <w:numPr>
          <w:ilvl w:val="0"/>
          <w:numId w:val="19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Fraud</w:t>
      </w:r>
      <w:r>
        <w:rPr>
          <w:rFonts w:ascii="Arial" w:cs="Arial" w:eastAsia="Arial" w:hAnsi="Arial"/>
          <w:sz w:val="20"/>
          <w:szCs w:val="20"/>
          <w:color w:val="auto"/>
        </w:rPr>
        <w:t>” means, with respect to any Party, actual and intentional fraud by such party with respect to the making of its representations or warranties expressly set forth in this Agreement.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Representations</w:t>
      </w:r>
      <w:r>
        <w:rPr>
          <w:rFonts w:ascii="Arial" w:cs="Arial" w:eastAsia="Arial" w:hAnsi="Arial"/>
          <w:sz w:val="20"/>
          <w:szCs w:val="20"/>
          <w:color w:val="auto"/>
        </w:rPr>
        <w:t xml:space="preserve">” means the representations and warranties contained in the first sentence of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shall mean United States generally accepted accounting principles applied on a consistent basis.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Enforceability Exceptions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Signing Bonus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Authorization</w:t>
      </w:r>
      <w:r>
        <w:rPr>
          <w:rFonts w:ascii="Arial" w:cs="Arial" w:eastAsia="Arial" w:hAnsi="Arial"/>
          <w:sz w:val="20"/>
          <w:szCs w:val="20"/>
          <w:color w:val="auto"/>
        </w:rPr>
        <w:t>” shall mean any: (a) permit, license, certificate, franchise, concession, approval, consent, ratification, permission, clearance, confirmation, endorsement, waiver, certification, notification, designation, rating, registration, qualification or authorization issued, granted, given or otherwise made available by or under the authority of any Governmental Body or pursuant to any applicable Law; (b) right under any Contract with any Governmental Body.</w:t>
      </w:r>
    </w:p>
    <w:p>
      <w:pPr>
        <w:spacing w:after="0" w:line="183" w:lineRule="exact"/>
        <w:rPr>
          <w:sz w:val="20"/>
          <w:szCs w:val="20"/>
          <w:color w:val="auto"/>
        </w:rPr>
      </w:pPr>
    </w:p>
    <w:p>
      <w:pPr>
        <w:jc w:val="both"/>
        <w:ind w:firstLine="749"/>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Body</w:t>
      </w:r>
      <w:r>
        <w:rPr>
          <w:rFonts w:ascii="Arial" w:cs="Arial" w:eastAsia="Arial" w:hAnsi="Arial"/>
          <w:sz w:val="19"/>
          <w:szCs w:val="19"/>
          <w:color w:val="auto"/>
        </w:rPr>
        <w:t>” shall mean any: (a) nation, principality, state, commonwealth, province, territory, county, municipality, district or other jurisdiction of any nature; (b) federal, state, local, municipal, foreign or other government; (c) governmental or quasi</w:t>
      </w:r>
      <w:r>
        <w:rPr>
          <w:rFonts w:ascii="MS PGothic" w:cs="MS PGothic" w:eastAsia="MS PGothic" w:hAnsi="MS PGothic"/>
          <w:sz w:val="19"/>
          <w:szCs w:val="19"/>
          <w:color w:val="auto"/>
        </w:rPr>
        <w:t>‑</w:t>
      </w:r>
      <w:r>
        <w:rPr>
          <w:rFonts w:ascii="Arial" w:cs="Arial" w:eastAsia="Arial" w:hAnsi="Arial"/>
          <w:sz w:val="19"/>
          <w:szCs w:val="19"/>
          <w:color w:val="auto"/>
        </w:rPr>
        <w:t>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organization or body; or (e) individual, Entity or body exercising, or entitled to exercise, any executive, legislative, judicial, administrative, regulatory, police, military or taxing authority or power of any nature.</w:t>
      </w:r>
    </w:p>
    <w:p>
      <w:pPr>
        <w:spacing w:after="0" w:line="18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 any “hazardous substance,” “pollutant,” “contaminant,” “hazardous waste,” “regulated substance,” “hazardous chemical” or “toxic chemical” as designated, listed or defined (whether expressly or by reference) in any Environmental Law; (b) any other pollutant, chemical, substance, toxic, infectious, carcinogenic, reactive, corrosive, ignitable or flammable chemical, or chemical compound, or hazardous substance, material or waste, whether solid, liquid or gas, that is subject to regulation, control or remediation under any Environmental Laws, including any quantity of asbestos in any form, urea, formaldehyde, polychlorinated biphenyls (PCBs), radon gas, petroleum, waste oil, crude oil, or any fraction thereof, all forms of natural gas, petroleum products or by-products or derivatives, and (c) any compound, mixture, solution, product or other substance or material that contains any hazardous substance or material referred to in clause (a) and (b) above.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Inbound Licenses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Indemnifying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8.6(a)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Accountant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Insurer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shall mean and include all worldwide intellectual property rights including, without limitation, rights in and to the following: (a) Patents; (b) Marks; (c) Copyrights; (d)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4" w:name="page175"/>
    <w:bookmarkEnd w:id="174"/>
    <w:p>
      <w:pPr>
        <w:ind w:right="420" w:firstLine="8"/>
        <w:spacing w:after="0" w:line="293" w:lineRule="auto"/>
        <w:tabs>
          <w:tab w:leader="none" w:pos="352" w:val="left"/>
        </w:tabs>
        <w:numPr>
          <w:ilvl w:val="0"/>
          <w:numId w:val="192"/>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Know-How and all common law and statutory rights in any jurisdiction commonly known as “trade secrets” or that permit the holder of such right to limit the use or disclosure of its know-how and other confidential or proprietary technical, business or other information; and (e) any similar, corresponding or equivalent rights to any of the foregoing.</w:t>
      </w:r>
    </w:p>
    <w:p>
      <w:pPr>
        <w:spacing w:after="0" w:line="180"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shall mean all inventory of the Seller and the Seller Affiliates primarily relating to or to be used in the Business, including all finished product, work in process, in process materials, raw materials, packaging, components and all other materials and supplies and parts to be used or consumed by the Seller, the Seller Affiliates or their respective Representatives primarily in the manufacture or production of the Products or to be used primarily in connection with the Business whether held at any location or facility of the Seller or any of the Seller Affiliates or third party suppliers or in transit to the Seller or any of the Seller Affiliates, in each case as of the Closing Date.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Assignment Agreements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1.10(b)(ii)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shall mean inventions (whether or not patentable), invention disclosures, processes, methods, algorithms and formulae, trade secrets, technology, know-how, information, knowledge (including manufacturing knowledge), practices, formulas, instructions, skills, techniques, technical data, designs, drawings, apparatus, results of experiments, test data, including clinical data, analytical and quality control data, manufacturing data and descriptions, market data, devices, assays, procedures (including standard operating procedures), notes of experiments, specifications, compositions of matter, physical, chemical and biological materials, whether in intangible, tangible, written, electronic or other form.</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shall mean any federal, state, local, municipal, foreign or other law, statute, legislation,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Body.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Property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shall mean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generally accepted accounting principles and regardless of whether such debt, obligation, duty or liability is immediately due and payable.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Intellectual Property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Manufacturing and Supply Agreement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1.10(b)(vii)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Marks</w:t>
      </w:r>
      <w:r>
        <w:rPr>
          <w:rFonts w:ascii="Arial" w:cs="Arial" w:eastAsia="Arial" w:hAnsi="Arial"/>
          <w:sz w:val="20"/>
          <w:szCs w:val="20"/>
          <w:color w:val="auto"/>
        </w:rPr>
        <w:t>” shall mean all rights in trademarks, service marks, trade names, service names, brand names, trade dress rights, logos, Internet domain names and corporate names, and all applications, registrations and renewals thereof.</w:t>
      </w:r>
    </w:p>
    <w:p>
      <w:pPr>
        <w:spacing w:after="0" w:line="163"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Material Adverse Effect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 event, change, occurrence or development that has a material adverse effect on the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operations or financial condition of the Business, taken as a whole, but shall not include any event, change, occurrence or development relating to, arising out of or resulting from: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5" w:name="page176"/>
    <w:bookmarkEnd w:id="175"/>
    <w:p>
      <w:pPr>
        <w:ind w:right="420" w:firstLine="8"/>
        <w:spacing w:after="0" w:line="293" w:lineRule="auto"/>
        <w:tabs>
          <w:tab w:leader="none" w:pos="352" w:val="left"/>
        </w:tabs>
        <w:numPr>
          <w:ilvl w:val="0"/>
          <w:numId w:val="19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execution, announcement or pendency of this Agreement or the terms hereof (including the identity of the Purchaser) or the announcement, pendency or consummation of the transactions contemplated by this Agreement; (b) the general conditions or trends in the industries in which the Business operates or in the economy generally or other general business, financial or market conditions; (c) domestic, foreign or global political conditions, economic, regulatory, financial or capital markets conditions (including interest rates, exchange rates, tariffs, trade wars and credit markets); (d) any act of civil unrest, civil disobedience, protests, public demonstrations, insurrection, terrorism, war, cyberterrorism, ransomware or malware, military activity, sabotage, hacking or cybercrime, national or international calamity or any other similar event, including an outbreak or escalation of hostilities involving any Governmental Body or the declaration by any Governmental Body of a national emergency or war, or any worsening of any such conditions; (e) earthquakes, hurricanes, tsunamis, tornadoes, floods, mudslides, wildfires or other natural disasters, weather conditions, or other force majeure events in the United States or any other country or region in the world (or escalation or worsening of any such events or occurrences, including, in each case, the response of Governmental Body); (f) pandemics (including the COVID-19 pandemic), epidemics, contagious disease outbreaks or other comparable events (or escalation or worsening of any such events or occurrences), including, in each case, the response of Governmental Bodies (including COVID-19 Measures); (g) the failure of the Business to meet internal expectations or projections, forecasts, guidance, estimates or budgets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clause (g) shall not be construed as implying that the Seller is making any representation or warranty hereunder with respect to any internal expectations or projections, forecasts, guidance, estimates or budgets,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underlying facts and circumstances resulting in such failure may be taken into account to the extent not otherwise excluded from this definition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(h) any action taken by the Seller or at the direction of the Purchaser or any action required to be taken by the Purchaser or the Seller pursuant to the terms of this Agreement, or the failure of the Seller to take any action that the Seller is prohibited by the terms of this Agreement from taking or which the Seller did not take on account of the Purchaser withholding its consent thereto; (i) any breach by the Purchaser of this Agreement; (j) the availability or cost of equity, debt or other financing to the Purchaser any of its Affiliates; or (l) any change in any applicable Law (including any applicable COVID-19 Measures) or GAAP or any other applicable accounting principles or standards (or interpretations of any applicable Law (including any applicable COVID-19 Measures) or GAAP or any other applicable accounting principles or standards);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state of facts, circumstance, condition, event, change, development, occurrence or effect arising out of or resulting from any change or event referred to in clauses (b) through (f) may constitute a Material Adverse Effect to the extent that such change or event has a materially disproportionate impact on the Business compared to other businesses that operate in the industries in which the Business operates.</w:t>
      </w:r>
    </w:p>
    <w:p>
      <w:pPr>
        <w:spacing w:after="0" w:line="16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Adjustment Amount</w:t>
      </w:r>
      <w:r>
        <w:rPr>
          <w:rFonts w:ascii="Arial" w:cs="Arial" w:eastAsia="Arial" w:hAnsi="Arial"/>
          <w:sz w:val="20"/>
          <w:szCs w:val="20"/>
          <w:color w:val="auto"/>
        </w:rPr>
        <w:t>” shall mean either (i) the positive number representing [***] ([***]) or (ii) the negative number representing [***] ([***]).</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Objecting Employees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Objecting Employee Severance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 Calendar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Order</w:t>
      </w:r>
      <w:r>
        <w:rPr>
          <w:rFonts w:ascii="Arial" w:cs="Arial" w:eastAsia="Arial" w:hAnsi="Arial"/>
          <w:sz w:val="20"/>
          <w:szCs w:val="20"/>
          <w:color w:val="auto"/>
        </w:rPr>
        <w:t>” shall mean any: (a) order, judgment, injunction, edict, decree, ruling, pronouncement, determination, decision, opinion, verdict, sentence, subpoena, writ or award issued, made, entered, rendered or otherwise put into effect by or under the authority of any court, administrative agency or other Governmental Body or any arbitrator or arbitration panel; or (b) Contract with any Governmental Body entered into in connection with any Proceeding.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6" w:name="page177"/>
    <w:bookmarkEnd w:id="176"/>
    <w:p>
      <w:pPr>
        <w:ind w:right="420" w:firstLine="8"/>
        <w:spacing w:after="0" w:line="293" w:lineRule="auto"/>
        <w:tabs>
          <w:tab w:leader="none" w:pos="352" w:val="left"/>
        </w:tabs>
        <w:numPr>
          <w:ilvl w:val="0"/>
          <w:numId w:val="19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means actions taken by the Business that are consistent with the ordinary course of operations of the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following shall be considered to be Ordinary Course of Business: actions or inactions that the Seller or any Seller Affiliates reasonably believes are required to comply with (i) applicable Law or Order or (ii) any COVID-19 Measure.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Outbound Licenses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Overhead and Shared Services</w:t>
      </w:r>
      <w:r>
        <w:rPr>
          <w:rFonts w:ascii="Arial" w:cs="Arial" w:eastAsia="Arial" w:hAnsi="Arial"/>
          <w:sz w:val="16"/>
          <w:szCs w:val="16"/>
          <w:color w:val="auto"/>
        </w:rPr>
        <w:t>” means the ancillary corporate or shared services provided to or in support of the Business that are general corporate or other overhead services or real estate provided to both the Business and other businesses of the Seller and its Affiliates, including: access to hardware and software related to research and development services (other than with respect to the Seattle Facility) general corporate or overhead functions, administrative services, travel and entertainment services, corporate credit card services, temporary labor services, office supplies services (including copiers and faxes), personal telecommunications services, fleet services, energy/utilities services, select commodity arrangements, procurement, revenue, treasury and cash processing services, corporate surety programs, public relations, legal and risk management (including insurance) services (including workers’ compensation), business development services, executive office expense, human resources and payroll services, payment services, information technology and telecommunications services, consolidation and technical accounting, tax planning, compliance services, accounting and internal audit services, organizational development services, employee benefits services, credit, billing, collections and accounts receivable services, accounts payable services, outsource agency services, corporate property management services, environmental, health and safety management services, customs and excise services, and security operations, in each case including services relating to the provision of access to information, operating and reporting systems and databases and all hardware and software used in connection therewith, and in each case, excluding any of the foregoing services to the extent provided by a Transferred Employees to Purchaser following the Closing Date.</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shall have the meaning set forth in the Preamble.</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Patent Files</w:t>
      </w:r>
      <w:r>
        <w:rPr>
          <w:rFonts w:ascii="Arial" w:cs="Arial" w:eastAsia="Arial" w:hAnsi="Arial"/>
          <w:sz w:val="20"/>
          <w:szCs w:val="20"/>
          <w:color w:val="auto"/>
        </w:rPr>
        <w:t>” shall mean, with regard to each Patent (other than expired Patents) included in the Product IP, a copy of: (a) the file histories for such Patent in the possession of the Seller or any Seller Affiliate, including all patent application numbers and patent numbers and all notes related to such Patent; and (b) all other files relating to such Patent that are held or maintained on the Seller’s or any Seller Affiliate’s behalf by and in the possession of the Seller’s outside patent counsel.</w:t>
      </w:r>
    </w:p>
    <w:p>
      <w:pPr>
        <w:spacing w:after="0" w:line="18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Patents</w:t>
      </w:r>
      <w:r>
        <w:rPr>
          <w:rFonts w:ascii="Arial" w:cs="Arial" w:eastAsia="Arial" w:hAnsi="Arial"/>
          <w:sz w:val="20"/>
          <w:szCs w:val="20"/>
          <w:color w:val="auto"/>
        </w:rPr>
        <w:t>” shall mean all issued patents and patent applications, including all provisional applications, substitutions, requests for continuation, continuations, continuations-in-part, divisionals and renewals.</w:t>
      </w:r>
    </w:p>
    <w:p>
      <w:pPr>
        <w:spacing w:after="0" w:line="16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Permitted Encumbrance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following Encumbrances: (a) Encumbrances for Taxes not yet due and payable 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validity of which is being contested in good faith by appropriate proceedings and for which adequate reserves have been established in accordance with GAAP; (b) statutory Encumbrances of landlords and Encumbrances of carriers, warehousemen, mechanics, materialmen and other Encumbrances imposed by Law or arising in the Ordinary Course of Business; (c) Encumbrances on leased real property that do not materially affect the current use, value or current operation (in each case, as currently used); (d) zoning, entitlement, building and land use regulations, customary covenants and conditions, defects of title, easements, encroachments, rights-of-way, restrictions and other similar charges or encumbrances that do not materially interfere with the use of such Purchased Assets as currently being utilized; (e) Encumbrances arising under statutory worker’s compensation, unemployment insurance, social security, retirement and similar legislation and that relate to obligations as to which there is no default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7" w:name="page178"/>
    <w:bookmarkEnd w:id="177"/>
    <w:p>
      <w:pPr>
        <w:ind w:right="420" w:firstLine="8"/>
        <w:spacing w:after="0" w:line="293" w:lineRule="auto"/>
        <w:tabs>
          <w:tab w:leader="none" w:pos="352" w:val="left"/>
        </w:tabs>
        <w:numPr>
          <w:ilvl w:val="0"/>
          <w:numId w:val="19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 of the Seller; (f) Encumbrances securing rental payments under capital lease arrangements, in each case, solely to the extent relating to obligations as to which there is no default on the part of the Seller and not incurred in connection with the borrowing of money; (g) Encumbrances that will be released prior to or as of the Closing or that are incurred by the Purchaser or its Affiliates in connection with the Closing; (h) non-exclusive licenses of or grants of rights to Intellectual Property (in each case granted in the Ordinary Course of Business) and (i) Encumbrances arising under any of the Transactional Agreements.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mean any individual, Entity or Governmental Body.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Post-Closing AR/AP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Post-Closing Tax Period</w:t>
      </w:r>
      <w:r>
        <w:rPr>
          <w:rFonts w:ascii="Arial" w:cs="Arial" w:eastAsia="Arial" w:hAnsi="Arial"/>
          <w:sz w:val="19"/>
          <w:szCs w:val="19"/>
          <w:color w:val="auto"/>
        </w:rPr>
        <w:t xml:space="preserve">” means any taxable period commencing after the Closing Date and the portion of any Straddle Period (as determined in accordance with </w:t>
      </w:r>
      <w:r>
        <w:rPr>
          <w:rFonts w:ascii="Arial" w:cs="Arial" w:eastAsia="Arial" w:hAnsi="Arial"/>
          <w:sz w:val="19"/>
          <w:szCs w:val="19"/>
          <w:u w:val="single" w:color="auto"/>
          <w:color w:val="auto"/>
        </w:rPr>
        <w:t>Section 9.11(b)</w:t>
      </w:r>
      <w:r>
        <w:rPr>
          <w:rFonts w:ascii="Arial" w:cs="Arial" w:eastAsia="Arial" w:hAnsi="Arial"/>
          <w:sz w:val="19"/>
          <w:szCs w:val="19"/>
          <w:color w:val="auto"/>
        </w:rPr>
        <w:t>) commencing on the day immediately following the Closing Date.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Pre-Closing Period</w:t>
      </w:r>
      <w:r>
        <w:rPr>
          <w:rFonts w:ascii="Arial" w:cs="Arial" w:eastAsia="Arial" w:hAnsi="Arial"/>
          <w:sz w:val="20"/>
          <w:szCs w:val="20"/>
          <w:color w:val="auto"/>
        </w:rPr>
        <w:t>” shall mean the period from the date of this Agreement through the Closing Date.</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Pre-Closing Tax Period</w:t>
      </w:r>
      <w:r>
        <w:rPr>
          <w:rFonts w:ascii="Arial" w:cs="Arial" w:eastAsia="Arial" w:hAnsi="Arial"/>
          <w:sz w:val="20"/>
          <w:szCs w:val="20"/>
          <w:color w:val="auto"/>
        </w:rPr>
        <w:t xml:space="preserve">” means any taxable period ending on or prior to the Closing Date and the portion of any Straddle Period (as determined in accordance with </w:t>
      </w:r>
      <w:r>
        <w:rPr>
          <w:rFonts w:ascii="Arial" w:cs="Arial" w:eastAsia="Arial" w:hAnsi="Arial"/>
          <w:sz w:val="20"/>
          <w:szCs w:val="20"/>
          <w:u w:val="single" w:color="auto"/>
          <w:color w:val="auto"/>
        </w:rPr>
        <w:t>Section 9.11(b)</w:t>
      </w:r>
      <w:r>
        <w:rPr>
          <w:rFonts w:ascii="Arial" w:cs="Arial" w:eastAsia="Arial" w:hAnsi="Arial"/>
          <w:sz w:val="20"/>
          <w:szCs w:val="20"/>
          <w:color w:val="auto"/>
        </w:rPr>
        <w:t>) ending on and including the Closing Date.</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shall mean any action, suit, litigation, arbitration, proceeding (including any civil, criminal, administrative, investigative or appellate proceeding and any informal proceeding), prosecution, contest, hearing, inquiry, inquest, audit, examination or investigation commenced, brought, conducted or heard by or before, or otherwise involving, any Governmental Body or any arbitrator or arbitration panel.</w:t>
      </w:r>
    </w:p>
    <w:p>
      <w:pPr>
        <w:spacing w:after="0" w:line="18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IP</w:t>
      </w:r>
      <w:r>
        <w:rPr>
          <w:rFonts w:ascii="Arial" w:cs="Arial" w:eastAsia="Arial" w:hAnsi="Arial"/>
          <w:sz w:val="20"/>
          <w:szCs w:val="20"/>
          <w:color w:val="auto"/>
        </w:rPr>
        <w:t>” shall mean (a) the Patents, Marks and Internet domain names listed on Part 1.1(b) of the Disclosure Schedule and (b) all other Intellectual Property (including unregistered Copyrights and Know-How) owned by the Seller or any Seller Affiliate and exclusively used in the conduct of the Business.</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shall mean products related to the Amnis instrument platform product line, the Cellstream instrument platform product line, the Guava instrument platform product line and the Muse instrument platform product line and related software, reagents, kits, assays, system fluids, controls and accessories that are currently sold or offered for sale by the Seller or any Seller Affiliate, including the items as set forth on Part 1.1(c) of the Disclosure Schedule.</w:t>
      </w:r>
    </w:p>
    <w:p>
      <w:pPr>
        <w:spacing w:after="0" w:line="18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Price</w:t>
      </w:r>
      <w:r>
        <w:rPr>
          <w:rFonts w:ascii="Arial" w:cs="Arial" w:eastAsia="Arial" w:hAnsi="Arial"/>
          <w:sz w:val="20"/>
          <w:szCs w:val="20"/>
          <w:color w:val="auto"/>
        </w:rPr>
        <w:t>” shall mean $46,500,000. For the avoidance of doubt, the Purchase Price is inclusive of any Transfer Taxes that may be imposed on the transfer of the Purchased Assets pursuant to this Agreement.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Purchased Assets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w:t>
      </w:r>
      <w:r>
        <w:rPr>
          <w:rFonts w:ascii="Arial" w:cs="Arial" w:eastAsia="Arial" w:hAnsi="Arial"/>
          <w:sz w:val="20"/>
          <w:szCs w:val="20"/>
          <w:color w:val="auto"/>
        </w:rPr>
        <w:t>” shall have the meaning set forth in the Preamble.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Affiliate</w:t>
      </w:r>
      <w:r>
        <w:rPr>
          <w:rFonts w:ascii="Arial" w:cs="Arial" w:eastAsia="Arial" w:hAnsi="Arial"/>
          <w:sz w:val="20"/>
          <w:szCs w:val="20"/>
          <w:color w:val="auto"/>
        </w:rPr>
        <w:t>” shall mean any Affiliate of the Purchaser.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Cap</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“Purchaser </w:t>
      </w:r>
      <w:r>
        <w:rPr>
          <w:rFonts w:ascii="Arial" w:cs="Arial" w:eastAsia="Arial" w:hAnsi="Arial"/>
          <w:sz w:val="20"/>
          <w:szCs w:val="20"/>
          <w:color w:val="auto"/>
        </w:rPr>
        <w:t>[***]</w:t>
      </w:r>
      <w:r>
        <w:rPr>
          <w:rFonts w:ascii="Arial" w:cs="Arial" w:eastAsia="Arial" w:hAnsi="Arial"/>
          <w:sz w:val="20"/>
          <w:szCs w:val="20"/>
          <w:b w:val="1"/>
          <w:bCs w:val="1"/>
          <w:color w:val="auto"/>
        </w:rPr>
        <w:t xml:space="preserve"> Signing Bonus Cost” </w:t>
      </w:r>
      <w:r>
        <w:rPr>
          <w:rFonts w:ascii="Arial" w:cs="Arial" w:eastAsia="Arial" w:hAnsi="Arial"/>
          <w:sz w:val="20"/>
          <w:szCs w:val="20"/>
          <w:color w:val="auto"/>
        </w:rPr>
        <w:t>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8" w:name="page179"/>
    <w:bookmarkEnd w:id="178"/>
    <w:p>
      <w:pPr>
        <w:ind w:right="420" w:firstLine="8"/>
        <w:spacing w:after="0" w:line="293" w:lineRule="auto"/>
        <w:tabs>
          <w:tab w:leader="none" w:pos="352" w:val="left"/>
        </w:tabs>
        <w:numPr>
          <w:ilvl w:val="0"/>
          <w:numId w:val="19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Indemnitees</w:t>
      </w:r>
      <w:r>
        <w:rPr>
          <w:rFonts w:ascii="Arial" w:cs="Arial" w:eastAsia="Arial" w:hAnsi="Arial"/>
          <w:sz w:val="20"/>
          <w:szCs w:val="20"/>
          <w:color w:val="auto"/>
        </w:rPr>
        <w:t>” shall mean the following Persons: (a) the Purchaser; (b) the current and future Purchaser Affiliates; (c) the respective Representatives of the Persons referred to in clauses “(a)” and “(b)” above; and (d) the respective successors and assigns of the Persons referred to in clauses “(a)”, “(b)” and “(c)” above.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Sole Severance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Severance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Objecting Employees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R&amp;W Insurance Policy</w:t>
      </w:r>
      <w:r>
        <w:rPr>
          <w:rFonts w:ascii="Arial" w:cs="Arial" w:eastAsia="Arial" w:hAnsi="Arial"/>
          <w:sz w:val="20"/>
          <w:szCs w:val="20"/>
          <w:color w:val="auto"/>
        </w:rPr>
        <w:t>” shall have the meaning set forth in Section 3.3.</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R&amp;W Waiver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3.3</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IP</w:t>
      </w:r>
      <w:r>
        <w:rPr>
          <w:rFonts w:ascii="Arial" w:cs="Arial" w:eastAsia="Arial" w:hAnsi="Arial"/>
          <w:sz w:val="20"/>
          <w:szCs w:val="20"/>
          <w:color w:val="auto"/>
        </w:rPr>
        <w:t>” shall mean all Product IP that is registered or filed with any Governmental Body, including all Patents, registered Copyrights and registered trademarks within the Product IP and all applications for any of the foregoing.</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Released Purchaser Persons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9.7.</w:t>
      </w:r>
    </w:p>
    <w:p>
      <w:pPr>
        <w:spacing w:after="0" w:line="216"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shall mean, with respect to any Entity, the officers, directors, managers, employees, agents, attorneys, accountants, advisors, clinical investigators and representatives of such Entity, as applicable.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Resolution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Activities</w:t>
      </w:r>
      <w:r>
        <w:rPr>
          <w:rFonts w:ascii="Arial" w:cs="Arial" w:eastAsia="Arial" w:hAnsi="Arial"/>
          <w:sz w:val="18"/>
          <w:szCs w:val="18"/>
          <w:color w:val="auto"/>
        </w:rPr>
        <w:t>” shall mean the development, manufacture, or sale of any flow cytometry products and services; provided however that the term “Restricted Activities” shall not include passive ownership of not more than [***] of the outstanding stock of any class of a corporation which is publicly traded, so long as the Seller or any Seller Affiliate has no active participation in the business of that corporation. Notwithstanding the foregoing, the term “Restricted Activities” shall not prohibit the development, manufacture, sale or usage of any immunodiagnostic or molecular assays, or, in any case, any assays not based on flow cytometry technology.</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Material Contracts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9.4</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9.6(a)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Retention Amounts</w:t>
      </w:r>
      <w:r>
        <w:rPr>
          <w:rFonts w:ascii="Arial" w:cs="Arial" w:eastAsia="Arial" w:hAnsi="Arial"/>
          <w:sz w:val="20"/>
          <w:szCs w:val="20"/>
          <w:color w:val="auto"/>
        </w:rPr>
        <w:t>” shall mean the retention payments in the retention agreements that are set forth on Part 2.17(a) of the Disclosure Schedule.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Review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Seattle Facility</w:t>
      </w:r>
      <w:r>
        <w:rPr>
          <w:rFonts w:ascii="Arial" w:cs="Arial" w:eastAsia="Arial" w:hAnsi="Arial"/>
          <w:sz w:val="20"/>
          <w:szCs w:val="20"/>
          <w:color w:val="auto"/>
        </w:rPr>
        <w:t>” shall mean the space leased in Seattle, Washington pursuant to the 645 Elliot Office Lease, dated June 3, 2011, as amended from time to time.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Seattle Landlord Consent</w:t>
      </w:r>
      <w:r>
        <w:rPr>
          <w:rFonts w:ascii="Arial" w:cs="Arial" w:eastAsia="Arial" w:hAnsi="Arial"/>
          <w:sz w:val="18"/>
          <w:szCs w:val="18"/>
          <w:color w:val="auto"/>
        </w:rPr>
        <w:t>” shall mean that letter agreement, dated February 6, 2023, by and between SREH 2014 LLC and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Seller.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9" w:name="page180"/>
    <w:bookmarkEnd w:id="179"/>
    <w:p>
      <w:pPr>
        <w:ind w:right="420" w:firstLine="8"/>
        <w:spacing w:after="0" w:line="293" w:lineRule="auto"/>
        <w:tabs>
          <w:tab w:leader="none" w:pos="352" w:val="left"/>
        </w:tabs>
        <w:numPr>
          <w:ilvl w:val="0"/>
          <w:numId w:val="19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Seattle Lease</w:t>
      </w:r>
      <w:r>
        <w:rPr>
          <w:rFonts w:ascii="Arial" w:cs="Arial" w:eastAsia="Arial" w:hAnsi="Arial"/>
          <w:sz w:val="20"/>
          <w:szCs w:val="20"/>
          <w:color w:val="auto"/>
        </w:rPr>
        <w:t>” shall mean the Lease by and between Elliott Holding Company and Amnis Corporation at 1000 Second Avenue, Suite 1800, Seattle Washington, 98104-1046 within the 645 Elliott Building, dated June 3, 2011, as amended by that certain Amendment dated as of November 16, 2011, Second Amendment to Lease dated August 1, 2015, Amendment dated as of April 4, 2016, and Amendment dated as of October 13, 2020.</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Section 1060 Forms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1.9</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w:t>
      </w:r>
      <w:r>
        <w:rPr>
          <w:rFonts w:ascii="Arial" w:cs="Arial" w:eastAsia="Arial" w:hAnsi="Arial"/>
          <w:sz w:val="20"/>
          <w:szCs w:val="20"/>
          <w:color w:val="auto"/>
        </w:rPr>
        <w:t>” shall have the meaning set forth in the Preamble.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Affiliate</w:t>
      </w:r>
      <w:r>
        <w:rPr>
          <w:rFonts w:ascii="Arial" w:cs="Arial" w:eastAsia="Arial" w:hAnsi="Arial"/>
          <w:sz w:val="20"/>
          <w:szCs w:val="20"/>
          <w:color w:val="auto"/>
        </w:rPr>
        <w:t>” shall mean any Affiliate of the Seller.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Cap</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Contracts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“Seller </w:t>
      </w:r>
      <w:r>
        <w:rPr>
          <w:rFonts w:ascii="Arial" w:cs="Arial" w:eastAsia="Arial" w:hAnsi="Arial"/>
          <w:sz w:val="20"/>
          <w:szCs w:val="20"/>
          <w:color w:val="auto"/>
        </w:rPr>
        <w:t>[***]</w:t>
      </w:r>
      <w:r>
        <w:rPr>
          <w:rFonts w:ascii="Arial" w:cs="Arial" w:eastAsia="Arial" w:hAnsi="Arial"/>
          <w:sz w:val="20"/>
          <w:szCs w:val="20"/>
          <w:b w:val="1"/>
          <w:bCs w:val="1"/>
          <w:color w:val="auto"/>
        </w:rPr>
        <w:t xml:space="preserve"> Signing Bonus Reimbursement” </w:t>
      </w:r>
      <w:r>
        <w:rPr>
          <w:rFonts w:ascii="Arial" w:cs="Arial" w:eastAsia="Arial" w:hAnsi="Arial"/>
          <w:sz w:val="20"/>
          <w:szCs w:val="20"/>
          <w:color w:val="auto"/>
        </w:rPr>
        <w:t>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Indemnitees</w:t>
      </w:r>
      <w:r>
        <w:rPr>
          <w:rFonts w:ascii="Arial" w:cs="Arial" w:eastAsia="Arial" w:hAnsi="Arial"/>
          <w:sz w:val="20"/>
          <w:szCs w:val="20"/>
          <w:color w:val="auto"/>
        </w:rPr>
        <w:t>” shall mean the following Persons: (a) the Seller; (b) the current and future Seller Affiliates; (c) the respective Representatives of the Persons referred to in clauses “(a)” and “(b)” above; and (d) the respective successors and assigns of the Persons referred to in clauses “(a)”, “(b)” and “(c)” above.</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Marks</w:t>
      </w:r>
      <w:r>
        <w:rPr>
          <w:rFonts w:ascii="Arial" w:cs="Arial" w:eastAsia="Arial" w:hAnsi="Arial"/>
          <w:sz w:val="20"/>
          <w:szCs w:val="20"/>
          <w:color w:val="auto"/>
        </w:rPr>
        <w:t>” means (a) the mark “LUMINEX”, and (b) any trademark, trade name, service mark or logo, or any variation, derivation or acronym, in each case which is owned by the Seller or any Seller Affiliate and which, in the reasonable opinion of the Seller, is identical or confusingly similar to the foregoing mark in clause (a). For clarity, Seller Marks shall not include any Mark that is included in the Product IP.</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Releasing Person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9.7</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Severance Liabilities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Parts</w:t>
      </w:r>
      <w:r>
        <w:rPr>
          <w:rFonts w:ascii="Arial" w:cs="Arial" w:eastAsia="Arial" w:hAnsi="Arial"/>
          <w:sz w:val="18"/>
          <w:szCs w:val="18"/>
          <w:color w:val="auto"/>
        </w:rPr>
        <w:t>” means assembled spare parts and materials (including intermediates, component parts, sub-assemblies, active ingredients and excipients) to be used for finished Product maintenance and repair services provided to end customers of the Business.</w:t>
      </w:r>
    </w:p>
    <w:p>
      <w:pPr>
        <w:spacing w:after="0" w:line="118"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Severance Liabilities</w:t>
      </w:r>
      <w:r>
        <w:rPr>
          <w:rFonts w:ascii="Arial" w:cs="Arial" w:eastAsia="Arial" w:hAnsi="Arial"/>
          <w:sz w:val="19"/>
          <w:szCs w:val="19"/>
          <w:color w:val="auto"/>
        </w:rPr>
        <w:t>” shall mean any Liabilities that may result in respect of claims for statutory, contractual or common law severance or other separation benefits or other legally mandated payment obligations (including claims for wrongful dismissal, notice of termination of employment or pay in lieu of notice and including salary payments, costs of labor court proceedings and termination costs), together with the employer-paid portion of any employment or payroll taxes related thereto.</w:t>
      </w:r>
    </w:p>
    <w:p>
      <w:pPr>
        <w:spacing w:after="0" w:line="169"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Shared Contracts</w:t>
      </w:r>
      <w:r>
        <w:rPr>
          <w:rFonts w:ascii="Arial" w:cs="Arial" w:eastAsia="Arial" w:hAnsi="Arial"/>
          <w:sz w:val="18"/>
          <w:szCs w:val="18"/>
          <w:color w:val="auto"/>
        </w:rPr>
        <w:t>” means any Contract entered into between or among the Seller or any Seller Affiliate and a third party that is used by, benefits or relates to both the Business and any other business or operations of the Seller or any of the Seller Affiliates.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“Shared Severance Liabilities” </w:t>
      </w:r>
      <w:r>
        <w:rPr>
          <w:rFonts w:ascii="Arial" w:cs="Arial" w:eastAsia="Arial" w:hAnsi="Arial"/>
          <w:sz w:val="20"/>
          <w:szCs w:val="20"/>
          <w:color w:val="auto"/>
        </w:rPr>
        <w:t>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0" w:name="page181"/>
    <w:bookmarkEnd w:id="180"/>
    <w:p>
      <w:pPr>
        <w:ind w:right="420" w:firstLine="8"/>
        <w:spacing w:after="0" w:line="293" w:lineRule="auto"/>
        <w:tabs>
          <w:tab w:leader="none" w:pos="352" w:val="left"/>
        </w:tabs>
        <w:numPr>
          <w:ilvl w:val="0"/>
          <w:numId w:val="19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“Seller Sole Severance Liabilities</w:t>
      </w:r>
      <w:r>
        <w:rPr>
          <w:rFonts w:ascii="Arial" w:cs="Arial" w:eastAsia="Arial" w:hAnsi="Arial"/>
          <w:sz w:val="20"/>
          <w:szCs w:val="20"/>
          <w:color w:val="auto"/>
        </w:rPr>
        <w:t>” 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9.8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Statement of Objections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Period</w:t>
      </w:r>
      <w:r>
        <w:rPr>
          <w:rFonts w:ascii="Arial" w:cs="Arial" w:eastAsia="Arial" w:hAnsi="Arial"/>
          <w:sz w:val="19"/>
          <w:szCs w:val="19"/>
          <w:color w:val="auto"/>
        </w:rPr>
        <w:t>” means any taxable period that begins on or before the Closing Date and ends after the Closing Date.</w:t>
      </w:r>
    </w:p>
    <w:p>
      <w:pPr>
        <w:spacing w:after="0" w:line="22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shall mean any tax (including any income tax, franchise tax, capital gains tax, estimated tax, gross receipts tax, value-added tax, surtax, excise tax, ad valorem tax, transfer tax, stamp tax, sales tax, use tax, property tax, business tax, occupation tax, inventory tax, occupancy tax, withholding tax or payroll tax), levy, assessment, tariff, impost, imposition, toll, duty (including any customs duty), deficiency or fee in the nature of a tax, and any related charge or amount (including any fine, penalty or interest)., and any Liability for the payment of any amounts of the type described above in this sentence as a result of being a transferee of or successor to any Person or as a result of any obligation to assume such Tax or to indemnify any other Person for Tax as a result of the application of Treasury Regulation Section 1.1502-6 or any analogous state, local or foreign Law, any Contract, by operation of Law or otherwise.</w:t>
      </w:r>
    </w:p>
    <w:p>
      <w:pPr>
        <w:spacing w:after="0" w:line="16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Return</w:t>
      </w:r>
      <w:r>
        <w:rPr>
          <w:rFonts w:ascii="Arial" w:cs="Arial" w:eastAsia="Arial" w:hAnsi="Arial"/>
          <w:sz w:val="19"/>
          <w:szCs w:val="19"/>
          <w:color w:val="auto"/>
        </w:rPr>
        <w:t>” shall mean any return (including any information return), report, statement, declaration, estimate, schedule, notice, notification, form, election, certificate or other document or information that is, has been or may in the future be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 including any attachment thereto, and including any amendment thereof.</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w:t>
      </w:r>
      <w:r>
        <w:rPr>
          <w:rFonts w:ascii="Arial" w:cs="Arial" w:eastAsia="Arial" w:hAnsi="Arial"/>
          <w:sz w:val="18"/>
          <w:szCs w:val="18"/>
          <w:color w:val="auto"/>
        </w:rPr>
        <w:t>” shall mean the tangible form of technology, Know-How and other embodiments of Intellectual Property, including</w:t>
      </w:r>
    </w:p>
    <w:p>
      <w:pPr>
        <w:spacing w:after="0" w:line="45" w:lineRule="exact"/>
        <w:rPr>
          <w:sz w:val="20"/>
          <w:szCs w:val="20"/>
          <w:color w:val="auto"/>
        </w:rPr>
      </w:pPr>
    </w:p>
    <w:p>
      <w:pPr>
        <w:jc w:val="both"/>
        <w:ind w:firstLine="8"/>
        <w:spacing w:after="0" w:line="241" w:lineRule="auto"/>
        <w:tabs>
          <w:tab w:leader="none" w:pos="30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computer software, files, scripts and programs, including source code or object code, and any related documentation; and (b) other tangible embodiments of Copyrights and trade secrets, in each case in whatever form and on whatever media. For clarity, the term Technology excludes Intellectual Property.</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shall mean any Person other than the Seller or the Purchaser or a Seller Affiliate or Purchaser Affiliate.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 Indemnifiable Claim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8.6(b)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 Proceeding</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8.6(a)</w:t>
      </w:r>
      <w:r>
        <w:rPr>
          <w:rFonts w:ascii="Arial" w:cs="Arial" w:eastAsia="Arial" w:hAnsi="Arial"/>
          <w:sz w:val="20"/>
          <w:szCs w:val="20"/>
          <w:color w:val="auto"/>
        </w:rPr>
        <w:t>.</w:t>
      </w:r>
    </w:p>
    <w:p>
      <w:pPr>
        <w:spacing w:after="0" w:line="216"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Transactional Agreements</w:t>
      </w:r>
      <w:r>
        <w:rPr>
          <w:rFonts w:ascii="Arial" w:cs="Arial" w:eastAsia="Arial" w:hAnsi="Arial"/>
          <w:sz w:val="20"/>
          <w:szCs w:val="20"/>
          <w:color w:val="auto"/>
        </w:rPr>
        <w:t>” shall mean: (a) the Agreement; (b) the Bill of Sale and Assumption Agreement; (c) the IP Assignment Agreements; (d) the Manufacturing and Supply Agreement; and (e) the Transition Services Agreement.</w:t>
      </w:r>
    </w:p>
    <w:p>
      <w:pPr>
        <w:spacing w:after="0" w:line="163" w:lineRule="exact"/>
        <w:rPr>
          <w:sz w:val="20"/>
          <w:szCs w:val="20"/>
          <w:color w:val="auto"/>
        </w:rPr>
      </w:pPr>
    </w:p>
    <w:p>
      <w:pPr>
        <w:jc w:val="both"/>
        <w:ind w:firstLine="74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(a) the execution and delivery of the respective Transactional Agreements, and (b) all of the transactions contemplated by the respective Transactional Agreements, including: (i) the sale of the Business and Purchased Assets by the Seller to the Purchaser in accordance with the Agreement; and (ii) the performance by the Seller and the Purchaser of their respective obligations under the Transactional Agreements, and the exercise by the Seller and the Purchaser of their respective rights under the Transactional Agreements.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Taxes”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1" w:name="page182"/>
    <w:bookmarkEnd w:id="181"/>
    <w:p>
      <w:pPr>
        <w:ind w:right="420" w:firstLine="8"/>
        <w:spacing w:after="0" w:line="293" w:lineRule="auto"/>
        <w:tabs>
          <w:tab w:leader="none" w:pos="352" w:val="left"/>
        </w:tabs>
        <w:numPr>
          <w:ilvl w:val="0"/>
          <w:numId w:val="200"/>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Employees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9.8(a)</w:t>
      </w:r>
      <w:r>
        <w:rPr>
          <w:rFonts w:ascii="Arial" w:cs="Arial" w:eastAsia="Arial" w:hAnsi="Arial"/>
          <w:sz w:val="20"/>
          <w:szCs w:val="20"/>
          <w:color w:val="auto"/>
        </w:rPr>
        <w:t>.</w:t>
      </w:r>
    </w:p>
    <w:p>
      <w:pPr>
        <w:spacing w:after="0" w:line="216"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Technology</w:t>
      </w:r>
      <w:r>
        <w:rPr>
          <w:rFonts w:ascii="Arial" w:cs="Arial" w:eastAsia="Arial" w:hAnsi="Arial"/>
          <w:sz w:val="20"/>
          <w:szCs w:val="20"/>
          <w:color w:val="auto"/>
        </w:rPr>
        <w:t>” shall mean any Technology owned by the Seller or any Seller Affiliate, and used exclusively for the operation of the Business, including the Technology listed on Part 1.1(d) of the Disclosure Schedule.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Transition Services Agreement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1.10(b)(ix)</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Unaudited Business Financial Statements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VDR</w:t>
      </w:r>
      <w:r>
        <w:rPr>
          <w:rFonts w:ascii="Arial" w:cs="Arial" w:eastAsia="Arial" w:hAnsi="Arial"/>
          <w:sz w:val="20"/>
          <w:szCs w:val="20"/>
          <w:color w:val="auto"/>
        </w:rPr>
        <w:t>” means the electronic data room for “Project Sam” maintained by www.dfsvenue.com.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2" w:name="page183"/>
    <w:bookmarkEnd w:id="182"/>
    <w:p>
      <w:pPr>
        <w:ind w:left="-8" w:firstLine="8"/>
        <w:spacing w:after="0" w:line="293" w:lineRule="auto"/>
        <w:tabs>
          <w:tab w:leader="none" w:pos="344" w:val="left"/>
        </w:tabs>
        <w:numPr>
          <w:ilvl w:val="0"/>
          <w:numId w:val="201"/>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216" w:lineRule="exact"/>
        <w:rPr>
          <w:sz w:val="20"/>
          <w:szCs w:val="20"/>
          <w:color w:val="auto"/>
        </w:rPr>
      </w:pPr>
    </w:p>
    <w:p>
      <w:pPr>
        <w:ind w:left="2852"/>
        <w:spacing w:after="0"/>
        <w:rPr>
          <w:sz w:val="20"/>
          <w:szCs w:val="20"/>
          <w:color w:val="auto"/>
        </w:rPr>
      </w:pPr>
      <w:r>
        <w:rPr>
          <w:rFonts w:ascii="Arial" w:cs="Arial" w:eastAsia="Arial" w:hAnsi="Arial"/>
          <w:sz w:val="20"/>
          <w:szCs w:val="20"/>
          <w:b w:val="1"/>
          <w:bCs w:val="1"/>
          <w:color w:val="auto"/>
        </w:rPr>
        <w:t>FORM OF BILL OF SALE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3" w:name="page184"/>
    <w:bookmarkEnd w:id="183"/>
    <w:p>
      <w:pPr>
        <w:ind w:left="-8" w:firstLine="8"/>
        <w:spacing w:after="0" w:line="293" w:lineRule="auto"/>
        <w:tabs>
          <w:tab w:leader="none" w:pos="344" w:val="left"/>
        </w:tabs>
        <w:numPr>
          <w:ilvl w:val="0"/>
          <w:numId w:val="202"/>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C-1</w:t>
      </w:r>
    </w:p>
    <w:p>
      <w:pPr>
        <w:spacing w:after="0" w:line="216" w:lineRule="exact"/>
        <w:rPr>
          <w:sz w:val="20"/>
          <w:szCs w:val="20"/>
          <w:color w:val="auto"/>
        </w:rPr>
      </w:pPr>
    </w:p>
    <w:p>
      <w:pPr>
        <w:ind w:left="3372"/>
        <w:spacing w:after="0"/>
        <w:rPr>
          <w:sz w:val="20"/>
          <w:szCs w:val="20"/>
          <w:color w:val="auto"/>
        </w:rPr>
      </w:pPr>
      <w:r>
        <w:rPr>
          <w:rFonts w:ascii="Arial" w:cs="Arial" w:eastAsia="Arial" w:hAnsi="Arial"/>
          <w:sz w:val="20"/>
          <w:szCs w:val="20"/>
          <w:b w:val="1"/>
          <w:bCs w:val="1"/>
          <w:color w:val="auto"/>
        </w:rPr>
        <w:t>FORM OF PATENT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4" w:name="page185"/>
    <w:bookmarkEnd w:id="184"/>
    <w:p>
      <w:pPr>
        <w:ind w:left="-8" w:firstLine="8"/>
        <w:spacing w:after="0" w:line="293" w:lineRule="auto"/>
        <w:tabs>
          <w:tab w:leader="none" w:pos="344" w:val="left"/>
        </w:tabs>
        <w:numPr>
          <w:ilvl w:val="0"/>
          <w:numId w:val="203"/>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C-2</w:t>
      </w:r>
    </w:p>
    <w:p>
      <w:pPr>
        <w:spacing w:after="0" w:line="216" w:lineRule="exact"/>
        <w:rPr>
          <w:sz w:val="20"/>
          <w:szCs w:val="20"/>
          <w:color w:val="auto"/>
        </w:rPr>
      </w:pPr>
    </w:p>
    <w:p>
      <w:pPr>
        <w:ind w:left="3112"/>
        <w:spacing w:after="0"/>
        <w:rPr>
          <w:sz w:val="20"/>
          <w:szCs w:val="20"/>
          <w:color w:val="auto"/>
        </w:rPr>
      </w:pPr>
      <w:r>
        <w:rPr>
          <w:rFonts w:ascii="Arial" w:cs="Arial" w:eastAsia="Arial" w:hAnsi="Arial"/>
          <w:sz w:val="20"/>
          <w:szCs w:val="20"/>
          <w:b w:val="1"/>
          <w:bCs w:val="1"/>
          <w:color w:val="auto"/>
        </w:rPr>
        <w:t>FORM OF TRADEMARK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438785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5" w:name="page186"/>
    <w:bookmarkEnd w:id="185"/>
    <w:p>
      <w:pPr>
        <w:ind w:left="-8" w:firstLine="8"/>
        <w:spacing w:after="0" w:line="293" w:lineRule="auto"/>
        <w:tabs>
          <w:tab w:leader="none" w:pos="344" w:val="left"/>
        </w:tabs>
        <w:numPr>
          <w:ilvl w:val="0"/>
          <w:numId w:val="204"/>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C-3</w:t>
      </w:r>
    </w:p>
    <w:p>
      <w:pPr>
        <w:spacing w:after="0" w:line="216"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FORM OF COPYRIGHT ASSIGNMENT AGREEMENT</w:t>
      </w:r>
    </w:p>
    <w:p>
      <w:pPr>
        <w:spacing w:after="0" w:line="222" w:lineRule="exact"/>
        <w:rPr>
          <w:sz w:val="20"/>
          <w:szCs w:val="20"/>
          <w:color w:val="auto"/>
        </w:rPr>
      </w:pPr>
    </w:p>
    <w:p>
      <w:pPr>
        <w:jc w:val="center"/>
        <w:ind w:right="-41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6" w:name="page187"/>
    <w:bookmarkEnd w:id="186"/>
    <w:p>
      <w:pPr>
        <w:ind w:left="-8" w:firstLine="8"/>
        <w:spacing w:after="0" w:line="293" w:lineRule="auto"/>
        <w:tabs>
          <w:tab w:leader="none" w:pos="344" w:val="left"/>
        </w:tabs>
        <w:numPr>
          <w:ilvl w:val="0"/>
          <w:numId w:val="205"/>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D</w:t>
      </w:r>
    </w:p>
    <w:p>
      <w:pPr>
        <w:spacing w:after="0" w:line="216" w:lineRule="exact"/>
        <w:rPr>
          <w:sz w:val="20"/>
          <w:szCs w:val="20"/>
          <w:color w:val="auto"/>
        </w:rPr>
      </w:pPr>
    </w:p>
    <w:p>
      <w:pPr>
        <w:ind w:left="3072"/>
        <w:spacing w:after="0"/>
        <w:rPr>
          <w:sz w:val="20"/>
          <w:szCs w:val="20"/>
          <w:color w:val="auto"/>
        </w:rPr>
      </w:pPr>
      <w:r>
        <w:rPr>
          <w:rFonts w:ascii="Arial" w:cs="Arial" w:eastAsia="Arial" w:hAnsi="Arial"/>
          <w:sz w:val="20"/>
          <w:szCs w:val="20"/>
          <w:b w:val="1"/>
          <w:bCs w:val="1"/>
          <w:color w:val="auto"/>
        </w:rPr>
        <w:t>FORM MANUFACTURING AND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7" w:name="page188"/>
    <w:bookmarkEnd w:id="187"/>
    <w:p>
      <w:pPr>
        <w:ind w:left="-8" w:firstLine="8"/>
        <w:spacing w:after="0" w:line="293" w:lineRule="auto"/>
        <w:tabs>
          <w:tab w:leader="none" w:pos="344" w:val="left"/>
        </w:tabs>
        <w:numPr>
          <w:ilvl w:val="0"/>
          <w:numId w:val="206"/>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E</w:t>
      </w:r>
    </w:p>
    <w:p>
      <w:pPr>
        <w:spacing w:after="0" w:line="216" w:lineRule="exact"/>
        <w:rPr>
          <w:sz w:val="20"/>
          <w:szCs w:val="20"/>
          <w:color w:val="auto"/>
        </w:rPr>
      </w:pPr>
    </w:p>
    <w:p>
      <w:pPr>
        <w:ind w:left="3472"/>
        <w:spacing w:after="0"/>
        <w:rPr>
          <w:sz w:val="20"/>
          <w:szCs w:val="20"/>
          <w:color w:val="auto"/>
        </w:rPr>
      </w:pPr>
      <w:r>
        <w:rPr>
          <w:rFonts w:ascii="Arial" w:cs="Arial" w:eastAsia="Arial" w:hAnsi="Arial"/>
          <w:sz w:val="20"/>
          <w:szCs w:val="20"/>
          <w:b w:val="1"/>
          <w:bCs w:val="1"/>
          <w:color w:val="auto"/>
        </w:rPr>
        <w:t>FORM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8" w:name="page189"/>
    <w:bookmarkEnd w:id="188"/>
    <w:p>
      <w:pPr>
        <w:ind w:left="-8" w:firstLine="8"/>
        <w:spacing w:after="0" w:line="293" w:lineRule="auto"/>
        <w:tabs>
          <w:tab w:leader="none" w:pos="344" w:val="left"/>
        </w:tabs>
        <w:numPr>
          <w:ilvl w:val="0"/>
          <w:numId w:val="207"/>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88"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F</w:t>
      </w:r>
    </w:p>
    <w:p>
      <w:pPr>
        <w:spacing w:after="0" w:line="216" w:lineRule="exact"/>
        <w:rPr>
          <w:sz w:val="20"/>
          <w:szCs w:val="20"/>
          <w:color w:val="auto"/>
        </w:rPr>
      </w:pPr>
    </w:p>
    <w:p>
      <w:pPr>
        <w:ind w:left="3532"/>
        <w:spacing w:after="0"/>
        <w:rPr>
          <w:sz w:val="20"/>
          <w:szCs w:val="20"/>
          <w:color w:val="auto"/>
        </w:rPr>
      </w:pPr>
      <w:r>
        <w:rPr>
          <w:rFonts w:ascii="Arial" w:cs="Arial" w:eastAsia="Arial" w:hAnsi="Arial"/>
          <w:sz w:val="20"/>
          <w:szCs w:val="20"/>
          <w:b w:val="1"/>
          <w:bCs w:val="1"/>
          <w:color w:val="auto"/>
        </w:rPr>
        <w:t>POST-CLOSING ADJUSTMENT MECHANICS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995680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89" w:name="page190"/>
    <w:bookmarkEnd w:id="189"/>
    <w:p>
      <w:pPr>
        <w:ind w:left="-8" w:firstLine="8"/>
        <w:spacing w:after="0" w:line="293" w:lineRule="auto"/>
        <w:tabs>
          <w:tab w:leader="none" w:pos="344" w:val="left"/>
        </w:tabs>
        <w:numPr>
          <w:ilvl w:val="0"/>
          <w:numId w:val="208"/>
        </w:numPr>
        <w:rPr>
          <w:rFonts w:ascii="Arial" w:cs="Arial" w:eastAsia="Arial" w:hAnsi="Arial"/>
          <w:sz w:val="14"/>
          <w:szCs w:val="14"/>
          <w:color w:val="auto"/>
        </w:rPr>
      </w:pPr>
      <w:r>
        <w:rPr>
          <w:rFonts w:ascii="Arial" w:cs="Arial" w:eastAsia="Arial" w:hAnsi="Arial"/>
          <w:sz w:val="16"/>
          <w:szCs w:val="16"/>
          <w:color w:val="auto"/>
        </w:rPr>
        <w:t>= Certain confidential information contained in this document, marked by brackets, has been omitted because it is both (i) not material and (ii) is the type that the registrant treats as private or confidential.</w:t>
      </w:r>
    </w:p>
    <w:p>
      <w:pPr>
        <w:spacing w:after="0" w:line="334"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G</w:t>
      </w:r>
    </w:p>
    <w:p>
      <w:pPr>
        <w:spacing w:after="0" w:line="216" w:lineRule="exact"/>
        <w:rPr>
          <w:sz w:val="20"/>
          <w:szCs w:val="20"/>
          <w:color w:val="auto"/>
        </w:rPr>
      </w:pPr>
    </w:p>
    <w:p>
      <w:pPr>
        <w:ind w:left="4052"/>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ntellectual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ecordations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2"/>
          </w:cols>
          <w:pgMar w:left="328" w:top="130" w:right="7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Cytek Biosciences, Inc.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4"/>
                <w:szCs w:val="14"/>
                <w:color w:val="auto"/>
              </w:rPr>
            </w:pPr>
          </w:p>
        </w:tc>
      </w:tr>
      <w:tr>
        <w:trPr>
          <w:trHeight w:val="372"/>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(Shanghai) BioSciences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(Wuxi) BioSciences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(Shanghai) Software Development Technology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Biosciences B.V.</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Japan Corporation</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560"/>
        </w:trPr>
        <w:tc>
          <w:tcPr>
            <w:tcW w:w="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88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 333-267118 on Form S-3 and Registration Statement Nos. 333-258153 and 333-263661 on Form S-8 of our reports dated March 1, 2023, relating to the financial statements of Cytek Biosciences, Inc. and the effectiveness of Cytek Biosciences, Inc.'s internal control over financial reporting appearing in this Annual Report on Form 10-K for the year ended December 31, 2022.</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9" w:right="4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spacing w:after="0" w:line="9" w:lineRule="exact"/>
        <w:rPr>
          <w:sz w:val="20"/>
          <w:szCs w:val="20"/>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Cytek Biosciences, Inc.;</w:t>
      </w:r>
    </w:p>
    <w:p>
      <w:pPr>
        <w:spacing w:after="0" w:line="9" w:lineRule="exact"/>
        <w:rPr>
          <w:rFonts w:ascii="Arial" w:cs="Arial" w:eastAsia="Arial" w:hAnsi="Arial"/>
          <w:sz w:val="18"/>
          <w:szCs w:val="18"/>
          <w:color w:val="auto"/>
        </w:rPr>
      </w:pPr>
    </w:p>
    <w:p>
      <w:pPr>
        <w:ind w:right="260" w:firstLine="8"/>
        <w:spacing w:after="0" w:line="281" w:lineRule="auto"/>
        <w:tabs>
          <w:tab w:leader="none" w:pos="1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265"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55"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760" w:right="280" w:hanging="378"/>
        <w:spacing w:after="0" w:line="263" w:lineRule="auto"/>
        <w:tabs>
          <w:tab w:leader="none" w:pos="7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60" w:right="600" w:hanging="378"/>
        <w:spacing w:after="0" w:line="263" w:lineRule="auto"/>
        <w:tabs>
          <w:tab w:leader="none" w:pos="7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60" w:right="760" w:hanging="378"/>
        <w:spacing w:after="0" w:line="342" w:lineRule="auto"/>
        <w:tabs>
          <w:tab w:leader="none" w:pos="7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60" w:right="280" w:hanging="378"/>
        <w:spacing w:after="0" w:line="255" w:lineRule="auto"/>
        <w:tabs>
          <w:tab w:leader="none" w:pos="7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90"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20"/>
                <w:szCs w:val="20"/>
                <w:color w:val="auto"/>
              </w:rPr>
            </w:pPr>
            <w:r>
              <w:rPr>
                <w:rFonts w:ascii="Arial" w:cs="Arial" w:eastAsia="Arial" w:hAnsi="Arial"/>
                <w:sz w:val="18"/>
                <w:szCs w:val="18"/>
                <w:color w:val="auto"/>
              </w:rPr>
              <w:t>Date: March 1, 2023</w:t>
            </w:r>
          </w:p>
        </w:tc>
        <w:tc>
          <w:tcPr>
            <w:tcW w:w="1700" w:type="dxa"/>
            <w:vAlign w:val="bottom"/>
          </w:tcPr>
          <w:p>
            <w:pPr>
              <w:ind w:left="1020"/>
              <w:spacing w:after="0"/>
              <w:rPr>
                <w:sz w:val="20"/>
                <w:szCs w:val="20"/>
                <w:color w:val="auto"/>
              </w:rPr>
            </w:pPr>
            <w:r>
              <w:rPr>
                <w:rFonts w:ascii="Arial" w:cs="Arial" w:eastAsia="Arial" w:hAnsi="Arial"/>
                <w:sz w:val="18"/>
                <w:szCs w:val="18"/>
                <w:color w:val="auto"/>
              </w:rPr>
              <w:t>By:</w:t>
            </w:r>
          </w:p>
        </w:tc>
        <w:tc>
          <w:tcPr>
            <w:tcW w:w="7000" w:type="dxa"/>
            <w:vAlign w:val="bottom"/>
            <w:gridSpan w:val="2"/>
          </w:tcPr>
          <w:p>
            <w:pPr>
              <w:spacing w:after="0"/>
              <w:rPr>
                <w:sz w:val="20"/>
                <w:szCs w:val="20"/>
                <w:color w:val="auto"/>
              </w:rPr>
            </w:pPr>
            <w:r>
              <w:rPr>
                <w:rFonts w:ascii="Arial" w:cs="Arial" w:eastAsia="Arial" w:hAnsi="Arial"/>
                <w:sz w:val="18"/>
                <w:szCs w:val="18"/>
                <w:color w:val="auto"/>
              </w:rPr>
              <w:t>/s/ Wenbin Jiang, Ph.D.</w:t>
            </w:r>
          </w:p>
        </w:tc>
      </w:tr>
      <w:tr>
        <w:trPr>
          <w:trHeight w:val="20"/>
        </w:trPr>
        <w:tc>
          <w:tcPr>
            <w:tcW w:w="2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000" w:type="dxa"/>
            <w:vAlign w:val="bottom"/>
            <w:gridSpan w:val="2"/>
          </w:tcPr>
          <w:p>
            <w:pPr>
              <w:ind w:left="780"/>
              <w:spacing w:after="0"/>
              <w:rPr>
                <w:sz w:val="20"/>
                <w:szCs w:val="20"/>
                <w:color w:val="auto"/>
              </w:rPr>
            </w:pPr>
            <w:r>
              <w:rPr>
                <w:rFonts w:ascii="Arial" w:cs="Arial" w:eastAsia="Arial" w:hAnsi="Arial"/>
                <w:sz w:val="18"/>
                <w:szCs w:val="18"/>
                <w:color w:val="auto"/>
              </w:rPr>
              <w:t>Wenbin Jiang, Ph.D.</w:t>
            </w:r>
          </w:p>
        </w:tc>
      </w:tr>
      <w:tr>
        <w:trPr>
          <w:trHeight w:val="216"/>
        </w:trPr>
        <w:tc>
          <w:tcPr>
            <w:tcW w:w="2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0" w:type="dxa"/>
            <w:vAlign w:val="bottom"/>
            <w:gridSpan w:val="2"/>
          </w:tcPr>
          <w:p>
            <w:pPr>
              <w:ind w:left="7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0" w:type="dxa"/>
            <w:vAlign w:val="bottom"/>
            <w:gridSpan w:val="2"/>
          </w:tcPr>
          <w:p>
            <w:pPr>
              <w:ind w:left="780"/>
              <w:spacing w:after="0"/>
              <w:rPr>
                <w:sz w:val="20"/>
                <w:szCs w:val="20"/>
                <w:color w:val="auto"/>
              </w:rPr>
            </w:pPr>
            <w:r>
              <w:rPr>
                <w:rFonts w:ascii="Arial" w:cs="Arial" w:eastAsia="Arial" w:hAnsi="Arial"/>
                <w:sz w:val="18"/>
                <w:szCs w:val="18"/>
                <w:color w:val="auto"/>
              </w:rPr>
              <w:t>(Principal Executive Officer)</w:t>
            </w:r>
          </w:p>
        </w:tc>
      </w:tr>
      <w:tr>
        <w:trPr>
          <w:trHeight w:val="331"/>
        </w:trPr>
        <w:tc>
          <w:tcPr>
            <w:tcW w:w="25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spacing w:after="0" w:line="9" w:lineRule="exact"/>
        <w:rPr>
          <w:sz w:val="20"/>
          <w:szCs w:val="20"/>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Cytek Biosciences, Inc.;</w:t>
      </w:r>
    </w:p>
    <w:p>
      <w:pPr>
        <w:spacing w:after="0" w:line="9" w:lineRule="exact"/>
        <w:rPr>
          <w:rFonts w:ascii="Arial" w:cs="Arial" w:eastAsia="Arial" w:hAnsi="Arial"/>
          <w:sz w:val="18"/>
          <w:szCs w:val="18"/>
          <w:color w:val="auto"/>
        </w:rPr>
      </w:pPr>
    </w:p>
    <w:p>
      <w:pPr>
        <w:ind w:right="260" w:firstLine="8"/>
        <w:spacing w:after="0" w:line="281" w:lineRule="auto"/>
        <w:tabs>
          <w:tab w:leader="none" w:pos="1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540" w:firstLine="8"/>
        <w:spacing w:after="0" w:line="265" w:lineRule="auto"/>
        <w:tabs>
          <w:tab w:leader="none" w:pos="1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0" w:firstLine="8"/>
        <w:spacing w:after="0" w:line="255"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81"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55"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90" w:lineRule="auto"/>
        <w:tabs>
          <w:tab w:leader="none" w:pos="1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color w:val="auto"/>
              </w:rPr>
              <w:t>Date: March 1, 2023</w:t>
            </w:r>
          </w:p>
        </w:tc>
        <w:tc>
          <w:tcPr>
            <w:tcW w:w="1880" w:type="dxa"/>
            <w:vAlign w:val="bottom"/>
          </w:tcPr>
          <w:p>
            <w:pPr>
              <w:ind w:left="1420"/>
              <w:spacing w:after="0"/>
              <w:rPr>
                <w:sz w:val="20"/>
                <w:szCs w:val="20"/>
                <w:color w:val="auto"/>
              </w:rPr>
            </w:pPr>
            <w:r>
              <w:rPr>
                <w:rFonts w:ascii="Arial" w:cs="Arial" w:eastAsia="Arial" w:hAnsi="Arial"/>
                <w:sz w:val="18"/>
                <w:szCs w:val="18"/>
                <w:color w:val="auto"/>
              </w:rPr>
              <w:t>By:</w:t>
            </w:r>
          </w:p>
        </w:tc>
        <w:tc>
          <w:tcPr>
            <w:tcW w:w="6440" w:type="dxa"/>
            <w:vAlign w:val="bottom"/>
            <w:gridSpan w:val="3"/>
          </w:tcPr>
          <w:p>
            <w:pPr>
              <w:ind w:left="200"/>
              <w:spacing w:after="0"/>
              <w:rPr>
                <w:sz w:val="20"/>
                <w:szCs w:val="20"/>
                <w:color w:val="auto"/>
              </w:rPr>
            </w:pPr>
            <w:r>
              <w:rPr>
                <w:rFonts w:ascii="Arial" w:cs="Arial" w:eastAsia="Arial" w:hAnsi="Arial"/>
                <w:sz w:val="18"/>
                <w:szCs w:val="18"/>
                <w:color w:val="auto"/>
              </w:rPr>
              <w:t>/s/ Patrik Jeanmonod</w:t>
            </w:r>
          </w:p>
        </w:tc>
      </w:tr>
      <w:tr>
        <w:trPr>
          <w:trHeight w:val="20"/>
        </w:trPr>
        <w:tc>
          <w:tcPr>
            <w:tcW w:w="2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22"/>
        </w:trPr>
        <w:tc>
          <w:tcPr>
            <w:tcW w:w="2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Patrik Jeanmonod</w:t>
            </w:r>
          </w:p>
        </w:tc>
      </w:tr>
      <w:tr>
        <w:trPr>
          <w:trHeight w:val="216"/>
        </w:trPr>
        <w:tc>
          <w:tcPr>
            <w:tcW w:w="2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r>
      <w:tr>
        <w:trPr>
          <w:trHeight w:val="230"/>
        </w:trPr>
        <w:tc>
          <w:tcPr>
            <w:tcW w:w="2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(Principal Financial Officer)</w:t>
            </w:r>
          </w:p>
        </w:tc>
      </w:tr>
      <w:tr>
        <w:trPr>
          <w:trHeight w:val="547"/>
        </w:trPr>
        <w:tc>
          <w:tcPr>
            <w:tcW w:w="2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In connection with the Annual Report on Form 10-K of Cytek Biosciences, Inc. (the “Company”) for the period ended December 31, 2022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020" w:hanging="503"/>
        <w:spacing w:after="0"/>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ind w:left="20"/>
              <w:spacing w:after="0"/>
              <w:rPr>
                <w:sz w:val="20"/>
                <w:szCs w:val="20"/>
                <w:color w:val="auto"/>
              </w:rPr>
            </w:pPr>
            <w:r>
              <w:rPr>
                <w:rFonts w:ascii="Arial" w:cs="Arial" w:eastAsia="Arial" w:hAnsi="Arial"/>
                <w:sz w:val="18"/>
                <w:szCs w:val="18"/>
                <w:color w:val="auto"/>
              </w:rPr>
              <w:t>Date: March 1, 2023</w:t>
            </w:r>
          </w:p>
        </w:tc>
        <w:tc>
          <w:tcPr>
            <w:tcW w:w="2080" w:type="dxa"/>
            <w:vAlign w:val="bottom"/>
          </w:tcPr>
          <w:p>
            <w:pPr>
              <w:ind w:left="142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Wenbin Jiang, Ph.D.</w:t>
            </w:r>
          </w:p>
        </w:tc>
        <w:tc>
          <w:tcPr>
            <w:tcW w:w="4540" w:type="dxa"/>
            <w:vAlign w:val="bottom"/>
          </w:tcPr>
          <w:p>
            <w:pPr>
              <w:spacing w:after="0"/>
              <w:rPr>
                <w:sz w:val="17"/>
                <w:szCs w:val="17"/>
                <w:color w:val="auto"/>
              </w:rPr>
            </w:pPr>
          </w:p>
        </w:tc>
      </w:tr>
      <w:tr>
        <w:trPr>
          <w:trHeight w:val="222"/>
        </w:trPr>
        <w:tc>
          <w:tcPr>
            <w:tcW w:w="29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Wenbin Jiang, Ph.D.</w:t>
            </w:r>
          </w:p>
        </w:tc>
      </w:tr>
      <w:tr>
        <w:trPr>
          <w:trHeight w:val="216"/>
        </w:trPr>
        <w:tc>
          <w:tcPr>
            <w:tcW w:w="2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7"/>
        </w:trPr>
        <w:tc>
          <w:tcPr>
            <w:tcW w:w="29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connection with the Annual Report on Form 10-K of Cytek Biosciences, Inc. (the “Company”) for the period ended December 31, 2022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79" w:lineRule="exact"/>
        <w:rPr>
          <w:sz w:val="20"/>
          <w:szCs w:val="20"/>
          <w:color w:val="auto"/>
        </w:rPr>
      </w:pPr>
    </w:p>
    <w:p>
      <w:pPr>
        <w:ind w:left="1020" w:hanging="503"/>
        <w:spacing w:after="0"/>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ind w:left="540"/>
              <w:spacing w:after="0"/>
              <w:rPr>
                <w:sz w:val="20"/>
                <w:szCs w:val="20"/>
                <w:color w:val="auto"/>
              </w:rPr>
            </w:pPr>
            <w:r>
              <w:rPr>
                <w:rFonts w:ascii="Arial" w:cs="Arial" w:eastAsia="Arial" w:hAnsi="Arial"/>
                <w:sz w:val="18"/>
                <w:szCs w:val="18"/>
                <w:color w:val="auto"/>
              </w:rPr>
              <w:t>Date:   March 1, 2023</w:t>
            </w:r>
          </w:p>
        </w:tc>
        <w:tc>
          <w:tcPr>
            <w:tcW w:w="1280" w:type="dxa"/>
            <w:vAlign w:val="bottom"/>
          </w:tcPr>
          <w:p>
            <w:pPr>
              <w:ind w:left="620"/>
              <w:spacing w:after="0"/>
              <w:rPr>
                <w:sz w:val="20"/>
                <w:szCs w:val="20"/>
                <w:color w:val="auto"/>
              </w:rPr>
            </w:pPr>
            <w:r>
              <w:rPr>
                <w:rFonts w:ascii="Arial" w:cs="Arial" w:eastAsia="Arial" w:hAnsi="Arial"/>
                <w:sz w:val="18"/>
                <w:szCs w:val="18"/>
                <w:color w:val="auto"/>
              </w:rPr>
              <w:t>By:</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Patrik Jeanmonod</w:t>
            </w:r>
          </w:p>
        </w:tc>
        <w:tc>
          <w:tcPr>
            <w:tcW w:w="5560" w:type="dxa"/>
            <w:vAlign w:val="bottom"/>
          </w:tcPr>
          <w:p>
            <w:pPr>
              <w:spacing w:after="0"/>
              <w:rPr>
                <w:sz w:val="17"/>
                <w:szCs w:val="17"/>
                <w:color w:val="auto"/>
              </w:rPr>
            </w:pPr>
          </w:p>
        </w:tc>
      </w:tr>
      <w:tr>
        <w:trPr>
          <w:trHeight w:val="222"/>
        </w:trPr>
        <w:tc>
          <w:tcPr>
            <w:tcW w:w="2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Patrik Jeanmonod</w:t>
            </w:r>
          </w:p>
        </w:tc>
      </w:tr>
      <w:tr>
        <w:trPr>
          <w:trHeight w:val="216"/>
        </w:trPr>
        <w:tc>
          <w:tcPr>
            <w:tcW w:w="2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r>
      <w:tr>
        <w:trPr>
          <w:trHeight w:val="230"/>
        </w:trPr>
        <w:tc>
          <w:tcPr>
            <w:tcW w:w="2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80" w:type="dxa"/>
            <w:vAlign w:val="bottom"/>
            <w:gridSpan w:val="2"/>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547"/>
        </w:trPr>
        <w:tc>
          <w:tcPr>
            <w:tcW w:w="2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1)"/>
      <w:numFmt w:val="decimal"/>
      <w:start w:val="877"/>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1)"/>
      <w:numFmt w:val="decimal"/>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1)"/>
      <w:numFmt w:val="lowerRoman"/>
      <w:start w:val="3"/>
    </w:lvl>
  </w:abstractNum>
  <w:abstractNum w:abstractNumId="40">
    <w:nsid w:val="2C6E4AFD"/>
    <w:multiLevelType w:val="hybridMultilevel"/>
    <w:lvl w:ilvl="0">
      <w:lvlJc w:val="left"/>
      <w:lvlText w:val="•"/>
      <w:numFmt w:val="bullet"/>
      <w:start w:val="1"/>
    </w:lvl>
    <w:lvl w:ilvl="1">
      <w:lvlJc w:val="left"/>
      <w:lvlText w:val="\emdash "/>
      <w:numFmt w:val="bullet"/>
      <w:start w:val="1"/>
    </w:lvl>
  </w:abstractNum>
  <w:abstractNum w:abstractNumId="41">
    <w:nsid w:val="17A1B582"/>
    <w:multiLevelType w:val="hybridMultilevel"/>
    <w:lvl w:ilvl="0">
      <w:lvlJc w:val="left"/>
      <w:lvlText w:val="%1."/>
      <w:numFmt w:val="decimal"/>
      <w:start w:val="1"/>
    </w:lvl>
  </w:abstractNum>
  <w:abstractNum w:abstractNumId="42">
    <w:nsid w:val="4DF72E4E"/>
    <w:multiLevelType w:val="hybridMultilevel"/>
    <w:lvl w:ilvl="0">
      <w:lvlJc w:val="left"/>
      <w:lvlText w:val="%1."/>
      <w:numFmt w:val="decimal"/>
      <w:start w:val="2"/>
    </w:lvl>
  </w:abstractNum>
  <w:abstractNum w:abstractNumId="43">
    <w:nsid w:val="5046B5A9"/>
    <w:multiLevelType w:val="hybridMultilevel"/>
    <w:lvl w:ilvl="0">
      <w:lvlJc w:val="left"/>
      <w:lvlText w:val="%1."/>
      <w:numFmt w:val="decimal"/>
      <w:start w:val="3"/>
    </w:lvl>
  </w:abstractNum>
  <w:abstractNum w:abstractNumId="44">
    <w:nsid w:val="5D888A08"/>
    <w:multiLevelType w:val="hybridMultilevel"/>
    <w:lvl w:ilvl="0">
      <w:lvlJc w:val="left"/>
      <w:lvlText w:val="%1."/>
      <w:numFmt w:val="decimal"/>
      <w:start w:val="4"/>
    </w:lvl>
  </w:abstractNum>
  <w:abstractNum w:abstractNumId="45">
    <w:nsid w:val="2A082C70"/>
    <w:multiLevelType w:val="hybridMultilevel"/>
    <w:lvl w:ilvl="0">
      <w:lvlJc w:val="left"/>
      <w:lvlText w:val="%1."/>
      <w:numFmt w:val="decimal"/>
      <w:start w:val="6"/>
    </w:lvl>
  </w:abstractNum>
  <w:abstractNum w:abstractNumId="46">
    <w:nsid w:val="5EC6AFD4"/>
    <w:multiLevelType w:val="hybridMultilevel"/>
    <w:lvl w:ilvl="0">
      <w:lvlJc w:val="left"/>
      <w:lvlText w:val="%1."/>
      <w:numFmt w:val="decimal"/>
      <w:start w:val="7"/>
    </w:lvl>
  </w:abstractNum>
  <w:abstractNum w:abstractNumId="47">
    <w:nsid w:val="19E21BB2"/>
    <w:multiLevelType w:val="hybridMultilevel"/>
    <w:lvl w:ilvl="0">
      <w:lvlJc w:val="left"/>
      <w:lvlText w:val="%1."/>
      <w:numFmt w:val="decimal"/>
      <w:start w:val="8"/>
    </w:lvl>
  </w:abstractNum>
  <w:abstractNum w:abstractNumId="48">
    <w:nsid w:val="75E0858A"/>
    <w:multiLevelType w:val="hybridMultilevel"/>
    <w:lvl w:ilvl="0">
      <w:lvlJc w:val="left"/>
      <w:lvlText w:val="%1."/>
      <w:numFmt w:val="decimal"/>
      <w:start w:val="9"/>
    </w:lvl>
  </w:abstractNum>
  <w:abstractNum w:abstractNumId="49">
    <w:nsid w:val="57A61A29"/>
    <w:multiLevelType w:val="hybridMultilevel"/>
    <w:lvl w:ilvl="0">
      <w:lvlJc w:val="left"/>
      <w:lvlText w:val="%1."/>
      <w:numFmt w:val="decimal"/>
      <w:start w:val="10"/>
    </w:lvl>
  </w:abstractNum>
  <w:abstractNum w:abstractNumId="50">
    <w:nsid w:val="5399C654"/>
    <w:multiLevelType w:val="hybridMultilevel"/>
    <w:lvl w:ilvl="0">
      <w:lvlJc w:val="left"/>
      <w:lvlText w:val="%1."/>
      <w:numFmt w:val="decimal"/>
      <w:start w:val="11"/>
    </w:lvl>
  </w:abstractNum>
  <w:abstractNum w:abstractNumId="51">
    <w:nsid w:val="20EE1348"/>
    <w:multiLevelType w:val="hybridMultilevel"/>
    <w:lvl w:ilvl="0">
      <w:lvlJc w:val="left"/>
      <w:lvlText w:val="%1."/>
      <w:numFmt w:val="decimal"/>
      <w:start w:val="12"/>
    </w:lvl>
  </w:abstractNum>
  <w:abstractNum w:abstractNumId="52">
    <w:nsid w:val="4427069A"/>
    <w:multiLevelType w:val="hybridMultilevel"/>
    <w:lvl w:ilvl="0">
      <w:lvlJc w:val="left"/>
      <w:lvlText w:val="%1."/>
      <w:numFmt w:val="decimal"/>
      <w:start w:val="13"/>
    </w:lvl>
  </w:abstractNum>
  <w:abstractNum w:abstractNumId="53">
    <w:nsid w:val="B37E80A"/>
    <w:multiLevelType w:val="hybridMultilevel"/>
    <w:lvl w:ilvl="0">
      <w:lvlJc w:val="left"/>
      <w:lvlText w:val="%1."/>
      <w:numFmt w:val="decimal"/>
      <w:start w:val="14"/>
    </w:lvl>
  </w:abstractNum>
  <w:abstractNum w:abstractNumId="54">
    <w:nsid w:val="2157F6BC"/>
    <w:multiLevelType w:val="hybridMultilevel"/>
    <w:lvl w:ilvl="0">
      <w:lvlJc w:val="left"/>
      <w:lvlText w:val="%1."/>
      <w:numFmt w:val="decimal"/>
      <w:start w:val="15"/>
    </w:lvl>
  </w:abstractNum>
  <w:abstractNum w:abstractNumId="55">
    <w:nsid w:val="704E1DD5"/>
    <w:multiLevelType w:val="hybridMultilevel"/>
    <w:lvl w:ilvl="0">
      <w:lvlJc w:val="left"/>
      <w:lvlText w:val="%1."/>
      <w:numFmt w:val="decimal"/>
      <w:start w:val="16"/>
    </w:lvl>
  </w:abstractNum>
  <w:abstractNum w:abstractNumId="56">
    <w:nsid w:val="57D2F10E"/>
    <w:multiLevelType w:val="hybridMultilevel"/>
    <w:lvl w:ilvl="0">
      <w:lvlJc w:val="left"/>
      <w:lvlText w:val="%1."/>
      <w:numFmt w:val="decimal"/>
      <w:start w:val="17"/>
    </w:lvl>
  </w:abstractNum>
  <w:abstractNum w:abstractNumId="57">
    <w:nsid w:val="BFFAE18"/>
    <w:multiLevelType w:val="hybridMultilevel"/>
    <w:lvl w:ilvl="0">
      <w:lvlJc w:val="left"/>
      <w:lvlText w:val="%1."/>
      <w:numFmt w:val="decimal"/>
      <w:start w:val="18"/>
    </w:lvl>
  </w:abstractNum>
  <w:abstractNum w:abstractNumId="58">
    <w:nsid w:val="E3E47A8"/>
    <w:multiLevelType w:val="hybridMultilevel"/>
    <w:lvl w:ilvl="0">
      <w:lvlJc w:val="left"/>
      <w:lvlText w:val="%1."/>
      <w:numFmt w:val="decimal"/>
      <w:start w:val="19"/>
    </w:lvl>
  </w:abstractNum>
  <w:abstractNum w:abstractNumId="59">
    <w:nsid w:val="2E48F044"/>
    <w:multiLevelType w:val="hybridMultilevel"/>
    <w:lvl w:ilvl="0">
      <w:lvlJc w:val="left"/>
      <w:lvlText w:val="%1."/>
      <w:numFmt w:val="decimal"/>
      <w:start w:val="20"/>
    </w:lvl>
  </w:abstractNum>
  <w:abstractNum w:abstractNumId="60">
    <w:nsid w:val="49D0FEAC"/>
    <w:multiLevelType w:val="hybridMultilevel"/>
    <w:lvl w:ilvl="0">
      <w:lvlJc w:val="left"/>
      <w:lvlText w:val="%1."/>
      <w:numFmt w:val="decimal"/>
      <w:start w:val="21"/>
    </w:lvl>
  </w:abstractNum>
  <w:abstractNum w:abstractNumId="61">
    <w:nsid w:val="4BEE5A5B"/>
    <w:multiLevelType w:val="hybridMultilevel"/>
    <w:lvl w:ilvl="0">
      <w:lvlJc w:val="left"/>
      <w:lvlText w:val="%1."/>
      <w:numFmt w:val="decimal"/>
      <w:start w:val="22"/>
    </w:lvl>
  </w:abstractNum>
  <w:abstractNum w:abstractNumId="62">
    <w:nsid w:val="5551B9F3"/>
    <w:multiLevelType w:val="hybridMultilevel"/>
    <w:lvl w:ilvl="0">
      <w:lvlJc w:val="left"/>
      <w:lvlText w:val="%1."/>
      <w:numFmt w:val="decimal"/>
      <w:start w:val="23"/>
    </w:lvl>
  </w:abstractNum>
  <w:abstractNum w:abstractNumId="63">
    <w:nsid w:val="24F6AB8E"/>
    <w:multiLevelType w:val="hybridMultilevel"/>
    <w:lvl w:ilvl="0">
      <w:lvlJc w:val="left"/>
      <w:lvlText w:val="%1."/>
      <w:numFmt w:val="decimal"/>
      <w:start w:val="24"/>
    </w:lvl>
  </w:abstractNum>
  <w:abstractNum w:abstractNumId="64">
    <w:nsid w:val="634C574C"/>
    <w:multiLevelType w:val="hybridMultilevel"/>
    <w:lvl w:ilvl="0">
      <w:lvlJc w:val="left"/>
      <w:lvlText w:val="%1."/>
      <w:numFmt w:val="decimal"/>
      <w:start w:val="25"/>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
      <w:numFmt w:val="bullet"/>
      <w:start w:val="1"/>
    </w:lvl>
  </w:abstractNum>
  <w:abstractNum w:abstractNumId="72">
    <w:nsid w:val="1816F8C4"/>
    <w:multiLevelType w:val="hybridMultilevel"/>
    <w:lvl w:ilvl="0">
      <w:lvlJc w:val="left"/>
      <w:lvlText w:val="(%1)"/>
      <w:numFmt w:val="lowerRoman"/>
      <w:start w:val="2"/>
    </w:lvl>
  </w:abstractNum>
  <w:abstractNum w:abstractNumId="73">
    <w:nsid w:val="37DF2233"/>
    <w:multiLevelType w:val="hybridMultilevel"/>
    <w:lvl w:ilvl="0">
      <w:lvlJc w:val="left"/>
      <w:lvlText w:val="[***]"/>
      <w:numFmt w:val="bullet"/>
      <w:start w:val="1"/>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
      <w:numFmt w:val="bullet"/>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1."/>
      <w:numFmt w:val="decimal"/>
      <w:start w:val="1"/>
    </w:lvl>
  </w:abstractNum>
  <w:abstractNum w:abstractNumId="80">
    <w:nsid w:val="312167AD"/>
    <w:multiLevelType w:val="hybridMultilevel"/>
    <w:lvl w:ilvl="0">
      <w:lvlJc w:val="left"/>
      <w:lvlText w:val="(%1)"/>
      <w:numFmt w:val="lowerLetter"/>
      <w:start w:val="1"/>
    </w:lvl>
  </w:abstractNum>
  <w:abstractNum w:abstractNumId="81">
    <w:nsid w:val="631B64D4"/>
    <w:multiLevelType w:val="hybridMultilevel"/>
    <w:lvl w:ilvl="0">
      <w:lvlJc w:val="left"/>
      <w:lvlText w:val="[***]"/>
      <w:numFmt w:val="bullet"/>
      <w:start w:val="1"/>
    </w:lvl>
    <w:lvl w:ilvl="1">
      <w:lvlJc w:val="left"/>
      <w:lvlText w:val="(%2)"/>
      <w:numFmt w:val="lowerLetter"/>
      <w:start w:val="7"/>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1"/>
      <w:numFmt w:val="lowerLetter"/>
      <w:start w:val="1"/>
    </w:lvl>
    <w:lvl w:ilvl="1">
      <w:lvlJc w:val="left"/>
      <w:lvlText w:val="(%2)"/>
      <w:numFmt w:val="lowerLetter"/>
      <w:start w:val="1"/>
    </w:lvl>
  </w:abstractNum>
  <w:abstractNum w:abstractNumId="84">
    <w:nsid w:val="6E534CDE"/>
    <w:multiLevelType w:val="hybridMultilevel"/>
    <w:lvl w:ilvl="0">
      <w:lvlJc w:val="left"/>
      <w:lvlText w:val="(%1)"/>
      <w:numFmt w:val="lowerLetter"/>
      <w:start w:val="35"/>
    </w:lvl>
    <w:lvl w:ilvl="1">
      <w:lvlJc w:val="left"/>
      <w:lvlText w:val="%2"/>
      <w:numFmt w:val="lowerLetter"/>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
      <w:numFmt w:val="bullet"/>
      <w:start w:val="1"/>
    </w:lvl>
  </w:abstractNum>
  <w:abstractNum w:abstractNumId="87">
    <w:nsid w:val="46263DEC"/>
    <w:multiLevelType w:val="hybridMultilevel"/>
    <w:lvl w:ilvl="0">
      <w:lvlJc w:val="left"/>
      <w:lvlText w:val="(%1)"/>
      <w:numFmt w:val="lowerLetter"/>
      <w:start w:val="2"/>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1)"/>
      <w:numFmt w:val="lowerLetter"/>
      <w:start w:val="1"/>
    </w:lvl>
    <w:lvl w:ilvl="1">
      <w:lvlJc w:val="left"/>
      <w:lvlText w:val="(%2)"/>
      <w:numFmt w:val="lowerRoman"/>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1)"/>
      <w:numFmt w:val="lowerLetter"/>
      <w:start w:val="1"/>
    </w:lvl>
    <w:lvl w:ilvl="1">
      <w:lvlJc w:val="left"/>
      <w:lvlText w:val="(%2)"/>
      <w:numFmt w:val="lowerRoman"/>
      <w:start w:val="1"/>
    </w:lvl>
  </w:abstractNum>
  <w:abstractNum w:abstractNumId="93">
    <w:nsid w:val="49C0E823"/>
    <w:multiLevelType w:val="hybridMultilevel"/>
    <w:lvl w:ilvl="0">
      <w:lvlJc w:val="left"/>
      <w:lvlText w:val="[***]"/>
      <w:numFmt w:val="bullet"/>
      <w:start w:val="1"/>
    </w:lvl>
  </w:abstractNum>
  <w:abstractNum w:abstractNumId="94">
    <w:nsid w:val="14D53685"/>
    <w:multiLevelType w:val="hybridMultilevel"/>
    <w:lvl w:ilvl="0">
      <w:lvlJc w:val="left"/>
      <w:lvlText w:val="%1."/>
      <w:numFmt w:val="decimal"/>
      <w:start w:val="2"/>
    </w:lvl>
  </w:abstractNum>
  <w:abstractNum w:abstractNumId="95">
    <w:nsid w:val="230F856C"/>
    <w:multiLevelType w:val="hybridMultilevel"/>
    <w:lvl w:ilvl="0">
      <w:lvlJc w:val="left"/>
      <w:lvlText w:val="(%1)"/>
      <w:numFmt w:val="lowerLetter"/>
      <w:start w:val="1"/>
    </w:lvl>
  </w:abstractNum>
  <w:abstractNum w:abstractNumId="96">
    <w:nsid w:val="6EAA85FB"/>
    <w:multiLevelType w:val="hybridMultilevel"/>
    <w:lvl w:ilvl="0">
      <w:lvlJc w:val="left"/>
      <w:lvlText w:val="(%1)"/>
      <w:numFmt w:val="lowerLetter"/>
      <w:start w:val="1"/>
    </w:lvl>
  </w:abstractNum>
  <w:abstractNum w:abstractNumId="97">
    <w:nsid w:val="3F06ECB2"/>
    <w:multiLevelType w:val="hybridMultilevel"/>
    <w:lvl w:ilvl="0">
      <w:lvlJc w:val="left"/>
      <w:lvlText w:val="[***]"/>
      <w:numFmt w:val="bullet"/>
      <w:start w:val="1"/>
    </w:lvl>
  </w:abstractNum>
  <w:abstractNum w:abstractNumId="98">
    <w:nsid w:val="3B594807"/>
    <w:multiLevelType w:val="hybridMultilevel"/>
    <w:lvl w:ilvl="0">
      <w:lvlJc w:val="left"/>
      <w:lvlText w:val="(%1)"/>
      <w:numFmt w:val="lowerLetter"/>
      <w:start w:val="3"/>
    </w:lvl>
    <w:lvl w:ilvl="1">
      <w:lvlJc w:val="left"/>
      <w:lvlText w:val="(%2)"/>
      <w:numFmt w:val="lowerRoman"/>
      <w:start w:val="1"/>
    </w:lvl>
  </w:abstractNum>
  <w:abstractNum w:abstractNumId="99">
    <w:nsid w:val="6CAA2304"/>
    <w:multiLevelType w:val="hybridMultilevel"/>
    <w:lvl w:ilvl="0">
      <w:lvlJc w:val="left"/>
      <w:lvlText w:val="[***]"/>
      <w:numFmt w:val="bullet"/>
      <w:start w:val="1"/>
    </w:lvl>
  </w:abstractNum>
  <w:abstractNum w:abstractNumId="100">
    <w:nsid w:val="3F7C2FF4"/>
    <w:multiLevelType w:val="hybridMultilevel"/>
    <w:lvl w:ilvl="0">
      <w:lvlJc w:val="left"/>
      <w:lvlText w:val="%1"/>
      <w:numFmt w:val="lowerLetter"/>
      <w:start w:val="1"/>
    </w:lvl>
    <w:lvl w:ilvl="1">
      <w:lvlJc w:val="left"/>
      <w:lvlText w:val="(%2)"/>
      <w:numFmt w:val="lowerRoman"/>
      <w:start w:val="3"/>
    </w:lvl>
  </w:abstractNum>
  <w:abstractNum w:abstractNumId="101">
    <w:nsid w:val="25413BEC"/>
    <w:multiLevelType w:val="hybridMultilevel"/>
    <w:lvl w:ilvl="0">
      <w:lvlJc w:val="left"/>
      <w:lvlText w:val="(%1)"/>
      <w:numFmt w:val="lowerLetter"/>
      <w:start w:val="8"/>
    </w:lvl>
    <w:lvl w:ilvl="1">
      <w:lvlJc w:val="left"/>
      <w:lvlText w:val="(%2)"/>
      <w:numFmt w:val="lowerRoman"/>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1)"/>
      <w:numFmt w:val="lowerLetter"/>
      <w:start w:val="11"/>
    </w:lvl>
  </w:abstractNum>
  <w:abstractNum w:abstractNumId="104">
    <w:nsid w:val="5D205E20"/>
    <w:multiLevelType w:val="hybridMultilevel"/>
    <w:lvl w:ilvl="0">
      <w:lvlJc w:val="left"/>
      <w:lvlText w:val="(%1)"/>
      <w:numFmt w:val="lowerLetter"/>
      <w:start w:val="13"/>
    </w:lvl>
  </w:abstractNum>
  <w:abstractNum w:abstractNumId="105">
    <w:nsid w:val="11CCA8BA"/>
    <w:multiLevelType w:val="hybridMultilevel"/>
    <w:lvl w:ilvl="0">
      <w:lvlJc w:val="left"/>
      <w:lvlText w:val="(%1)"/>
      <w:numFmt w:val="lowerLetter"/>
      <w:start w:val="1"/>
    </w:lvl>
    <w:lvl w:ilvl="1">
      <w:lvlJc w:val="left"/>
      <w:lvlText w:val="(%2)"/>
      <w:numFmt w:val="lowerRoman"/>
      <w:start w:val="1"/>
    </w:lvl>
  </w:abstractNum>
  <w:abstractNum w:abstractNumId="106">
    <w:nsid w:val="4D32AB86"/>
    <w:multiLevelType w:val="hybridMultilevel"/>
    <w:lvl w:ilvl="0">
      <w:lvlJc w:val="left"/>
      <w:lvlText w:val="[***]"/>
      <w:numFmt w:val="bullet"/>
      <w:start w:val="1"/>
    </w:lvl>
    <w:lvl w:ilvl="1">
      <w:lvlJc w:val="left"/>
      <w:lvlText w:val="(%2)"/>
      <w:numFmt w:val="lowerRoman"/>
      <w:start w:val="4"/>
    </w:lvl>
  </w:abstractNum>
  <w:abstractNum w:abstractNumId="107">
    <w:nsid w:val="3F07ACC3"/>
    <w:multiLevelType w:val="hybridMultilevel"/>
    <w:lvl w:ilvl="0">
      <w:lvlJc w:val="left"/>
      <w:lvlText w:val="(%1)"/>
      <w:numFmt w:val="lowerLetter"/>
      <w:start w:val="2"/>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1)"/>
      <w:numFmt w:val="lowerLetter"/>
      <w:start w:val="4"/>
    </w:lvl>
  </w:abstractNum>
  <w:abstractNum w:abstractNumId="110">
    <w:nsid w:val="16CF80F1"/>
    <w:multiLevelType w:val="hybridMultilevel"/>
    <w:lvl w:ilvl="0">
      <w:lvlJc w:val="left"/>
      <w:lvlText w:val="%1"/>
      <w:numFmt w:val="upperLetter"/>
      <w:start w:val="1"/>
    </w:lvl>
    <w:lvl w:ilvl="1">
      <w:lvlJc w:val="left"/>
      <w:lvlText w:val="(%2)"/>
      <w:numFmt w:val="lowerLetter"/>
      <w:start w:val="1"/>
    </w:lvl>
  </w:abstractNum>
  <w:abstractNum w:abstractNumId="111">
    <w:nsid w:val="1C695DEC"/>
    <w:multiLevelType w:val="hybridMultilevel"/>
    <w:lvl w:ilvl="0">
      <w:lvlJc w:val="left"/>
      <w:lvlText w:val="(%1)"/>
      <w:numFmt w:val="upperLetter"/>
      <w:start w:val="1"/>
    </w:lvl>
    <w:lvl w:ilvl="1">
      <w:lvlJc w:val="left"/>
      <w:lvlText w:val="(%2)"/>
      <w:numFmt w:val="lowerLetter"/>
      <w:start w:val="3"/>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1)"/>
      <w:numFmt w:val="lowerLetter"/>
      <w:start w:val="5"/>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1)"/>
      <w:numFmt w:val="lowerLetter"/>
      <w:start w:val="1"/>
    </w:lvl>
  </w:abstractNum>
  <w:abstractNum w:abstractNumId="116">
    <w:nsid w:val="29934699"/>
    <w:multiLevelType w:val="hybridMultilevel"/>
    <w:lvl w:ilvl="0">
      <w:lvlJc w:val="left"/>
      <w:lvlText w:val="[***]"/>
      <w:numFmt w:val="bullet"/>
      <w:start w:val="1"/>
    </w:lvl>
  </w:abstractNum>
  <w:abstractNum w:abstractNumId="117">
    <w:nsid w:val="77485850"/>
    <w:multiLevelType w:val="hybridMultilevel"/>
    <w:lvl w:ilvl="0">
      <w:lvlJc w:val="left"/>
      <w:lvlText w:val="(%1)"/>
      <w:numFmt w:val="lowerLetter"/>
      <w:start w:val="1"/>
    </w:lvl>
  </w:abstractNum>
  <w:abstractNum w:abstractNumId="118">
    <w:nsid w:val="744939A3"/>
    <w:multiLevelType w:val="hybridMultilevel"/>
    <w:lvl w:ilvl="0">
      <w:lvlJc w:val="left"/>
      <w:lvlText w:val="[***]"/>
      <w:numFmt w:val="bullet"/>
      <w:start w:val="1"/>
    </w:lvl>
    <w:lvl w:ilvl="1">
      <w:lvlJc w:val="left"/>
      <w:lvlText w:val="(%2)"/>
      <w:numFmt w:val="lowerLetter"/>
      <w:start w:val="2"/>
    </w:lvl>
  </w:abstractNum>
  <w:abstractNum w:abstractNumId="119">
    <w:nsid w:val="4FA0D2E3"/>
    <w:multiLevelType w:val="hybridMultilevel"/>
    <w:lvl w:ilvl="0">
      <w:lvlJc w:val="left"/>
      <w:lvlText w:val="(%1)"/>
      <w:numFmt w:val="lowerLetter"/>
      <w:start w:val="1"/>
    </w:lvl>
  </w:abstractNum>
  <w:abstractNum w:abstractNumId="120">
    <w:nsid w:val="6B1D2C14"/>
    <w:multiLevelType w:val="hybridMultilevel"/>
    <w:lvl w:ilvl="0">
      <w:lvlJc w:val="left"/>
      <w:lvlText w:val="(%1)"/>
      <w:numFmt w:val="lowerLetter"/>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1)"/>
      <w:numFmt w:val="lowerLetter"/>
      <w:start w:val="2"/>
    </w:lvl>
  </w:abstractNum>
  <w:abstractNum w:abstractNumId="123">
    <w:nsid w:val="2AE05A34"/>
    <w:multiLevelType w:val="hybridMultilevel"/>
    <w:lvl w:ilvl="0">
      <w:lvlJc w:val="left"/>
      <w:lvlText w:val="[***]"/>
      <w:numFmt w:val="bullet"/>
      <w:start w:val="1"/>
    </w:lvl>
    <w:lvl w:ilvl="1">
      <w:lvlJc w:val="left"/>
      <w:lvlText w:val="(%2)"/>
      <w:numFmt w:val="lowerLetter"/>
      <w:start w:val="5"/>
    </w:lvl>
  </w:abstractNum>
  <w:abstractNum w:abstractNumId="124">
    <w:nsid w:val="32794FF7"/>
    <w:multiLevelType w:val="hybridMultilevel"/>
    <w:lvl w:ilvl="0">
      <w:lvlJc w:val="left"/>
      <w:lvlText w:val="(%1)"/>
      <w:numFmt w:val="lowerLetter"/>
      <w:start w:val="1"/>
    </w:lvl>
  </w:abstractNum>
  <w:abstractNum w:abstractNumId="125">
    <w:nsid w:val="5454945E"/>
    <w:multiLevelType w:val="hybridMultilevel"/>
    <w:lvl w:ilvl="0">
      <w:lvlJc w:val="left"/>
      <w:lvlText w:val="[***]"/>
      <w:numFmt w:val="bullet"/>
      <w:start w:val="1"/>
    </w:lvl>
  </w:abstractNum>
  <w:abstractNum w:abstractNumId="126">
    <w:nsid w:val="4DEFDFA0"/>
    <w:multiLevelType w:val="hybridMultilevel"/>
    <w:lvl w:ilvl="0">
      <w:lvlJc w:val="left"/>
      <w:lvlText w:val="%1."/>
      <w:numFmt w:val="decimal"/>
      <w:start w:val="3"/>
    </w:lvl>
  </w:abstractNum>
  <w:abstractNum w:abstractNumId="127">
    <w:nsid w:val="2123D5F2"/>
    <w:multiLevelType w:val="hybridMultilevel"/>
    <w:lvl w:ilvl="0">
      <w:lvlJc w:val="left"/>
      <w:lvlText w:val="(%1)"/>
      <w:numFmt w:val="lowerLetter"/>
      <w:start w:val="1"/>
    </w:lvl>
  </w:abstractNum>
  <w:abstractNum w:abstractNumId="128">
    <w:nsid w:val="135B8110"/>
    <w:multiLevelType w:val="hybridMultilevel"/>
    <w:lvl w:ilvl="0">
      <w:lvlJc w:val="left"/>
      <w:lvlText w:val="[***]"/>
      <w:numFmt w:val="bullet"/>
      <w:start w:val="1"/>
    </w:lvl>
  </w:abstractNum>
  <w:abstractNum w:abstractNumId="129">
    <w:nsid w:val="94927A8"/>
    <w:multiLevelType w:val="hybridMultilevel"/>
    <w:lvl w:ilvl="0">
      <w:lvlJc w:val="left"/>
      <w:lvlText w:val="%1."/>
      <w:numFmt w:val="decimal"/>
      <w:start w:val="4"/>
    </w:lvl>
  </w:abstractNum>
  <w:abstractNum w:abstractNumId="130">
    <w:nsid w:val="DCDF8F6"/>
    <w:multiLevelType w:val="hybridMultilevel"/>
    <w:lvl w:ilvl="0">
      <w:lvlJc w:val="left"/>
      <w:lvlText w:val="[***]"/>
      <w:numFmt w:val="bullet"/>
      <w:start w:val="1"/>
    </w:lvl>
  </w:abstractNum>
  <w:abstractNum w:abstractNumId="131">
    <w:nsid w:val="52D7B10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2">
    <w:nsid w:val="2E8A639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33">
    <w:nsid w:val="24E60401"/>
    <w:multiLevelType w:val="hybridMultilevel"/>
    <w:lvl w:ilvl="0">
      <w:lvlJc w:val="left"/>
      <w:lvlText w:val="[***]"/>
      <w:numFmt w:val="bullet"/>
      <w:start w:val="1"/>
    </w:lvl>
    <w:lvl w:ilvl="1">
      <w:lvlJc w:val="left"/>
      <w:lvlText w:val="(%2)"/>
      <w:numFmt w:val="lowerRoman"/>
      <w:start w:val="2"/>
    </w:lvl>
  </w:abstractNum>
  <w:abstractNum w:abstractNumId="134">
    <w:nsid w:val="2A6AD9BE"/>
    <w:multiLevelType w:val="hybridMultilevel"/>
    <w:lvl w:ilvl="0">
      <w:lvlJc w:val="left"/>
      <w:lvlText w:val="[***]"/>
      <w:numFmt w:val="bullet"/>
      <w:start w:val="1"/>
    </w:lvl>
  </w:abstractNum>
  <w:abstractNum w:abstractNumId="135">
    <w:nsid w:val="BAAC1B4"/>
    <w:multiLevelType w:val="hybridMultilevel"/>
    <w:lvl w:ilvl="0">
      <w:lvlJc w:val="left"/>
      <w:lvlText w:val="(%1)"/>
      <w:numFmt w:val="lowerLetter"/>
      <w:start w:val="1"/>
    </w:lvl>
  </w:abstractNum>
  <w:abstractNum w:abstractNumId="136">
    <w:nsid w:val="36B2ACBC"/>
    <w:multiLevelType w:val="hybridMultilevel"/>
    <w:lvl w:ilvl="0">
      <w:lvlJc w:val="left"/>
      <w:lvlText w:val="[***]"/>
      <w:numFmt w:val="bullet"/>
      <w:start w:val="1"/>
    </w:lvl>
    <w:lvl w:ilvl="1">
      <w:lvlJc w:val="left"/>
      <w:lvlText w:val="(%2)"/>
      <w:numFmt w:val="lowerLetter"/>
      <w:start w:val="2"/>
    </w:lvl>
  </w:abstractNum>
  <w:abstractNum w:abstractNumId="137">
    <w:nsid w:val="779D8544"/>
    <w:multiLevelType w:val="hybridMultilevel"/>
    <w:lvl w:ilvl="0">
      <w:lvlJc w:val="left"/>
      <w:lvlText w:val="%1."/>
      <w:numFmt w:val="decimal"/>
      <w:start w:val="5"/>
    </w:lvl>
  </w:abstractNum>
  <w:abstractNum w:abstractNumId="138">
    <w:nsid w:val="4AB26E78"/>
    <w:multiLevelType w:val="hybridMultilevel"/>
    <w:lvl w:ilvl="0">
      <w:lvlJc w:val="left"/>
      <w:lvlText w:val="(%1)"/>
      <w:numFmt w:val="lowerLetter"/>
      <w:start w:val="1"/>
    </w:lvl>
  </w:abstractNum>
  <w:abstractNum w:abstractNumId="139">
    <w:nsid w:val="21FAA2FA"/>
    <w:multiLevelType w:val="hybridMultilevel"/>
    <w:lvl w:ilvl="0">
      <w:lvlJc w:val="left"/>
      <w:lvlText w:val="(%1)"/>
      <w:numFmt w:val="lowerLetter"/>
      <w:start w:val="1"/>
    </w:lvl>
  </w:abstractNum>
  <w:abstractNum w:abstractNumId="140">
    <w:nsid w:val="5451CF49"/>
    <w:multiLevelType w:val="hybridMultilevel"/>
    <w:lvl w:ilvl="0">
      <w:lvlJc w:val="left"/>
      <w:lvlText w:val="[***]"/>
      <w:numFmt w:val="bullet"/>
      <w:start w:val="1"/>
    </w:lvl>
    <w:lvl w:ilvl="1">
      <w:lvlJc w:val="left"/>
      <w:lvlText w:val="(%2)"/>
      <w:numFmt w:val="lowerLetter"/>
      <w:start w:val="2"/>
    </w:lvl>
  </w:abstractNum>
  <w:abstractNum w:abstractNumId="141">
    <w:nsid w:val="6181EF69"/>
    <w:multiLevelType w:val="hybridMultilevel"/>
    <w:lvl w:ilvl="0">
      <w:lvlJc w:val="left"/>
      <w:lvlText w:val="%1."/>
      <w:numFmt w:val="decimal"/>
      <w:start w:val="6"/>
    </w:lvl>
  </w:abstractNum>
  <w:abstractNum w:abstractNumId="142">
    <w:nsid w:val="3E6400E6"/>
    <w:multiLevelType w:val="hybridMultilevel"/>
    <w:lvl w:ilvl="0">
      <w:lvlJc w:val="left"/>
      <w:lvlText w:val="(%1)"/>
      <w:numFmt w:val="lowerLetter"/>
      <w:start w:val="1"/>
    </w:lvl>
  </w:abstractNum>
  <w:abstractNum w:abstractNumId="143">
    <w:nsid w:val="14217E23"/>
    <w:multiLevelType w:val="hybridMultilevel"/>
    <w:lvl w:ilvl="0">
      <w:lvlJc w:val="left"/>
      <w:lvlText w:val="[***]"/>
      <w:numFmt w:val="bullet"/>
      <w:start w:val="1"/>
    </w:lvl>
  </w:abstractNum>
  <w:abstractNum w:abstractNumId="144">
    <w:nsid w:val="710757D0"/>
    <w:multiLevelType w:val="hybridMultilevel"/>
    <w:lvl w:ilvl="0">
      <w:lvlJc w:val="left"/>
      <w:lvlText w:val="%1."/>
      <w:numFmt w:val="decimal"/>
      <w:start w:val="7"/>
    </w:lvl>
  </w:abstractNum>
  <w:abstractNum w:abstractNumId="145">
    <w:nsid w:val="5015CD1A"/>
    <w:multiLevelType w:val="hybridMultilevel"/>
    <w:lvl w:ilvl="0">
      <w:lvlJc w:val="left"/>
      <w:lvlText w:val="(%1)"/>
      <w:numFmt w:val="lowerLetter"/>
      <w:start w:val="1"/>
    </w:lvl>
  </w:abstractNum>
  <w:abstractNum w:abstractNumId="146">
    <w:nsid w:val="424479DA"/>
    <w:multiLevelType w:val="hybridMultilevel"/>
    <w:lvl w:ilvl="0">
      <w:lvlJc w:val="left"/>
      <w:lvlText w:val="[***]"/>
      <w:numFmt w:val="bullet"/>
      <w:start w:val="1"/>
    </w:lvl>
  </w:abstractNum>
  <w:abstractNum w:abstractNumId="147">
    <w:nsid w:val="1A9A9E69"/>
    <w:multiLevelType w:val="hybridMultilevel"/>
    <w:lvl w:ilvl="0">
      <w:lvlJc w:val="left"/>
      <w:lvlText w:val="%1."/>
      <w:numFmt w:val="decimal"/>
      <w:start w:val="8"/>
    </w:lvl>
  </w:abstractNum>
  <w:abstractNum w:abstractNumId="148">
    <w:nsid w:val="475E256A"/>
    <w:multiLevelType w:val="hybridMultilevel"/>
    <w:lvl w:ilvl="0">
      <w:lvlJc w:val="left"/>
      <w:lvlText w:val="(%1)"/>
      <w:numFmt w:val="lowerLetter"/>
      <w:start w:val="1"/>
    </w:lvl>
  </w:abstractNum>
  <w:abstractNum w:abstractNumId="149">
    <w:nsid w:val="368DB37E"/>
    <w:multiLevelType w:val="hybridMultilevel"/>
    <w:lvl w:ilvl="0">
      <w:lvlJc w:val="left"/>
      <w:lvlText w:val="[***]"/>
      <w:numFmt w:val="bullet"/>
      <w:start w:val="1"/>
    </w:lvl>
    <w:lvl w:ilvl="1">
      <w:lvlJc w:val="left"/>
      <w:lvlText w:val="(%2)"/>
      <w:numFmt w:val="lowerLetter"/>
      <w:start w:val="1"/>
    </w:lvl>
  </w:abstractNum>
  <w:abstractNum w:abstractNumId="150">
    <w:nsid w:val="6A3B714C"/>
    <w:multiLevelType w:val="hybridMultilevel"/>
    <w:lvl w:ilvl="0">
      <w:lvlJc w:val="left"/>
      <w:lvlText w:val="(%1)"/>
      <w:numFmt w:val="lowerLetter"/>
      <w:start w:val="1"/>
    </w:lvl>
  </w:abstractNum>
  <w:abstractNum w:abstractNumId="151">
    <w:nsid w:val="327B517E"/>
    <w:multiLevelType w:val="hybridMultilevel"/>
    <w:lvl w:ilvl="0">
      <w:lvlJc w:val="left"/>
      <w:lvlText w:val="(%1)"/>
      <w:numFmt w:val="lowerRoman"/>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1"/>
      <w:numFmt w:val="lowerLetter"/>
      <w:start w:val="1"/>
    </w:lvl>
    <w:lvl w:ilvl="1">
      <w:lvlJc w:val="left"/>
      <w:lvlText w:val="(%2)"/>
      <w:numFmt w:val="lowerLetter"/>
      <w:start w:val="1"/>
    </w:lvl>
  </w:abstractNum>
  <w:abstractNum w:abstractNumId="154">
    <w:nsid w:val="5D5BABB3"/>
    <w:multiLevelType w:val="hybridMultilevel"/>
    <w:lvl w:ilvl="0">
      <w:lvlJc w:val="left"/>
      <w:lvlText w:val="(%1)"/>
      <w:numFmt w:val="lowerLetter"/>
      <w:start w:val="35"/>
    </w:lvl>
    <w:lvl w:ilvl="1">
      <w:lvlJc w:val="left"/>
      <w:lvlText w:val="(%2)"/>
      <w:numFmt w:val="lowerLetter"/>
      <w:start w:val="3"/>
    </w:lvl>
  </w:abstractNum>
  <w:abstractNum w:abstractNumId="155">
    <w:nsid w:val="51BF6B48"/>
    <w:multiLevelType w:val="hybridMultilevel"/>
    <w:lvl w:ilvl="0">
      <w:lvlJc w:val="left"/>
      <w:lvlText w:val="%1."/>
      <w:numFmt w:val="decimal"/>
      <w:start w:val="9"/>
    </w:lvl>
  </w:abstractNum>
  <w:abstractNum w:abstractNumId="156">
    <w:nsid w:val="7E0F6384"/>
    <w:multiLevelType w:val="hybridMultilevel"/>
    <w:lvl w:ilvl="0">
      <w:lvlJc w:val="left"/>
      <w:lvlText w:val="[***]"/>
      <w:numFmt w:val="bullet"/>
      <w:start w:val="1"/>
    </w:lvl>
  </w:abstractNum>
  <w:abstractNum w:abstractNumId="157">
    <w:nsid w:val="2B4B8B53"/>
    <w:multiLevelType w:val="hybridMultilevel"/>
    <w:lvl w:ilvl="0">
      <w:lvlJc w:val="left"/>
      <w:lvlText w:val="[***]"/>
      <w:numFmt w:val="bullet"/>
      <w:start w:val="1"/>
    </w:lvl>
  </w:abstractNum>
  <w:abstractNum w:abstractNumId="158">
    <w:nsid w:val="72E3413A"/>
    <w:multiLevelType w:val="hybridMultilevel"/>
    <w:lvl w:ilvl="0">
      <w:lvlJc w:val="left"/>
      <w:lvlText w:val="(%1)"/>
      <w:numFmt w:val="lowerLetter"/>
      <w:start w:val="1"/>
    </w:lvl>
  </w:abstractNum>
  <w:abstractNum w:abstractNumId="159">
    <w:nsid w:val="116AE494"/>
    <w:multiLevelType w:val="hybridMultilevel"/>
    <w:lvl w:ilvl="0">
      <w:lvlJc w:val="left"/>
      <w:lvlText w:val="[***]"/>
      <w:numFmt w:val="bullet"/>
      <w:start w:val="1"/>
    </w:lvl>
    <w:lvl w:ilvl="1">
      <w:lvlJc w:val="left"/>
      <w:lvlText w:val="(%2)"/>
      <w:numFmt w:val="lowerLetter"/>
      <w:start w:val="3"/>
    </w:lvl>
  </w:abstractNum>
  <w:abstractNum w:abstractNumId="160">
    <w:nsid w:val="3494B2FB"/>
    <w:multiLevelType w:val="hybridMultilevel"/>
    <w:lvl w:ilvl="0">
      <w:lvlJc w:val="left"/>
      <w:lvlText w:val="[***]"/>
      <w:numFmt w:val="bullet"/>
      <w:start w:val="1"/>
    </w:lvl>
  </w:abstractNum>
  <w:abstractNum w:abstractNumId="161">
    <w:nsid w:val="B13A31"/>
    <w:multiLevelType w:val="hybridMultilevel"/>
    <w:lvl w:ilvl="0">
      <w:lvlJc w:val="left"/>
      <w:lvlText w:val="(%1)"/>
      <w:numFmt w:val="lowerLetter"/>
      <w:start w:val="1"/>
    </w:lvl>
  </w:abstractNum>
  <w:abstractNum w:abstractNumId="162">
    <w:nsid w:val="64429599"/>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163">
    <w:nsid w:val="631F169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64">
    <w:nsid w:val="25973E32"/>
    <w:multiLevelType w:val="hybridMultilevel"/>
    <w:lvl w:ilvl="0">
      <w:lvlJc w:val="left"/>
      <w:lvlText w:val="[***]"/>
      <w:numFmt w:val="bullet"/>
      <w:start w:val="1"/>
    </w:lvl>
    <w:lvl w:ilvl="1">
      <w:lvlJc w:val="left"/>
      <w:lvlText w:val="(%2)"/>
      <w:numFmt w:val="lowerLetter"/>
      <w:start w:val="4"/>
    </w:lvl>
    <w:lvl w:ilvl="2">
      <w:lvlJc w:val="left"/>
      <w:lvlText w:val="%3"/>
      <w:numFmt w:val="lowerLetter"/>
      <w:start w:val="1"/>
    </w:lvl>
  </w:abstractNum>
  <w:abstractNum w:abstractNumId="165">
    <w:nsid w:val="EAD6F57"/>
    <w:multiLevelType w:val="hybridMultilevel"/>
    <w:lvl w:ilvl="0">
      <w:lvlJc w:val="left"/>
      <w:lvlText w:val="[***]"/>
      <w:numFmt w:val="bullet"/>
      <w:start w:val="1"/>
    </w:lvl>
  </w:abstractNum>
  <w:abstractNum w:abstractNumId="166">
    <w:nsid w:val="6EC9D844"/>
    <w:multiLevelType w:val="hybridMultilevel"/>
    <w:lvl w:ilvl="0">
      <w:lvlJc w:val="left"/>
      <w:lvlText w:val="(%1)"/>
      <w:numFmt w:val="lowerLetter"/>
      <w:start w:val="5"/>
    </w:lvl>
  </w:abstractNum>
  <w:abstractNum w:abstractNumId="167">
    <w:nsid w:val="5C49EAEE"/>
    <w:multiLevelType w:val="hybridMultilevel"/>
    <w:lvl w:ilvl="0">
      <w:lvlJc w:val="left"/>
      <w:lvlText w:val="(%1)"/>
      <w:numFmt w:val="lowerLetter"/>
      <w:start w:val="1"/>
    </w:lvl>
  </w:abstractNum>
  <w:abstractNum w:abstractNumId="168">
    <w:nsid w:val="64AF49B"/>
    <w:multiLevelType w:val="hybridMultilevel"/>
    <w:lvl w:ilvl="0">
      <w:lvlJc w:val="left"/>
      <w:lvlText w:val="(%1)"/>
      <w:numFmt w:val="lowerLetter"/>
      <w:start w:val="2"/>
    </w:lvl>
  </w:abstractNum>
  <w:abstractNum w:abstractNumId="169">
    <w:nsid w:val="397C46B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0">
    <w:nsid w:val="7E448DE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71">
    <w:nsid w:val="5A9CC3E5"/>
    <w:multiLevelType w:val="hybridMultilevel"/>
    <w:lvl w:ilvl="0">
      <w:lvlJc w:val="left"/>
      <w:lvlText w:val="[***]"/>
      <w:numFmt w:val="bullet"/>
      <w:start w:val="1"/>
    </w:lvl>
    <w:lvl w:ilvl="1">
      <w:lvlJc w:val="left"/>
      <w:lvlText w:val="(%2)"/>
      <w:numFmt w:val="lowerLetter"/>
      <w:start w:val="1"/>
    </w:lvl>
  </w:abstractNum>
  <w:abstractNum w:abstractNumId="172">
    <w:nsid w:val="1AFE3625"/>
    <w:multiLevelType w:val="hybridMultilevel"/>
    <w:lvl w:ilvl="0">
      <w:lvlJc w:val="left"/>
      <w:lvlText w:val="[***]"/>
      <w:numFmt w:val="bullet"/>
      <w:start w:val="1"/>
    </w:lvl>
  </w:abstractNum>
  <w:abstractNum w:abstractNumId="173">
    <w:nsid w:val="3CA88ECF"/>
    <w:multiLevelType w:val="hybridMultilevel"/>
    <w:lvl w:ilvl="0">
      <w:lvlJc w:val="left"/>
      <w:lvlText w:val="(%1)"/>
      <w:numFmt w:val="lowerLetter"/>
      <w:start w:val="1"/>
    </w:lvl>
  </w:abstractNum>
  <w:abstractNum w:abstractNumId="174">
    <w:nsid w:val="6EBE4208"/>
    <w:multiLevelType w:val="hybridMultilevel"/>
    <w:lvl w:ilvl="0">
      <w:lvlJc w:val="left"/>
      <w:lvlText w:val="[***]"/>
      <w:numFmt w:val="bullet"/>
      <w:start w:val="1"/>
    </w:lvl>
  </w:abstractNum>
  <w:abstractNum w:abstractNumId="175">
    <w:nsid w:val="C058DF5"/>
    <w:multiLevelType w:val="hybridMultilevel"/>
    <w:lvl w:ilvl="0">
      <w:lvlJc w:val="left"/>
      <w:lvlText w:val="[***]"/>
      <w:numFmt w:val="bullet"/>
      <w:start w:val="1"/>
    </w:lvl>
  </w:abstractNum>
  <w:abstractNum w:abstractNumId="176">
    <w:nsid w:val="CBE5BE9"/>
    <w:multiLevelType w:val="hybridMultilevel"/>
    <w:lvl w:ilvl="0">
      <w:lvlJc w:val="left"/>
      <w:lvlText w:val="%1."/>
      <w:numFmt w:val="decimal"/>
      <w:start w:val="10"/>
    </w:lvl>
  </w:abstractNum>
  <w:abstractNum w:abstractNumId="177">
    <w:nsid w:val="3102BBE2"/>
    <w:multiLevelType w:val="hybridMultilevel"/>
    <w:lvl w:ilvl="0">
      <w:lvlJc w:val="left"/>
      <w:lvlText w:val="[***]"/>
      <w:numFmt w:val="bullet"/>
      <w:start w:val="1"/>
    </w:lvl>
  </w:abstractNum>
  <w:abstractNum w:abstractNumId="178">
    <w:nsid w:val="26A02C5E"/>
    <w:multiLevelType w:val="hybridMultilevel"/>
    <w:lvl w:ilvl="0">
      <w:lvlJc w:val="left"/>
      <w:lvlText w:val="(%1)"/>
      <w:numFmt w:val="lowerLetter"/>
      <w:start w:val="1"/>
    </w:lvl>
  </w:abstractNum>
  <w:abstractNum w:abstractNumId="179">
    <w:nsid w:val="541C8153"/>
    <w:multiLevelType w:val="hybridMultilevel"/>
    <w:lvl w:ilvl="0">
      <w:lvlJc w:val="left"/>
      <w:lvlText w:val="[***]"/>
      <w:numFmt w:val="bullet"/>
      <w:start w:val="1"/>
    </w:lvl>
  </w:abstractNum>
  <w:abstractNum w:abstractNumId="180">
    <w:nsid w:val="67906F60"/>
    <w:multiLevelType w:val="hybridMultilevel"/>
    <w:lvl w:ilvl="0">
      <w:lvlJc w:val="left"/>
      <w:lvlText w:val="(%1)"/>
      <w:numFmt w:val="lowerLetter"/>
      <w:start w:val="1"/>
    </w:lvl>
  </w:abstractNum>
  <w:abstractNum w:abstractNumId="181">
    <w:nsid w:val="10DB9DAA"/>
    <w:multiLevelType w:val="hybridMultilevel"/>
    <w:lvl w:ilvl="0">
      <w:lvlJc w:val="left"/>
      <w:lvlText w:val="(%1)"/>
      <w:numFmt w:val="lowerLetter"/>
      <w:start w:val="1"/>
    </w:lvl>
  </w:abstractNum>
  <w:abstractNum w:abstractNumId="182">
    <w:nsid w:val="697D2D2"/>
    <w:multiLevelType w:val="hybridMultilevel"/>
    <w:lvl w:ilvl="0">
      <w:lvlJc w:val="left"/>
      <w:lvlText w:val="[***]"/>
      <w:numFmt w:val="bullet"/>
      <w:start w:val="1"/>
    </w:lvl>
  </w:abstractNum>
  <w:abstractNum w:abstractNumId="183">
    <w:nsid w:val="6D68AB2"/>
    <w:multiLevelType w:val="hybridMultilevel"/>
    <w:lvl w:ilvl="0">
      <w:lvlJc w:val="left"/>
      <w:lvlText w:val="(%1)"/>
      <w:numFmt w:val="lowerLetter"/>
      <w:start w:val="1"/>
    </w:lvl>
  </w:abstractNum>
  <w:abstractNum w:abstractNumId="184">
    <w:nsid w:val="3A966CD0"/>
    <w:multiLevelType w:val="hybridMultilevel"/>
    <w:lvl w:ilvl="0">
      <w:lvlJc w:val="left"/>
      <w:lvlText w:val="[***]"/>
      <w:numFmt w:val="bullet"/>
      <w:start w:val="1"/>
    </w:lvl>
    <w:lvl w:ilvl="1">
      <w:lvlJc w:val="left"/>
      <w:lvlText w:val="(%2)"/>
      <w:numFmt w:val="lowerLetter"/>
      <w:start w:val="6"/>
    </w:lvl>
  </w:abstractNum>
  <w:abstractNum w:abstractNumId="185">
    <w:nsid w:val="63F37E85"/>
    <w:multiLevelType w:val="hybridMultilevel"/>
    <w:lvl w:ilvl="0">
      <w:lvlJc w:val="left"/>
      <w:lvlText w:val="[***]"/>
      <w:numFmt w:val="bullet"/>
      <w:start w:val="1"/>
    </w:lvl>
  </w:abstractNum>
  <w:abstractNum w:abstractNumId="186">
    <w:nsid w:val="5895F5FA"/>
    <w:multiLevelType w:val="hybridMultilevel"/>
    <w:lvl w:ilvl="0">
      <w:lvlJc w:val="left"/>
      <w:lvlText w:val="[***]"/>
      <w:numFmt w:val="bullet"/>
      <w:start w:val="1"/>
    </w:lvl>
  </w:abstractNum>
  <w:abstractNum w:abstractNumId="187">
    <w:nsid w:val="38A5D054"/>
    <w:multiLevelType w:val="hybridMultilevel"/>
    <w:lvl w:ilvl="0">
      <w:lvlJc w:val="left"/>
      <w:lvlText w:val="[***]"/>
      <w:numFmt w:val="bullet"/>
      <w:start w:val="1"/>
    </w:lvl>
  </w:abstractNum>
  <w:abstractNum w:abstractNumId="188">
    <w:nsid w:val="F3F09D8"/>
    <w:multiLevelType w:val="hybridMultilevel"/>
    <w:lvl w:ilvl="0">
      <w:lvlJc w:val="left"/>
      <w:lvlText w:val="[***]"/>
      <w:numFmt w:val="bullet"/>
      <w:start w:val="1"/>
    </w:lvl>
  </w:abstractNum>
  <w:abstractNum w:abstractNumId="189">
    <w:nsid w:val="4B793735"/>
    <w:multiLevelType w:val="hybridMultilevel"/>
    <w:lvl w:ilvl="0">
      <w:lvlJc w:val="left"/>
      <w:lvlText w:val="[***]"/>
      <w:numFmt w:val="bullet"/>
      <w:start w:val="1"/>
    </w:lvl>
  </w:abstractNum>
  <w:abstractNum w:abstractNumId="190">
    <w:nsid w:val="4A10B4E8"/>
    <w:multiLevelType w:val="hybridMultilevel"/>
    <w:lvl w:ilvl="0">
      <w:lvlJc w:val="left"/>
      <w:lvlText w:val="[***]"/>
      <w:numFmt w:val="bullet"/>
      <w:start w:val="1"/>
    </w:lvl>
  </w:abstractNum>
  <w:abstractNum w:abstractNumId="191">
    <w:nsid w:val="43D3BCD4"/>
    <w:multiLevelType w:val="hybridMultilevel"/>
    <w:lvl w:ilvl="0">
      <w:lvlJc w:val="left"/>
      <w:lvlText w:val="[***]"/>
      <w:numFmt w:val="bullet"/>
      <w:start w:val="1"/>
    </w:lvl>
  </w:abstractNum>
  <w:abstractNum w:abstractNumId="192">
    <w:nsid w:val="4C2A7166"/>
    <w:multiLevelType w:val="hybridMultilevel"/>
    <w:lvl w:ilvl="0">
      <w:lvlJc w:val="left"/>
      <w:lvlText w:val="[***]"/>
      <w:numFmt w:val="bullet"/>
      <w:start w:val="1"/>
    </w:lvl>
  </w:abstractNum>
  <w:abstractNum w:abstractNumId="193">
    <w:nsid w:val="2E534A82"/>
    <w:multiLevelType w:val="hybridMultilevel"/>
    <w:lvl w:ilvl="0">
      <w:lvlJc w:val="left"/>
      <w:lvlText w:val="[***]"/>
      <w:numFmt w:val="bullet"/>
      <w:start w:val="1"/>
    </w:lvl>
  </w:abstractNum>
  <w:abstractNum w:abstractNumId="194">
    <w:nsid w:val="26F2D364"/>
    <w:multiLevelType w:val="hybridMultilevel"/>
    <w:lvl w:ilvl="0">
      <w:lvlJc w:val="left"/>
      <w:lvlText w:val="[***]"/>
      <w:numFmt w:val="bullet"/>
      <w:start w:val="1"/>
    </w:lvl>
  </w:abstractNum>
  <w:abstractNum w:abstractNumId="195">
    <w:nsid w:val="71C1AF98"/>
    <w:multiLevelType w:val="hybridMultilevel"/>
    <w:lvl w:ilvl="0">
      <w:lvlJc w:val="left"/>
      <w:lvlText w:val="[***]"/>
      <w:numFmt w:val="bullet"/>
      <w:start w:val="1"/>
    </w:lvl>
  </w:abstractNum>
  <w:abstractNum w:abstractNumId="196">
    <w:nsid w:val="3D00B9D9"/>
    <w:multiLevelType w:val="hybridMultilevel"/>
    <w:lvl w:ilvl="0">
      <w:lvlJc w:val="left"/>
      <w:lvlText w:val="[***]"/>
      <w:numFmt w:val="bullet"/>
      <w:start w:val="1"/>
    </w:lvl>
  </w:abstractNum>
  <w:abstractNum w:abstractNumId="197">
    <w:nsid w:val="15BCABA8"/>
    <w:multiLevelType w:val="hybridMultilevel"/>
    <w:lvl w:ilvl="0">
      <w:lvlJc w:val="left"/>
      <w:lvlText w:val="[***]"/>
      <w:numFmt w:val="bullet"/>
      <w:start w:val="1"/>
    </w:lvl>
  </w:abstractNum>
  <w:abstractNum w:abstractNumId="198">
    <w:nsid w:val="4E0B9A87"/>
    <w:multiLevelType w:val="hybridMultilevel"/>
    <w:lvl w:ilvl="0">
      <w:lvlJc w:val="left"/>
      <w:lvlText w:val="(%1)"/>
      <w:numFmt w:val="lowerLetter"/>
      <w:start w:val="1"/>
    </w:lvl>
  </w:abstractNum>
  <w:abstractNum w:abstractNumId="199">
    <w:nsid w:val="434BAE75"/>
    <w:multiLevelType w:val="hybridMultilevel"/>
    <w:lvl w:ilvl="0">
      <w:lvlJc w:val="left"/>
      <w:lvlText w:val="[***]"/>
      <w:numFmt w:val="bullet"/>
      <w:start w:val="1"/>
    </w:lvl>
  </w:abstractNum>
  <w:abstractNum w:abstractNumId="200">
    <w:nsid w:val="4F38F265"/>
    <w:multiLevelType w:val="hybridMultilevel"/>
    <w:lvl w:ilvl="0">
      <w:lvlJc w:val="left"/>
      <w:lvlText w:val="[***]"/>
      <w:numFmt w:val="bullet"/>
      <w:start w:val="1"/>
    </w:lvl>
  </w:abstractNum>
  <w:abstractNum w:abstractNumId="201">
    <w:nsid w:val="4C502870"/>
    <w:multiLevelType w:val="hybridMultilevel"/>
    <w:lvl w:ilvl="0">
      <w:lvlJc w:val="left"/>
      <w:lvlText w:val="[***]"/>
      <w:numFmt w:val="bullet"/>
      <w:start w:val="1"/>
    </w:lvl>
  </w:abstractNum>
  <w:abstractNum w:abstractNumId="202">
    <w:nsid w:val="1DE8725A"/>
    <w:multiLevelType w:val="hybridMultilevel"/>
    <w:lvl w:ilvl="0">
      <w:lvlJc w:val="left"/>
      <w:lvlText w:val="[***]"/>
      <w:numFmt w:val="bullet"/>
      <w:start w:val="1"/>
    </w:lvl>
  </w:abstractNum>
  <w:abstractNum w:abstractNumId="203">
    <w:nsid w:val="6A37288A"/>
    <w:multiLevelType w:val="hybridMultilevel"/>
    <w:lvl w:ilvl="0">
      <w:lvlJc w:val="left"/>
      <w:lvlText w:val="[***]"/>
      <w:numFmt w:val="bullet"/>
      <w:start w:val="1"/>
    </w:lvl>
  </w:abstractNum>
  <w:abstractNum w:abstractNumId="204">
    <w:nsid w:val="8F8B73F"/>
    <w:multiLevelType w:val="hybridMultilevel"/>
    <w:lvl w:ilvl="0">
      <w:lvlJc w:val="left"/>
      <w:lvlText w:val="[***]"/>
      <w:numFmt w:val="bullet"/>
      <w:start w:val="1"/>
    </w:lvl>
  </w:abstractNum>
  <w:abstractNum w:abstractNumId="205">
    <w:nsid w:val="CA6B462"/>
    <w:multiLevelType w:val="hybridMultilevel"/>
    <w:lvl w:ilvl="0">
      <w:lvlJc w:val="left"/>
      <w:lvlText w:val="[***]"/>
      <w:numFmt w:val="bullet"/>
      <w:start w:val="1"/>
    </w:lvl>
  </w:abstractNum>
  <w:abstractNum w:abstractNumId="206">
    <w:nsid w:val="763CB680"/>
    <w:multiLevelType w:val="hybridMultilevel"/>
    <w:lvl w:ilvl="0">
      <w:lvlJc w:val="left"/>
      <w:lvlText w:val="[***]"/>
      <w:numFmt w:val="bullet"/>
      <w:start w:val="1"/>
    </w:lvl>
  </w:abstractNum>
  <w:abstractNum w:abstractNumId="207">
    <w:nsid w:val="15B71329"/>
    <w:multiLevelType w:val="hybridMultilevel"/>
    <w:lvl w:ilvl="0">
      <w:lvlJc w:val="left"/>
      <w:lvlText w:val="[***]"/>
      <w:numFmt w:val="bullet"/>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293" Type="http://schemas.openxmlformats.org/officeDocument/2006/relationships/hyperlink" Target="https://www.sec.gov/Archives/edgar/data/1831915/000119312521225716/d183956dex31.htm" TargetMode="External"/><Relationship Id="rId294" Type="http://schemas.openxmlformats.org/officeDocument/2006/relationships/hyperlink" Target="https://www.sec.gov/Archives/edgar/data/1831915/000119312521225716/d183956dex32.htm" TargetMode="External"/><Relationship Id="rId295" Type="http://schemas.openxmlformats.org/officeDocument/2006/relationships/hyperlink" Target="https://www.sec.gov/Archives/edgar/data/1831915/000119312521217965/d80783dex41.htm" TargetMode="External"/><Relationship Id="rId296" Type="http://schemas.openxmlformats.org/officeDocument/2006/relationships/hyperlink" Target="https://www.sec.gov/Archives/edgar/data/1831915/000095017021004256/ctkb-ex10_1.htm" TargetMode="External"/><Relationship Id="rId297" Type="http://schemas.openxmlformats.org/officeDocument/2006/relationships/hyperlink" Target="https://www.sec.gov/Archives/edgar/data/1831915/000095017021004256/ctkb-ex10_2.htm" TargetMode="External"/><Relationship Id="rId298" Type="http://schemas.openxmlformats.org/officeDocument/2006/relationships/hyperlink" Target="https://www.sec.gov/Archives/edgar/data/1831915/000119312521207678/d80783dex101.htm" TargetMode="External"/><Relationship Id="rId299" Type="http://schemas.openxmlformats.org/officeDocument/2006/relationships/hyperlink" Target="https://www.sec.gov/Archives/edgar/data/1831915/000119312521207678/d80783dex102.htm" TargetMode="External"/><Relationship Id="rId300" Type="http://schemas.openxmlformats.org/officeDocument/2006/relationships/hyperlink" Target="https://www.sec.gov/Archives/edgar/data/1831915/000119312521207678/d80783dex103.htm" TargetMode="External"/><Relationship Id="rId301" Type="http://schemas.openxmlformats.org/officeDocument/2006/relationships/hyperlink" Target="https://www.sec.gov/Archives/edgar/data/1831915/000119312521217965/d80783dex104.htm" TargetMode="External"/><Relationship Id="rId302" Type="http://schemas.openxmlformats.org/officeDocument/2006/relationships/hyperlink" Target="https://www.sec.gov/Archives/edgar/data/1831915/000119312521217965/d80783dex105.htm" TargetMode="External"/><Relationship Id="rId303" Type="http://schemas.openxmlformats.org/officeDocument/2006/relationships/hyperlink" Target="https://www.sec.gov/Archives/edgar/data/1831915/000119312521217965/d80783dex106.htm" TargetMode="External"/><Relationship Id="rId304" Type="http://schemas.openxmlformats.org/officeDocument/2006/relationships/hyperlink" Target="https://www.sec.gov/Archives/edgar/data/1831915/000119312521217965/d80783dex107.htm" TargetMode="External"/><Relationship Id="rId305" Type="http://schemas.openxmlformats.org/officeDocument/2006/relationships/hyperlink" Target="https://www.sec.gov/Archives/edgar/data/1831915/000119312521207678/d80783dex109.htm" TargetMode="External"/><Relationship Id="rId308" Type="http://schemas.openxmlformats.org/officeDocument/2006/relationships/hyperlink" Target="https://www.sec.gov/Archives/edgar/data/1831915/000119312521217965/d80783dex109.htm" TargetMode="External"/><Relationship Id="rId309" Type="http://schemas.openxmlformats.org/officeDocument/2006/relationships/hyperlink" Target="https://www.sec.gov/Archives/edgar/data/1831915/000119312521207678/d80783dex1011.htm" TargetMode="External"/><Relationship Id="rId310" Type="http://schemas.openxmlformats.org/officeDocument/2006/relationships/hyperlink" Target="https://www.sec.gov/Archives/edgar/data/1831915/000119312521207678/d80783dex1012.htm" TargetMode="External"/><Relationship Id="rId311" Type="http://schemas.openxmlformats.org/officeDocument/2006/relationships/hyperlink" Target="https://www.sec.gov/Archives/edgar/data/1831915/000119312521207678/d80783dex1013.htm" TargetMode="External"/><Relationship Id="rId312" Type="http://schemas.openxmlformats.org/officeDocument/2006/relationships/hyperlink" Target="https://www.sec.gov/Archives/edgar/data/1831915/000119312521207678/d80783dex1014.htm" TargetMode="External"/><Relationship Id="rId313" Type="http://schemas.openxmlformats.org/officeDocument/2006/relationships/hyperlink" Target="https://www.sec.gov/Archives/edgar/data/1831915/000119312522231398/d661781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2023-03-01T19:46:15Z</dcterms:created>
  <dcterms:modified xsi:type="dcterms:W3CDTF">2023-03-01T19:46:15Z</dcterms:modified>
</cp:coreProperties>
</file>