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02026_080801.xml.htm"/>
      <w:bookmarkStart w:id="1" w:name="ksform408202026_080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Chin Richard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CYTEK BIOSCIENCES,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47215 LAKEVIEW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Cytek Biosciences,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CTKB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6,107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28,499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6,107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6,107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44,790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(the "RSU Award")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underlying the RSU Award shall vest over 3 years, with 2/36 of the total shares underlying the RSU Award vesting on August 18, 2025; 3/36 of the total shares underlying the RSU Award vesting on November 18, 2025 and each November 18 thereafter; 3/36 of the total shares underlying the RSU Award vesting on March 10, 2026 and each March 10 thereafter; 3/36 of the total shares underlying the RSU Award vesting on May 18, 2026 and each May 18 thereafter; and 3/36 of the total shares underlying the RSU Award vesting on August 18, 2026 and each August 18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Gordon Ho,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7252" TargetMode="External"/><Relationship Id="rId5" Type="http://schemas.openxmlformats.org/officeDocument/2006/relationships/hyperlink" Target="http://www.sec.gov/cgi-bin/browse-edgar?action=getcompany&amp;CIK=00018319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702</Words>
  <Characters>3722</Characters>
  <CharactersWithSpaces>4344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