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4407d8k.htm"/>
      <w:bookmarkStart w:id="1" w:name="ksd9440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center"/>
        <w:rPr>
          <w:rFonts w:ascii="Times New Roman" w:hAnsi="Times New Roman"/>
          <w:b/>
          <w:sz w:val="24"/>
        </w:rPr>
      </w:pPr>
      <w:r>
        <w:rPr>
          <w:rFonts w:ascii="Times New Roman" w:hAnsi="Times New Roman"/>
          <w:b/>
          <w:sz w:val="24"/>
        </w:rPr>
        <w:t>September 23,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Cytek Biosciences,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001-40632</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47-2547526</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r>
        <w:trPr/>
        <w:tc>
          <w:tcPr>
            <w:tcW w:w="4165" w:type="dxa"/>
            <w:gridSpan w:val="3"/>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r>
      <w:tr>
        <w:trPr/>
        <w:tc>
          <w:tcPr>
            <w:tcW w:w="4165" w:type="dxa"/>
            <w:gridSpan w:val="3"/>
            <w:tcBorders/>
            <w:vAlign w:val="center"/>
          </w:tcPr>
          <w:p>
            <w:pPr>
              <w:pStyle w:val="TableContents"/>
              <w:bidi w:val="0"/>
              <w:spacing w:before="0" w:after="283"/>
              <w:jc w:val="center"/>
              <w:rPr>
                <w:b/>
              </w:rPr>
            </w:pPr>
            <w:r>
              <w:rPr>
                <w:b/>
              </w:rPr>
              <w:t>47215 Lakeview Boulevard</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4"/>
                <w:szCs w:val="4"/>
              </w:rPr>
            </w:pPr>
            <w:r>
              <w:rPr>
                <w:sz w:val="4"/>
                <w:szCs w:val="4"/>
              </w:rPr>
            </w:r>
          </w:p>
        </w:tc>
      </w:tr>
      <w:tr>
        <w:trPr/>
        <w:tc>
          <w:tcPr>
            <w:tcW w:w="4165" w:type="dxa"/>
            <w:gridSpan w:val="3"/>
            <w:tcBorders/>
            <w:vAlign w:val="center"/>
          </w:tcPr>
          <w:p>
            <w:pPr>
              <w:pStyle w:val="TableContents"/>
              <w:bidi w:val="0"/>
              <w:spacing w:before="0" w:after="283"/>
              <w:jc w:val="center"/>
              <w:rPr>
                <w:b/>
              </w:rPr>
            </w:pPr>
            <w:r>
              <w:rPr>
                <w:b/>
              </w:rPr>
              <w:t>Fremont, California</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94538</w:t>
            </w:r>
          </w:p>
        </w:tc>
      </w:tr>
      <w:tr>
        <w:trPr/>
        <w:tc>
          <w:tcPr>
            <w:tcW w:w="4165"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(877) 922-9835</w:t>
      </w:r>
    </w:p>
    <w:p>
      <w:pPr>
        <w:pStyle w:val="TextBody"/>
        <w:bidi w:val="0"/>
        <w:spacing w:before="20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30" w:type="dxa"/>
        <w:jc w:val="left"/>
        <w:tblInd w:w="0" w:type="dxa"/>
        <w:tblLayout w:type="fixed"/>
        <w:tblCellMar>
          <w:top w:w="0" w:type="dxa"/>
          <w:left w:w="0" w:type="dxa"/>
          <w:bottom w:w="0" w:type="dxa"/>
          <w:right w:w="0" w:type="dxa"/>
        </w:tblCellMar>
      </w:tblPr>
      <w:tblGrid>
        <w:gridCol w:w="4145"/>
        <w:gridCol w:w="60"/>
        <w:gridCol w:w="740"/>
        <w:gridCol w:w="60"/>
        <w:gridCol w:w="282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CTKB</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7435" w:type="dxa"/>
        <w:jc w:val="left"/>
        <w:tblInd w:w="0" w:type="dxa"/>
        <w:tblLayout w:type="fixed"/>
        <w:tblCellMar>
          <w:top w:w="0" w:type="dxa"/>
          <w:left w:w="0" w:type="dxa"/>
          <w:bottom w:w="0" w:type="dxa"/>
          <w:right w:w="0" w:type="dxa"/>
        </w:tblCellMar>
      </w:tblPr>
      <w:tblGrid>
        <w:gridCol w:w="965"/>
        <w:gridCol w:w="6470"/>
      </w:tblGrid>
      <w:tr>
        <w:trPr/>
        <w:tc>
          <w:tcPr>
            <w:tcW w:w="965" w:type="dxa"/>
            <w:tcBorders/>
            <w:vAlign w:val="center"/>
          </w:tcPr>
          <w:p>
            <w:pPr>
              <w:pStyle w:val="TableContents"/>
              <w:bidi w:val="0"/>
              <w:spacing w:before="0" w:after="283"/>
              <w:jc w:val="left"/>
              <w:rPr>
                <w:b/>
              </w:rPr>
            </w:pPr>
            <w:r>
              <w:rPr>
                <w:b/>
              </w:rPr>
              <w:t>Item 5.03</w:t>
            </w:r>
          </w:p>
        </w:tc>
        <w:tc>
          <w:tcPr>
            <w:tcW w:w="64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to Articles of Incorporation or Bylaws; Change in Fiscal Year.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23, 2026, the board of directors of Cytek Biosciences, Inc. (the “Company”) unanimously adopted amended and restated bylaws of the Company (as amended and restated, the “A&amp;R Bylaws”), effective as of such adoption date.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the material changes made to the Company’s amended and restated bylaws in effect prior to the adoption of the A&amp;R Bylaws, and is qualified in its entirety by reference to the full text of the A&amp;R Bylaws, a copy of which is attached to this Current Report on Form 8-K as Exhibit 3.1 and incorporated herein by reference.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14"/>
        <w:gridCol w:w="120"/>
        <w:gridCol w:w="9371"/>
      </w:tblGrid>
      <w:tr>
        <w:trPr/>
        <w:tc>
          <w:tcPr>
            <w:tcW w:w="7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71" w:type="dxa"/>
            <w:tcBorders/>
            <w:vAlign w:val="center"/>
          </w:tcPr>
          <w:p>
            <w:pPr>
              <w:pStyle w:val="TableContents"/>
              <w:bidi w:val="0"/>
              <w:spacing w:before="0" w:after="283"/>
              <w:jc w:val="left"/>
              <w:rPr>
                <w:sz w:val="4"/>
                <w:szCs w:val="4"/>
              </w:rPr>
            </w:pPr>
            <w:r>
              <w:rPr>
                <w:sz w:val="4"/>
                <w:szCs w:val="4"/>
              </w:rPr>
            </w:r>
          </w:p>
        </w:tc>
      </w:tr>
      <w:tr>
        <w:trPr/>
        <w:tc>
          <w:tcPr>
            <w:tcW w:w="714"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9491"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714"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b/>
              </w:rPr>
            </w:pPr>
            <w:r>
              <w:rPr>
                <w:b/>
              </w:rPr>
              <w:t>Bylaw §</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9371"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b/>
              </w:rPr>
            </w:pPr>
            <w:r>
              <w:rPr>
                <w:b/>
              </w:rPr>
              <w:t>Bylaw Change</w:t>
            </w:r>
          </w:p>
        </w:tc>
      </w:tr>
      <w:tr>
        <w:trPr/>
        <w:tc>
          <w:tcPr>
            <w:tcW w:w="714" w:type="dxa"/>
            <w:tcBorders>
              <w:left w:val="single" w:sz="6" w:space="0" w:color="000000"/>
            </w:tcBorders>
            <w:tcMar>
              <w:left w:w="160" w:type="dxa"/>
            </w:tcMar>
            <w:vAlign w:val="center"/>
          </w:tcPr>
          <w:p>
            <w:pPr>
              <w:pStyle w:val="TableContents"/>
              <w:bidi w:val="0"/>
              <w:spacing w:before="0" w:after="283"/>
              <w:jc w:val="left"/>
              <w:rPr/>
            </w:pPr>
            <w:r>
              <w:rPr/>
              <w:t> </w:t>
            </w:r>
          </w:p>
        </w:tc>
        <w:tc>
          <w:tcPr>
            <w:tcW w:w="9491"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714"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5(b)(ii)</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9371"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Remove the prefatory clause referencing Rule 14a-8 proposals from Section 5(b)(ii).</w:t>
            </w:r>
          </w:p>
        </w:tc>
      </w:tr>
      <w:tr>
        <w:trPr/>
        <w:tc>
          <w:tcPr>
            <w:tcW w:w="714" w:type="dxa"/>
            <w:tcBorders>
              <w:left w:val="single" w:sz="6" w:space="0" w:color="000000"/>
            </w:tcBorders>
            <w:tcMar>
              <w:left w:w="160" w:type="dxa"/>
            </w:tcMar>
            <w:vAlign w:val="center"/>
          </w:tcPr>
          <w:p>
            <w:pPr>
              <w:pStyle w:val="TableContents"/>
              <w:bidi w:val="0"/>
              <w:spacing w:before="0" w:after="283"/>
              <w:jc w:val="left"/>
              <w:rPr/>
            </w:pPr>
            <w:r>
              <w:rPr/>
              <w:t> </w:t>
            </w:r>
          </w:p>
        </w:tc>
        <w:tc>
          <w:tcPr>
            <w:tcW w:w="9491"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714"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5(b)(iv)</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9371"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Require additional information regarding proponents of stockholder proposals and director nominees and require such proponents to make certain representations and certifications related to the proposals or nominees. Require such proponents to represent that they will maintain their record or beneficial ownership of shares through the record date and the date of the meeting, and to disclose intent and other information relating to solicitation of proxies.</w:t>
            </w:r>
          </w:p>
        </w:tc>
      </w:tr>
      <w:tr>
        <w:trPr/>
        <w:tc>
          <w:tcPr>
            <w:tcW w:w="714" w:type="dxa"/>
            <w:tcBorders>
              <w:left w:val="single" w:sz="6" w:space="0" w:color="000000"/>
            </w:tcBorders>
            <w:tcMar>
              <w:left w:w="160" w:type="dxa"/>
            </w:tcMar>
            <w:vAlign w:val="center"/>
          </w:tcPr>
          <w:p>
            <w:pPr>
              <w:pStyle w:val="TableContents"/>
              <w:bidi w:val="0"/>
              <w:spacing w:before="0" w:after="283"/>
              <w:jc w:val="left"/>
              <w:rPr/>
            </w:pPr>
            <w:r>
              <w:rPr/>
              <w:t> </w:t>
            </w:r>
          </w:p>
        </w:tc>
        <w:tc>
          <w:tcPr>
            <w:tcW w:w="9491"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714"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5(e)</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9371"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Expand the chairperson’s authority to disregard non-compliant nominations and business proposals.</w:t>
            </w:r>
          </w:p>
        </w:tc>
      </w:tr>
      <w:tr>
        <w:trPr/>
        <w:tc>
          <w:tcPr>
            <w:tcW w:w="714" w:type="dxa"/>
            <w:tcBorders>
              <w:left w:val="single" w:sz="6" w:space="0" w:color="000000"/>
            </w:tcBorders>
            <w:tcMar>
              <w:left w:w="160" w:type="dxa"/>
            </w:tcMar>
            <w:vAlign w:val="center"/>
          </w:tcPr>
          <w:p>
            <w:pPr>
              <w:pStyle w:val="TableContents"/>
              <w:bidi w:val="0"/>
              <w:spacing w:before="0" w:after="283"/>
              <w:jc w:val="left"/>
              <w:rPr/>
            </w:pPr>
            <w:r>
              <w:rPr/>
              <w:t> </w:t>
            </w:r>
          </w:p>
        </w:tc>
        <w:tc>
          <w:tcPr>
            <w:tcW w:w="9491"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714"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5(f)</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9371"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Incorporate the universal proxy rules in Rule 14a-19 under the 1934 Act.</w:t>
            </w:r>
          </w:p>
        </w:tc>
      </w:tr>
      <w:tr>
        <w:trPr/>
        <w:tc>
          <w:tcPr>
            <w:tcW w:w="714" w:type="dxa"/>
            <w:tcBorders>
              <w:left w:val="single" w:sz="6" w:space="0" w:color="000000"/>
            </w:tcBorders>
            <w:tcMar>
              <w:left w:w="160" w:type="dxa"/>
            </w:tcMar>
            <w:vAlign w:val="center"/>
          </w:tcPr>
          <w:p>
            <w:pPr>
              <w:pStyle w:val="TableContents"/>
              <w:bidi w:val="0"/>
              <w:spacing w:before="0" w:after="283"/>
              <w:jc w:val="left"/>
              <w:rPr/>
            </w:pPr>
            <w:r>
              <w:rPr/>
              <w:t> </w:t>
            </w:r>
          </w:p>
        </w:tc>
        <w:tc>
          <w:tcPr>
            <w:tcW w:w="9491"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714"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6(e)</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9371"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Add advance notice compliance and chairperson disqualification procedures for director nominations at a special meeting of stockholders.</w:t>
            </w:r>
          </w:p>
        </w:tc>
      </w:tr>
      <w:tr>
        <w:trPr/>
        <w:tc>
          <w:tcPr>
            <w:tcW w:w="714" w:type="dxa"/>
            <w:tcBorders>
              <w:left w:val="single" w:sz="6" w:space="0" w:color="000000"/>
            </w:tcBorders>
            <w:tcMar>
              <w:left w:w="160" w:type="dxa"/>
            </w:tcMar>
            <w:vAlign w:val="center"/>
          </w:tcPr>
          <w:p>
            <w:pPr>
              <w:pStyle w:val="TableContents"/>
              <w:bidi w:val="0"/>
              <w:spacing w:before="0" w:after="283"/>
              <w:jc w:val="left"/>
              <w:rPr/>
            </w:pPr>
            <w:r>
              <w:rPr/>
              <w:t> </w:t>
            </w:r>
          </w:p>
        </w:tc>
        <w:tc>
          <w:tcPr>
            <w:tcW w:w="9491"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714"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9</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9371"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Update the adjournment notice provisions to address virtual and remote meeting technology.</w:t>
            </w:r>
          </w:p>
        </w:tc>
      </w:tr>
      <w:tr>
        <w:trPr/>
        <w:tc>
          <w:tcPr>
            <w:tcW w:w="714" w:type="dxa"/>
            <w:tcBorders>
              <w:left w:val="single" w:sz="6" w:space="0" w:color="000000"/>
            </w:tcBorders>
            <w:tcMar>
              <w:left w:w="160" w:type="dxa"/>
            </w:tcMar>
            <w:vAlign w:val="center"/>
          </w:tcPr>
          <w:p>
            <w:pPr>
              <w:pStyle w:val="TableContents"/>
              <w:bidi w:val="0"/>
              <w:spacing w:before="0" w:after="283"/>
              <w:jc w:val="left"/>
              <w:rPr/>
            </w:pPr>
            <w:r>
              <w:rPr/>
              <w:t> </w:t>
            </w:r>
          </w:p>
        </w:tc>
        <w:tc>
          <w:tcPr>
            <w:tcW w:w="9491"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714"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9371"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Modify the required preparation procedures, content and availability of the list of stockholders entitled to vote at a meeting in accordance with the current provisions of the Delaware General Corporation Law.</w:t>
            </w:r>
          </w:p>
        </w:tc>
      </w:tr>
    </w:tbl>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(d) Exhibits.</w:t>
      </w:r>
    </w:p>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620"/>
        <w:gridCol w:w="120"/>
        <w:gridCol w:w="7670"/>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70"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767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790"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3.1</w:t>
            </w:r>
          </w:p>
        </w:tc>
        <w:tc>
          <w:tcPr>
            <w:tcW w:w="12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283"/>
              <w:jc w:val="left"/>
              <w:rPr/>
            </w:pPr>
            <w:hyperlink w:anchor="d94407dex31.htm">
              <w:r>
                <w:rPr>
                  <w:rStyle w:val="InternetLink"/>
                </w:rPr>
                <w:t>Amended and Restated Bylaws of Cytek Biosciences, Inc.</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790"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713" w:type="dxa"/>
        <w:jc w:val="left"/>
        <w:tblInd w:w="0" w:type="dxa"/>
        <w:tblLayout w:type="fixed"/>
        <w:tblCellMar>
          <w:top w:w="0" w:type="dxa"/>
          <w:left w:w="0" w:type="dxa"/>
          <w:bottom w:w="0" w:type="dxa"/>
          <w:right w:w="0" w:type="dxa"/>
        </w:tblCellMar>
      </w:tblPr>
      <w:tblGrid>
        <w:gridCol w:w="2510"/>
        <w:gridCol w:w="60"/>
        <w:gridCol w:w="23"/>
        <w:gridCol w:w="60"/>
        <w:gridCol w:w="365"/>
        <w:gridCol w:w="60"/>
        <w:gridCol w:w="363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60" w:type="dxa"/>
            <w:gridSpan w:val="3"/>
            <w:tcBorders/>
            <w:vAlign w:val="center"/>
          </w:tcPr>
          <w:p>
            <w:pPr>
              <w:pStyle w:val="TableContents"/>
              <w:bidi w:val="0"/>
              <w:spacing w:before="0" w:after="283"/>
              <w:jc w:val="left"/>
              <w:rPr>
                <w:b/>
              </w:rPr>
            </w:pPr>
            <w:r>
              <w:rPr>
                <w:b/>
              </w:rPr>
              <w:t>Cytek Biosciences,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29,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Wenbin Jiang</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Wenbin Jiang, Ph.D.</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2" w:name="d94407dex31.htm"/>
      <w:bookmarkStart w:id="3" w:name="ksd94407dex31"/>
      <w:bookmarkEnd w:id="2"/>
      <w:bookmarkEnd w:id="3"/>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BYLAWS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CYTEK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(A DELAWARE CORPORATION)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8"/>
        <w:gridCol w:w="96"/>
        <w:gridCol w:w="1132"/>
        <w:gridCol w:w="141"/>
        <w:gridCol w:w="7716"/>
        <w:gridCol w:w="141"/>
        <w:gridCol w:w="96"/>
        <w:gridCol w:w="421"/>
        <w:gridCol w:w="64"/>
      </w:tblGrid>
      <w:tr>
        <w:trPr/>
        <w:tc>
          <w:tcPr>
            <w:tcW w:w="398"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7716"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17"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75" w:hRule="atLeast"/>
        </w:trPr>
        <w:tc>
          <w:tcPr>
            <w:tcW w:w="1626" w:type="dxa"/>
            <w:gridSpan w:val="3"/>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1626"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I</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OFFICES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1.</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Registered Office</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0"/>
              <w:jc w:val="left"/>
              <w:rPr/>
            </w:pPr>
            <w:r>
              <w:rPr/>
              <w:t>  </w:t>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2.</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Other Offices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75" w:hRule="atLeast"/>
        </w:trPr>
        <w:tc>
          <w:tcPr>
            <w:tcW w:w="1626" w:type="dxa"/>
            <w:gridSpan w:val="3"/>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1626"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II</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CORPORATE SEAL</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3.</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Corporate Seal</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75" w:hRule="atLeast"/>
        </w:trPr>
        <w:tc>
          <w:tcPr>
            <w:tcW w:w="1626" w:type="dxa"/>
            <w:gridSpan w:val="3"/>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1626"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III</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STOCKHOLDERS’ MEETINGS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4.</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Place of Meetings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5.</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Annual Meetings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6.</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Special Meetings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7.</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Notice of Meetings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8.</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Quorum</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9.</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Adjournment and Notice of Adjourned Meetings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10.</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Voting Rights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11.</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Joint Owners of Stock</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12.</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List of Stockholders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13.</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Action Without Meeting</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14.</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Organization</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75" w:hRule="atLeast"/>
        </w:trPr>
        <w:tc>
          <w:tcPr>
            <w:tcW w:w="1626" w:type="dxa"/>
            <w:gridSpan w:val="3"/>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1626"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IV</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DIRECTORS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15.</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Number and Term of Office</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16.</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Powers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17.</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Classes of Directors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18.</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Vacancies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19.</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Resignation</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20.</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Removal</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21.</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Meetings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22.</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Quorum and Voting</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23.</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Action Without Meeting</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24.</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Fees and Compensation</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25.</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Committees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26.</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Lead Independent Director</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27.</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Organization</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75" w:hRule="atLeast"/>
        </w:trPr>
        <w:tc>
          <w:tcPr>
            <w:tcW w:w="1626" w:type="dxa"/>
            <w:gridSpan w:val="3"/>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1626"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V</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OFFICERS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28.</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Officers Designated</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29.</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Tenure and Duties of Officers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30.</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Delegation of Authority</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31.</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Resignations</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75" w:hRule="atLeast"/>
        </w:trPr>
        <w:tc>
          <w:tcPr>
            <w:tcW w:w="398" w:type="dxa"/>
            <w:tcBorders/>
            <w:vAlign w:val="center"/>
          </w:tcPr>
          <w:p>
            <w:pPr>
              <w:pStyle w:val="TableContents"/>
              <w:bidi w:val="0"/>
              <w:spacing w:before="0" w:after="283"/>
              <w:jc w:val="left"/>
              <w:rPr>
                <w:sz w:val="4"/>
                <w:szCs w:val="4"/>
              </w:rPr>
            </w:pPr>
            <w:r>
              <w:rPr>
                <w:sz w:val="4"/>
                <w:szCs w:val="4"/>
              </w:rPr>
            </w:r>
          </w:p>
        </w:tc>
        <w:tc>
          <w:tcPr>
            <w:tcW w:w="1228" w:type="dxa"/>
            <w:gridSpan w:val="2"/>
            <w:tcBorders/>
            <w:vAlign w:val="center"/>
          </w:tcPr>
          <w:p>
            <w:pPr>
              <w:pStyle w:val="TableContents"/>
              <w:bidi w:val="0"/>
              <w:spacing w:before="0" w:after="283"/>
              <w:jc w:val="left"/>
              <w:rPr>
                <w:sz w:val="4"/>
                <w:szCs w:val="4"/>
              </w:rPr>
            </w:pPr>
            <w:r>
              <w:rPr>
                <w:sz w:val="4"/>
                <w:szCs w:val="4"/>
              </w:rPr>
            </w:r>
          </w:p>
        </w:tc>
        <w:tc>
          <w:tcPr>
            <w:tcW w:w="7857" w:type="dxa"/>
            <w:gridSpan w:val="2"/>
            <w:tcBorders/>
            <w:vAlign w:val="center"/>
          </w:tcPr>
          <w:p>
            <w:pPr>
              <w:pStyle w:val="TableContents"/>
              <w:bidi w:val="0"/>
              <w:spacing w:before="0" w:after="283"/>
              <w:jc w:val="left"/>
              <w:rPr>
                <w:sz w:val="4"/>
                <w:szCs w:val="4"/>
              </w:rPr>
            </w:pPr>
            <w:r>
              <w:rPr>
                <w:sz w:val="4"/>
                <w:szCs w:val="4"/>
              </w:rPr>
            </w:r>
          </w:p>
        </w:tc>
        <w:tc>
          <w:tcPr>
            <w:tcW w:w="722" w:type="dxa"/>
            <w:gridSpan w:val="4"/>
            <w:tcBorders/>
            <w:vAlign w:val="center"/>
          </w:tcPr>
          <w:p>
            <w:pPr>
              <w:pStyle w:val="TableContents"/>
              <w:bidi w:val="0"/>
              <w:spacing w:before="0" w:after="283"/>
              <w:jc w:val="left"/>
              <w:rPr>
                <w:sz w:val="4"/>
                <w:szCs w:val="4"/>
              </w:rPr>
            </w:pPr>
            <w:r>
              <w:rPr>
                <w:sz w:val="4"/>
                <w:szCs w:val="4"/>
              </w:rPr>
            </w:r>
          </w:p>
        </w:tc>
      </w:tr>
      <w:tr>
        <w:trPr/>
        <w:tc>
          <w:tcPr>
            <w:tcW w:w="398" w:type="dxa"/>
            <w:tcBorders/>
            <w:vAlign w:val="bottom"/>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pPr>
            <w:r>
              <w:rPr/>
              <w:t>Section 32.</w:t>
            </w:r>
          </w:p>
        </w:tc>
        <w:tc>
          <w:tcPr>
            <w:tcW w:w="141" w:type="dxa"/>
            <w:tcBorders/>
            <w:vAlign w:val="bottom"/>
          </w:tcPr>
          <w:p>
            <w:pPr>
              <w:pStyle w:val="TableContents"/>
              <w:bidi w:val="0"/>
              <w:spacing w:before="0" w:after="283"/>
              <w:jc w:val="left"/>
              <w:rPr/>
            </w:pPr>
            <w:r>
              <w:rPr/>
              <w:t>  </w:t>
            </w:r>
          </w:p>
        </w:tc>
        <w:tc>
          <w:tcPr>
            <w:tcW w:w="7716" w:type="dxa"/>
            <w:tcBorders/>
            <w:vAlign w:val="bottom"/>
          </w:tcPr>
          <w:p>
            <w:pPr>
              <w:pStyle w:val="TableContents"/>
              <w:bidi w:val="0"/>
              <w:spacing w:before="0" w:after="283"/>
              <w:jc w:val="left"/>
              <w:rPr/>
            </w:pPr>
            <w:r>
              <w:rPr/>
              <w:t>Removal</w:t>
            </w:r>
          </w:p>
        </w:tc>
        <w:tc>
          <w:tcPr>
            <w:tcW w:w="14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14480" w:type="dxa"/>
        <w:jc w:val="center"/>
        <w:tblInd w:w="0" w:type="dxa"/>
        <w:tblLayout w:type="fixed"/>
        <w:tblCellMar>
          <w:top w:w="0" w:type="dxa"/>
          <w:left w:w="0" w:type="dxa"/>
          <w:bottom w:w="0" w:type="dxa"/>
          <w:right w:w="0" w:type="dxa"/>
        </w:tblCellMar>
      </w:tblPr>
      <w:tblGrid>
        <w:gridCol w:w="260"/>
        <w:gridCol w:w="60"/>
        <w:gridCol w:w="1085"/>
        <w:gridCol w:w="120"/>
        <w:gridCol w:w="12260"/>
        <w:gridCol w:w="120"/>
        <w:gridCol w:w="96"/>
        <w:gridCol w:w="419"/>
        <w:gridCol w:w="60"/>
      </w:tblGrid>
      <w:tr>
        <w:trPr/>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2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2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0" w:type="dxa"/>
            <w:tcBorders/>
            <w:vAlign w:val="bottom"/>
          </w:tcPr>
          <w:p>
            <w:pPr>
              <w:pStyle w:val="TableContents"/>
              <w:bidi w:val="0"/>
              <w:spacing w:before="0" w:after="283"/>
              <w:jc w:val="left"/>
              <w:rPr/>
            </w:pPr>
            <w:r>
              <w:rPr/>
              <w:t> </w:t>
            </w:r>
          </w:p>
        </w:tc>
      </w:tr>
      <w:tr>
        <w:trPr>
          <w:trHeight w:val="75" w:hRule="atLeast"/>
        </w:trPr>
        <w:tc>
          <w:tcPr>
            <w:tcW w:w="1405" w:type="dxa"/>
            <w:gridSpan w:val="3"/>
            <w:tcBorders/>
            <w:vAlign w:val="center"/>
          </w:tcPr>
          <w:p>
            <w:pPr>
              <w:pStyle w:val="TableContents"/>
              <w:bidi w:val="0"/>
              <w:spacing w:before="0" w:after="283"/>
              <w:jc w:val="left"/>
              <w:rPr>
                <w:sz w:val="4"/>
                <w:szCs w:val="4"/>
              </w:rPr>
            </w:pPr>
            <w:r>
              <w:rPr>
                <w:sz w:val="4"/>
                <w:szCs w:val="4"/>
              </w:rPr>
            </w:r>
          </w:p>
        </w:tc>
        <w:tc>
          <w:tcPr>
            <w:tcW w:w="123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4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w:t>
            </w:r>
          </w:p>
        </w:tc>
        <w:tc>
          <w:tcPr>
            <w:tcW w:w="120" w:type="dxa"/>
            <w:tcBorders/>
            <w:vAlign w:val="bottom"/>
          </w:tcPr>
          <w:p>
            <w:pPr>
              <w:pStyle w:val="TableContents"/>
              <w:bidi w:val="0"/>
              <w:spacing w:before="0" w:after="283"/>
              <w:jc w:val="left"/>
              <w:rPr/>
            </w:pPr>
            <w:r>
              <w:rPr/>
              <w:t>  </w:t>
            </w:r>
          </w:p>
        </w:tc>
        <w:tc>
          <w:tcPr>
            <w:tcW w:w="12260" w:type="dxa"/>
            <w:tcBorders/>
            <w:vAlign w:val="bottom"/>
          </w:tcPr>
          <w:p>
            <w:pPr>
              <w:pStyle w:val="TableContents"/>
              <w:bidi w:val="0"/>
              <w:spacing w:before="0" w:after="283"/>
              <w:jc w:val="left"/>
              <w:rPr/>
            </w:pPr>
            <w:r>
              <w:rPr/>
              <w:t>EXECUTION OF CORPORATE INSTRUMENTS AND VOTING OF SECURITIES OWNED BY THE CORPORATION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r>
      <w:tr>
        <w:trPr>
          <w:trHeight w:val="75" w:hRule="atLeast"/>
        </w:trPr>
        <w:tc>
          <w:tcPr>
            <w:tcW w:w="260" w:type="dxa"/>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23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left"/>
              <w:rPr/>
            </w:pPr>
            <w:r>
              <w:rPr/>
              <w:t>Section 33.</w:t>
            </w:r>
          </w:p>
        </w:tc>
        <w:tc>
          <w:tcPr>
            <w:tcW w:w="120" w:type="dxa"/>
            <w:tcBorders/>
            <w:vAlign w:val="bottom"/>
          </w:tcPr>
          <w:p>
            <w:pPr>
              <w:pStyle w:val="TableContents"/>
              <w:bidi w:val="0"/>
              <w:spacing w:before="0" w:after="283"/>
              <w:jc w:val="left"/>
              <w:rPr/>
            </w:pPr>
            <w:r>
              <w:rPr/>
              <w:t>  </w:t>
            </w:r>
          </w:p>
        </w:tc>
        <w:tc>
          <w:tcPr>
            <w:tcW w:w="12260" w:type="dxa"/>
            <w:tcBorders/>
            <w:vAlign w:val="bottom"/>
          </w:tcPr>
          <w:p>
            <w:pPr>
              <w:pStyle w:val="TableContents"/>
              <w:bidi w:val="0"/>
              <w:spacing w:before="0" w:after="283"/>
              <w:jc w:val="left"/>
              <w:rPr/>
            </w:pPr>
            <w:r>
              <w:rPr/>
              <w:t>Execution of Corporate Instruments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r>
      <w:tr>
        <w:trPr>
          <w:trHeight w:val="75" w:hRule="atLeast"/>
        </w:trPr>
        <w:tc>
          <w:tcPr>
            <w:tcW w:w="260" w:type="dxa"/>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23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left"/>
              <w:rPr/>
            </w:pPr>
            <w:r>
              <w:rPr/>
              <w:t>Section 34.</w:t>
            </w:r>
          </w:p>
        </w:tc>
        <w:tc>
          <w:tcPr>
            <w:tcW w:w="120" w:type="dxa"/>
            <w:tcBorders/>
            <w:vAlign w:val="bottom"/>
          </w:tcPr>
          <w:p>
            <w:pPr>
              <w:pStyle w:val="TableContents"/>
              <w:bidi w:val="0"/>
              <w:spacing w:before="0" w:after="283"/>
              <w:jc w:val="left"/>
              <w:rPr/>
            </w:pPr>
            <w:r>
              <w:rPr/>
              <w:t>  </w:t>
            </w:r>
          </w:p>
        </w:tc>
        <w:tc>
          <w:tcPr>
            <w:tcW w:w="12260" w:type="dxa"/>
            <w:tcBorders/>
            <w:vAlign w:val="bottom"/>
          </w:tcPr>
          <w:p>
            <w:pPr>
              <w:pStyle w:val="TableContents"/>
              <w:bidi w:val="0"/>
              <w:spacing w:before="0" w:after="283"/>
              <w:jc w:val="left"/>
              <w:rPr/>
            </w:pPr>
            <w:r>
              <w:rPr/>
              <w:t>Voting of Securities Owned By The Corporation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r>
      <w:tr>
        <w:trPr>
          <w:trHeight w:val="75" w:hRule="atLeast"/>
        </w:trPr>
        <w:tc>
          <w:tcPr>
            <w:tcW w:w="1405" w:type="dxa"/>
            <w:gridSpan w:val="3"/>
            <w:tcBorders/>
            <w:vAlign w:val="center"/>
          </w:tcPr>
          <w:p>
            <w:pPr>
              <w:pStyle w:val="TableContents"/>
              <w:bidi w:val="0"/>
              <w:spacing w:before="0" w:after="283"/>
              <w:jc w:val="left"/>
              <w:rPr>
                <w:sz w:val="4"/>
                <w:szCs w:val="4"/>
              </w:rPr>
            </w:pPr>
            <w:r>
              <w:rPr>
                <w:sz w:val="4"/>
                <w:szCs w:val="4"/>
              </w:rPr>
            </w:r>
          </w:p>
        </w:tc>
        <w:tc>
          <w:tcPr>
            <w:tcW w:w="123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405"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VII</w:t>
            </w:r>
          </w:p>
        </w:tc>
        <w:tc>
          <w:tcPr>
            <w:tcW w:w="120" w:type="dxa"/>
            <w:tcBorders/>
            <w:vAlign w:val="bottom"/>
          </w:tcPr>
          <w:p>
            <w:pPr>
              <w:pStyle w:val="TableContents"/>
              <w:bidi w:val="0"/>
              <w:spacing w:before="0" w:after="283"/>
              <w:jc w:val="left"/>
              <w:rPr/>
            </w:pPr>
            <w:r>
              <w:rPr/>
              <w:t>  </w:t>
            </w:r>
          </w:p>
        </w:tc>
        <w:tc>
          <w:tcPr>
            <w:tcW w:w="12260" w:type="dxa"/>
            <w:tcBorders/>
            <w:vAlign w:val="bottom"/>
          </w:tcPr>
          <w:p>
            <w:pPr>
              <w:pStyle w:val="TableContents"/>
              <w:bidi w:val="0"/>
              <w:spacing w:before="0" w:after="283"/>
              <w:jc w:val="left"/>
              <w:rPr/>
            </w:pPr>
            <w:r>
              <w:rPr/>
              <w:t>SHARES OF STOCK</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r>
      <w:tr>
        <w:trPr>
          <w:trHeight w:val="75" w:hRule="atLeast"/>
        </w:trPr>
        <w:tc>
          <w:tcPr>
            <w:tcW w:w="260" w:type="dxa"/>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23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left"/>
              <w:rPr/>
            </w:pPr>
            <w:r>
              <w:rPr/>
              <w:t>Section 35.</w:t>
            </w:r>
          </w:p>
        </w:tc>
        <w:tc>
          <w:tcPr>
            <w:tcW w:w="120" w:type="dxa"/>
            <w:tcBorders/>
            <w:vAlign w:val="bottom"/>
          </w:tcPr>
          <w:p>
            <w:pPr>
              <w:pStyle w:val="TableContents"/>
              <w:bidi w:val="0"/>
              <w:spacing w:before="0" w:after="283"/>
              <w:jc w:val="left"/>
              <w:rPr/>
            </w:pPr>
            <w:r>
              <w:rPr/>
              <w:t>  </w:t>
            </w:r>
          </w:p>
        </w:tc>
        <w:tc>
          <w:tcPr>
            <w:tcW w:w="12260" w:type="dxa"/>
            <w:tcBorders/>
            <w:vAlign w:val="bottom"/>
          </w:tcPr>
          <w:p>
            <w:pPr>
              <w:pStyle w:val="TableContents"/>
              <w:bidi w:val="0"/>
              <w:spacing w:before="0" w:after="283"/>
              <w:jc w:val="left"/>
              <w:rPr/>
            </w:pPr>
            <w:r>
              <w:rPr/>
              <w:t>Form and Execution of Certificates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r>
      <w:tr>
        <w:trPr>
          <w:trHeight w:val="75" w:hRule="atLeast"/>
        </w:trPr>
        <w:tc>
          <w:tcPr>
            <w:tcW w:w="260" w:type="dxa"/>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23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left"/>
              <w:rPr/>
            </w:pPr>
            <w:r>
              <w:rPr/>
              <w:t>Section 36.</w:t>
            </w:r>
          </w:p>
        </w:tc>
        <w:tc>
          <w:tcPr>
            <w:tcW w:w="120" w:type="dxa"/>
            <w:tcBorders/>
            <w:vAlign w:val="bottom"/>
          </w:tcPr>
          <w:p>
            <w:pPr>
              <w:pStyle w:val="TableContents"/>
              <w:bidi w:val="0"/>
              <w:spacing w:before="0" w:after="283"/>
              <w:jc w:val="left"/>
              <w:rPr/>
            </w:pPr>
            <w:r>
              <w:rPr/>
              <w:t>  </w:t>
            </w:r>
          </w:p>
        </w:tc>
        <w:tc>
          <w:tcPr>
            <w:tcW w:w="12260" w:type="dxa"/>
            <w:tcBorders/>
            <w:vAlign w:val="bottom"/>
          </w:tcPr>
          <w:p>
            <w:pPr>
              <w:pStyle w:val="TableContents"/>
              <w:bidi w:val="0"/>
              <w:spacing w:before="0" w:after="283"/>
              <w:jc w:val="left"/>
              <w:rPr/>
            </w:pPr>
            <w:r>
              <w:rPr/>
              <w:t>Lost Certificates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rHeight w:val="75" w:hRule="atLeast"/>
        </w:trPr>
        <w:tc>
          <w:tcPr>
            <w:tcW w:w="260" w:type="dxa"/>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23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left"/>
              <w:rPr/>
            </w:pPr>
            <w:r>
              <w:rPr/>
              <w:t>Section 37.</w:t>
            </w:r>
          </w:p>
        </w:tc>
        <w:tc>
          <w:tcPr>
            <w:tcW w:w="120" w:type="dxa"/>
            <w:tcBorders/>
            <w:vAlign w:val="bottom"/>
          </w:tcPr>
          <w:p>
            <w:pPr>
              <w:pStyle w:val="TableContents"/>
              <w:bidi w:val="0"/>
              <w:spacing w:before="0" w:after="283"/>
              <w:jc w:val="left"/>
              <w:rPr/>
            </w:pPr>
            <w:r>
              <w:rPr/>
              <w:t>  </w:t>
            </w:r>
          </w:p>
        </w:tc>
        <w:tc>
          <w:tcPr>
            <w:tcW w:w="12260" w:type="dxa"/>
            <w:tcBorders/>
            <w:vAlign w:val="bottom"/>
          </w:tcPr>
          <w:p>
            <w:pPr>
              <w:pStyle w:val="TableContents"/>
              <w:bidi w:val="0"/>
              <w:spacing w:before="0" w:after="283"/>
              <w:jc w:val="left"/>
              <w:rPr/>
            </w:pPr>
            <w:r>
              <w:rPr/>
              <w:t>Transfers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rHeight w:val="75" w:hRule="atLeast"/>
        </w:trPr>
        <w:tc>
          <w:tcPr>
            <w:tcW w:w="260" w:type="dxa"/>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23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left"/>
              <w:rPr/>
            </w:pPr>
            <w:r>
              <w:rPr/>
              <w:t>Section 38.</w:t>
            </w:r>
          </w:p>
        </w:tc>
        <w:tc>
          <w:tcPr>
            <w:tcW w:w="120" w:type="dxa"/>
            <w:tcBorders/>
            <w:vAlign w:val="bottom"/>
          </w:tcPr>
          <w:p>
            <w:pPr>
              <w:pStyle w:val="TableContents"/>
              <w:bidi w:val="0"/>
              <w:spacing w:before="0" w:after="283"/>
              <w:jc w:val="left"/>
              <w:rPr/>
            </w:pPr>
            <w:r>
              <w:rPr/>
              <w:t>  </w:t>
            </w:r>
          </w:p>
        </w:tc>
        <w:tc>
          <w:tcPr>
            <w:tcW w:w="12260" w:type="dxa"/>
            <w:tcBorders/>
            <w:vAlign w:val="bottom"/>
          </w:tcPr>
          <w:p>
            <w:pPr>
              <w:pStyle w:val="TableContents"/>
              <w:bidi w:val="0"/>
              <w:spacing w:before="0" w:after="283"/>
              <w:jc w:val="left"/>
              <w:rPr/>
            </w:pPr>
            <w:r>
              <w:rPr/>
              <w:t>Fixing Record Dates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rHeight w:val="75" w:hRule="atLeast"/>
        </w:trPr>
        <w:tc>
          <w:tcPr>
            <w:tcW w:w="260" w:type="dxa"/>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23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left"/>
              <w:rPr/>
            </w:pPr>
            <w:r>
              <w:rPr/>
              <w:t>Section 39.</w:t>
            </w:r>
          </w:p>
        </w:tc>
        <w:tc>
          <w:tcPr>
            <w:tcW w:w="120" w:type="dxa"/>
            <w:tcBorders/>
            <w:vAlign w:val="bottom"/>
          </w:tcPr>
          <w:p>
            <w:pPr>
              <w:pStyle w:val="TableContents"/>
              <w:bidi w:val="0"/>
              <w:spacing w:before="0" w:after="283"/>
              <w:jc w:val="left"/>
              <w:rPr/>
            </w:pPr>
            <w:r>
              <w:rPr/>
              <w:t>  </w:t>
            </w:r>
          </w:p>
        </w:tc>
        <w:tc>
          <w:tcPr>
            <w:tcW w:w="12260" w:type="dxa"/>
            <w:tcBorders/>
            <w:vAlign w:val="bottom"/>
          </w:tcPr>
          <w:p>
            <w:pPr>
              <w:pStyle w:val="TableContents"/>
              <w:bidi w:val="0"/>
              <w:spacing w:before="0" w:after="283"/>
              <w:jc w:val="left"/>
              <w:rPr/>
            </w:pPr>
            <w:r>
              <w:rPr/>
              <w:t>Registered Stockholders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rHeight w:val="75" w:hRule="atLeast"/>
        </w:trPr>
        <w:tc>
          <w:tcPr>
            <w:tcW w:w="1405" w:type="dxa"/>
            <w:gridSpan w:val="3"/>
            <w:tcBorders/>
            <w:vAlign w:val="center"/>
          </w:tcPr>
          <w:p>
            <w:pPr>
              <w:pStyle w:val="TableContents"/>
              <w:bidi w:val="0"/>
              <w:spacing w:before="0" w:after="283"/>
              <w:jc w:val="left"/>
              <w:rPr>
                <w:sz w:val="4"/>
                <w:szCs w:val="4"/>
              </w:rPr>
            </w:pPr>
            <w:r>
              <w:rPr>
                <w:sz w:val="4"/>
                <w:szCs w:val="4"/>
              </w:rPr>
            </w:r>
          </w:p>
        </w:tc>
        <w:tc>
          <w:tcPr>
            <w:tcW w:w="123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405"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VIII</w:t>
            </w:r>
          </w:p>
        </w:tc>
        <w:tc>
          <w:tcPr>
            <w:tcW w:w="120" w:type="dxa"/>
            <w:tcBorders/>
            <w:vAlign w:val="bottom"/>
          </w:tcPr>
          <w:p>
            <w:pPr>
              <w:pStyle w:val="TableContents"/>
              <w:bidi w:val="0"/>
              <w:spacing w:before="0" w:after="283"/>
              <w:jc w:val="left"/>
              <w:rPr/>
            </w:pPr>
            <w:r>
              <w:rPr/>
              <w:t>  </w:t>
            </w:r>
          </w:p>
        </w:tc>
        <w:tc>
          <w:tcPr>
            <w:tcW w:w="12260" w:type="dxa"/>
            <w:tcBorders/>
            <w:vAlign w:val="bottom"/>
          </w:tcPr>
          <w:p>
            <w:pPr>
              <w:pStyle w:val="TableContents"/>
              <w:bidi w:val="0"/>
              <w:spacing w:before="0" w:after="283"/>
              <w:jc w:val="left"/>
              <w:rPr/>
            </w:pPr>
            <w:r>
              <w:rPr/>
              <w:t>OTHER SECURITIES OF THE CORPORATION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rHeight w:val="75" w:hRule="atLeast"/>
        </w:trPr>
        <w:tc>
          <w:tcPr>
            <w:tcW w:w="260" w:type="dxa"/>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23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left"/>
              <w:rPr/>
            </w:pPr>
            <w:r>
              <w:rPr/>
              <w:t>Section 40.</w:t>
            </w:r>
          </w:p>
        </w:tc>
        <w:tc>
          <w:tcPr>
            <w:tcW w:w="120" w:type="dxa"/>
            <w:tcBorders/>
            <w:vAlign w:val="bottom"/>
          </w:tcPr>
          <w:p>
            <w:pPr>
              <w:pStyle w:val="TableContents"/>
              <w:bidi w:val="0"/>
              <w:spacing w:before="0" w:after="283"/>
              <w:jc w:val="left"/>
              <w:rPr/>
            </w:pPr>
            <w:r>
              <w:rPr/>
              <w:t>  </w:t>
            </w:r>
          </w:p>
        </w:tc>
        <w:tc>
          <w:tcPr>
            <w:tcW w:w="12260" w:type="dxa"/>
            <w:tcBorders/>
            <w:vAlign w:val="bottom"/>
          </w:tcPr>
          <w:p>
            <w:pPr>
              <w:pStyle w:val="TableContents"/>
              <w:bidi w:val="0"/>
              <w:spacing w:before="0" w:after="283"/>
              <w:jc w:val="left"/>
              <w:rPr/>
            </w:pPr>
            <w:r>
              <w:rPr/>
              <w:t>Execution of Other Securities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rHeight w:val="75" w:hRule="atLeast"/>
        </w:trPr>
        <w:tc>
          <w:tcPr>
            <w:tcW w:w="1405" w:type="dxa"/>
            <w:gridSpan w:val="3"/>
            <w:tcBorders/>
            <w:vAlign w:val="center"/>
          </w:tcPr>
          <w:p>
            <w:pPr>
              <w:pStyle w:val="TableContents"/>
              <w:bidi w:val="0"/>
              <w:spacing w:before="0" w:after="283"/>
              <w:jc w:val="left"/>
              <w:rPr>
                <w:sz w:val="4"/>
                <w:szCs w:val="4"/>
              </w:rPr>
            </w:pPr>
            <w:r>
              <w:rPr>
                <w:sz w:val="4"/>
                <w:szCs w:val="4"/>
              </w:rPr>
            </w:r>
          </w:p>
        </w:tc>
        <w:tc>
          <w:tcPr>
            <w:tcW w:w="123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405"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IX</w:t>
            </w:r>
          </w:p>
        </w:tc>
        <w:tc>
          <w:tcPr>
            <w:tcW w:w="120" w:type="dxa"/>
            <w:tcBorders/>
            <w:vAlign w:val="bottom"/>
          </w:tcPr>
          <w:p>
            <w:pPr>
              <w:pStyle w:val="TableContents"/>
              <w:bidi w:val="0"/>
              <w:spacing w:before="0" w:after="283"/>
              <w:jc w:val="left"/>
              <w:rPr/>
            </w:pPr>
            <w:r>
              <w:rPr/>
              <w:t>  </w:t>
            </w:r>
          </w:p>
        </w:tc>
        <w:tc>
          <w:tcPr>
            <w:tcW w:w="12260" w:type="dxa"/>
            <w:tcBorders/>
            <w:vAlign w:val="bottom"/>
          </w:tcPr>
          <w:p>
            <w:pPr>
              <w:pStyle w:val="TableContents"/>
              <w:bidi w:val="0"/>
              <w:spacing w:before="0" w:after="283"/>
              <w:jc w:val="left"/>
              <w:rPr/>
            </w:pPr>
            <w:r>
              <w:rPr/>
              <w:t>DIVIDENDS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rHeight w:val="75" w:hRule="atLeast"/>
        </w:trPr>
        <w:tc>
          <w:tcPr>
            <w:tcW w:w="260" w:type="dxa"/>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23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left"/>
              <w:rPr/>
            </w:pPr>
            <w:r>
              <w:rPr/>
              <w:t>Section 41.</w:t>
            </w:r>
          </w:p>
        </w:tc>
        <w:tc>
          <w:tcPr>
            <w:tcW w:w="120" w:type="dxa"/>
            <w:tcBorders/>
            <w:vAlign w:val="bottom"/>
          </w:tcPr>
          <w:p>
            <w:pPr>
              <w:pStyle w:val="TableContents"/>
              <w:bidi w:val="0"/>
              <w:spacing w:before="0" w:after="283"/>
              <w:jc w:val="left"/>
              <w:rPr/>
            </w:pPr>
            <w:r>
              <w:rPr/>
              <w:t>  </w:t>
            </w:r>
          </w:p>
        </w:tc>
        <w:tc>
          <w:tcPr>
            <w:tcW w:w="12260" w:type="dxa"/>
            <w:tcBorders/>
            <w:vAlign w:val="bottom"/>
          </w:tcPr>
          <w:p>
            <w:pPr>
              <w:pStyle w:val="TableContents"/>
              <w:bidi w:val="0"/>
              <w:spacing w:before="0" w:after="283"/>
              <w:jc w:val="left"/>
              <w:rPr/>
            </w:pPr>
            <w:r>
              <w:rPr/>
              <w:t>Declaration of Dividends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rHeight w:val="75" w:hRule="atLeast"/>
        </w:trPr>
        <w:tc>
          <w:tcPr>
            <w:tcW w:w="260" w:type="dxa"/>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23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left"/>
              <w:rPr/>
            </w:pPr>
            <w:r>
              <w:rPr/>
              <w:t>Section 42.</w:t>
            </w:r>
          </w:p>
        </w:tc>
        <w:tc>
          <w:tcPr>
            <w:tcW w:w="120" w:type="dxa"/>
            <w:tcBorders/>
            <w:vAlign w:val="bottom"/>
          </w:tcPr>
          <w:p>
            <w:pPr>
              <w:pStyle w:val="TableContents"/>
              <w:bidi w:val="0"/>
              <w:spacing w:before="0" w:after="283"/>
              <w:jc w:val="left"/>
              <w:rPr/>
            </w:pPr>
            <w:r>
              <w:rPr/>
              <w:t>  </w:t>
            </w:r>
          </w:p>
        </w:tc>
        <w:tc>
          <w:tcPr>
            <w:tcW w:w="12260" w:type="dxa"/>
            <w:tcBorders/>
            <w:vAlign w:val="bottom"/>
          </w:tcPr>
          <w:p>
            <w:pPr>
              <w:pStyle w:val="TableContents"/>
              <w:bidi w:val="0"/>
              <w:spacing w:before="0" w:after="283"/>
              <w:jc w:val="left"/>
              <w:rPr/>
            </w:pPr>
            <w:r>
              <w:rPr/>
              <w:t>Dividend Reserve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rHeight w:val="75" w:hRule="atLeast"/>
        </w:trPr>
        <w:tc>
          <w:tcPr>
            <w:tcW w:w="1405" w:type="dxa"/>
            <w:gridSpan w:val="3"/>
            <w:tcBorders/>
            <w:vAlign w:val="center"/>
          </w:tcPr>
          <w:p>
            <w:pPr>
              <w:pStyle w:val="TableContents"/>
              <w:bidi w:val="0"/>
              <w:spacing w:before="0" w:after="283"/>
              <w:jc w:val="left"/>
              <w:rPr>
                <w:sz w:val="4"/>
                <w:szCs w:val="4"/>
              </w:rPr>
            </w:pPr>
            <w:r>
              <w:rPr>
                <w:sz w:val="4"/>
                <w:szCs w:val="4"/>
              </w:rPr>
            </w:r>
          </w:p>
        </w:tc>
        <w:tc>
          <w:tcPr>
            <w:tcW w:w="123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405"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X</w:t>
            </w:r>
          </w:p>
        </w:tc>
        <w:tc>
          <w:tcPr>
            <w:tcW w:w="120" w:type="dxa"/>
            <w:tcBorders/>
            <w:vAlign w:val="bottom"/>
          </w:tcPr>
          <w:p>
            <w:pPr>
              <w:pStyle w:val="TableContents"/>
              <w:bidi w:val="0"/>
              <w:spacing w:before="0" w:after="283"/>
              <w:jc w:val="left"/>
              <w:rPr/>
            </w:pPr>
            <w:r>
              <w:rPr/>
              <w:t>  </w:t>
            </w:r>
          </w:p>
        </w:tc>
        <w:tc>
          <w:tcPr>
            <w:tcW w:w="12260" w:type="dxa"/>
            <w:tcBorders/>
            <w:vAlign w:val="bottom"/>
          </w:tcPr>
          <w:p>
            <w:pPr>
              <w:pStyle w:val="TableContents"/>
              <w:bidi w:val="0"/>
              <w:spacing w:before="0" w:after="283"/>
              <w:jc w:val="left"/>
              <w:rPr/>
            </w:pPr>
            <w:r>
              <w:rPr/>
              <w:t>FISCAL YEAR</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rHeight w:val="75" w:hRule="atLeast"/>
        </w:trPr>
        <w:tc>
          <w:tcPr>
            <w:tcW w:w="260" w:type="dxa"/>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23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left"/>
              <w:rPr/>
            </w:pPr>
            <w:r>
              <w:rPr/>
              <w:t>Section 43.</w:t>
            </w:r>
          </w:p>
        </w:tc>
        <w:tc>
          <w:tcPr>
            <w:tcW w:w="120" w:type="dxa"/>
            <w:tcBorders/>
            <w:vAlign w:val="bottom"/>
          </w:tcPr>
          <w:p>
            <w:pPr>
              <w:pStyle w:val="TableContents"/>
              <w:bidi w:val="0"/>
              <w:spacing w:before="0" w:after="283"/>
              <w:jc w:val="left"/>
              <w:rPr/>
            </w:pPr>
            <w:r>
              <w:rPr/>
              <w:t>  </w:t>
            </w:r>
          </w:p>
        </w:tc>
        <w:tc>
          <w:tcPr>
            <w:tcW w:w="12260" w:type="dxa"/>
            <w:tcBorders/>
            <w:vAlign w:val="bottom"/>
          </w:tcPr>
          <w:p>
            <w:pPr>
              <w:pStyle w:val="TableContents"/>
              <w:bidi w:val="0"/>
              <w:spacing w:before="0" w:after="283"/>
              <w:jc w:val="left"/>
              <w:rPr/>
            </w:pPr>
            <w:r>
              <w:rPr/>
              <w:t>Fiscal Year</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rHeight w:val="75" w:hRule="atLeast"/>
        </w:trPr>
        <w:tc>
          <w:tcPr>
            <w:tcW w:w="1405" w:type="dxa"/>
            <w:gridSpan w:val="3"/>
            <w:tcBorders/>
            <w:vAlign w:val="center"/>
          </w:tcPr>
          <w:p>
            <w:pPr>
              <w:pStyle w:val="TableContents"/>
              <w:bidi w:val="0"/>
              <w:spacing w:before="0" w:after="283"/>
              <w:jc w:val="left"/>
              <w:rPr>
                <w:sz w:val="4"/>
                <w:szCs w:val="4"/>
              </w:rPr>
            </w:pPr>
            <w:r>
              <w:rPr>
                <w:sz w:val="4"/>
                <w:szCs w:val="4"/>
              </w:rPr>
            </w:r>
          </w:p>
        </w:tc>
        <w:tc>
          <w:tcPr>
            <w:tcW w:w="123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405"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XI</w:t>
            </w:r>
          </w:p>
        </w:tc>
        <w:tc>
          <w:tcPr>
            <w:tcW w:w="120" w:type="dxa"/>
            <w:tcBorders/>
            <w:vAlign w:val="bottom"/>
          </w:tcPr>
          <w:p>
            <w:pPr>
              <w:pStyle w:val="TableContents"/>
              <w:bidi w:val="0"/>
              <w:spacing w:before="0" w:after="283"/>
              <w:jc w:val="left"/>
              <w:rPr/>
            </w:pPr>
            <w:r>
              <w:rPr/>
              <w:t>  </w:t>
            </w:r>
          </w:p>
        </w:tc>
        <w:tc>
          <w:tcPr>
            <w:tcW w:w="12260" w:type="dxa"/>
            <w:tcBorders/>
            <w:vAlign w:val="bottom"/>
          </w:tcPr>
          <w:p>
            <w:pPr>
              <w:pStyle w:val="TableContents"/>
              <w:bidi w:val="0"/>
              <w:spacing w:before="0" w:after="283"/>
              <w:jc w:val="left"/>
              <w:rPr/>
            </w:pPr>
            <w:r>
              <w:rPr/>
              <w:t>INDEMNIFICATION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rHeight w:val="75" w:hRule="atLeast"/>
        </w:trPr>
        <w:tc>
          <w:tcPr>
            <w:tcW w:w="260" w:type="dxa"/>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23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left"/>
              <w:rPr/>
            </w:pPr>
            <w:r>
              <w:rPr/>
              <w:t>Section 44.</w:t>
            </w:r>
          </w:p>
        </w:tc>
        <w:tc>
          <w:tcPr>
            <w:tcW w:w="120" w:type="dxa"/>
            <w:tcBorders/>
            <w:vAlign w:val="bottom"/>
          </w:tcPr>
          <w:p>
            <w:pPr>
              <w:pStyle w:val="TableContents"/>
              <w:bidi w:val="0"/>
              <w:spacing w:before="0" w:after="283"/>
              <w:jc w:val="left"/>
              <w:rPr/>
            </w:pPr>
            <w:r>
              <w:rPr/>
              <w:t>  </w:t>
            </w:r>
          </w:p>
        </w:tc>
        <w:tc>
          <w:tcPr>
            <w:tcW w:w="12260" w:type="dxa"/>
            <w:tcBorders/>
            <w:vAlign w:val="bottom"/>
          </w:tcPr>
          <w:p>
            <w:pPr>
              <w:pStyle w:val="TableContents"/>
              <w:bidi w:val="0"/>
              <w:spacing w:before="0" w:after="283"/>
              <w:jc w:val="left"/>
              <w:rPr/>
            </w:pPr>
            <w:r>
              <w:rPr/>
              <w:t>Indemnification of Directors, Executive Officers, Other Officers, Employees and Other Agents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rHeight w:val="75" w:hRule="atLeast"/>
        </w:trPr>
        <w:tc>
          <w:tcPr>
            <w:tcW w:w="1405" w:type="dxa"/>
            <w:gridSpan w:val="3"/>
            <w:tcBorders/>
            <w:vAlign w:val="center"/>
          </w:tcPr>
          <w:p>
            <w:pPr>
              <w:pStyle w:val="TableContents"/>
              <w:bidi w:val="0"/>
              <w:spacing w:before="0" w:after="283"/>
              <w:jc w:val="left"/>
              <w:rPr>
                <w:sz w:val="4"/>
                <w:szCs w:val="4"/>
              </w:rPr>
            </w:pPr>
            <w:r>
              <w:rPr>
                <w:sz w:val="4"/>
                <w:szCs w:val="4"/>
              </w:rPr>
            </w:r>
          </w:p>
        </w:tc>
        <w:tc>
          <w:tcPr>
            <w:tcW w:w="123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405"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XII</w:t>
            </w:r>
          </w:p>
        </w:tc>
        <w:tc>
          <w:tcPr>
            <w:tcW w:w="120" w:type="dxa"/>
            <w:tcBorders/>
            <w:vAlign w:val="bottom"/>
          </w:tcPr>
          <w:p>
            <w:pPr>
              <w:pStyle w:val="TableContents"/>
              <w:bidi w:val="0"/>
              <w:spacing w:before="0" w:after="283"/>
              <w:jc w:val="left"/>
              <w:rPr/>
            </w:pPr>
            <w:r>
              <w:rPr/>
              <w:t>  </w:t>
            </w:r>
          </w:p>
        </w:tc>
        <w:tc>
          <w:tcPr>
            <w:tcW w:w="12260" w:type="dxa"/>
            <w:tcBorders/>
            <w:vAlign w:val="bottom"/>
          </w:tcPr>
          <w:p>
            <w:pPr>
              <w:pStyle w:val="TableContents"/>
              <w:bidi w:val="0"/>
              <w:spacing w:before="0" w:after="283"/>
              <w:jc w:val="left"/>
              <w:rPr/>
            </w:pPr>
            <w:r>
              <w:rPr/>
              <w:t>NOTICES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r>
      <w:tr>
        <w:trPr>
          <w:trHeight w:val="75" w:hRule="atLeast"/>
        </w:trPr>
        <w:tc>
          <w:tcPr>
            <w:tcW w:w="260" w:type="dxa"/>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23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left"/>
              <w:rPr/>
            </w:pPr>
            <w:r>
              <w:rPr/>
              <w:t>Section 45.</w:t>
            </w:r>
          </w:p>
        </w:tc>
        <w:tc>
          <w:tcPr>
            <w:tcW w:w="120" w:type="dxa"/>
            <w:tcBorders/>
            <w:vAlign w:val="bottom"/>
          </w:tcPr>
          <w:p>
            <w:pPr>
              <w:pStyle w:val="TableContents"/>
              <w:bidi w:val="0"/>
              <w:spacing w:before="0" w:after="283"/>
              <w:jc w:val="left"/>
              <w:rPr/>
            </w:pPr>
            <w:r>
              <w:rPr/>
              <w:t>  </w:t>
            </w:r>
          </w:p>
        </w:tc>
        <w:tc>
          <w:tcPr>
            <w:tcW w:w="12260" w:type="dxa"/>
            <w:tcBorders/>
            <w:vAlign w:val="bottom"/>
          </w:tcPr>
          <w:p>
            <w:pPr>
              <w:pStyle w:val="TableContents"/>
              <w:bidi w:val="0"/>
              <w:spacing w:before="0" w:after="283"/>
              <w:jc w:val="left"/>
              <w:rPr/>
            </w:pPr>
            <w:r>
              <w:rPr/>
              <w:t>Notices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0" w:type="dxa"/>
            <w:tcBorders/>
            <w:vAlign w:val="bottom"/>
          </w:tcPr>
          <w:p>
            <w:pPr>
              <w:pStyle w:val="TableContents"/>
              <w:bidi w:val="0"/>
              <w:spacing w:before="0" w:after="283"/>
              <w:jc w:val="left"/>
              <w:rPr/>
            </w:pPr>
            <w:r>
              <w:rPr/>
              <w:t> </w:t>
            </w:r>
          </w:p>
        </w:tc>
      </w:tr>
      <w:tr>
        <w:trPr>
          <w:trHeight w:val="75" w:hRule="atLeast"/>
        </w:trPr>
        <w:tc>
          <w:tcPr>
            <w:tcW w:w="1405" w:type="dxa"/>
            <w:gridSpan w:val="3"/>
            <w:tcBorders/>
            <w:vAlign w:val="center"/>
          </w:tcPr>
          <w:p>
            <w:pPr>
              <w:pStyle w:val="TableContents"/>
              <w:bidi w:val="0"/>
              <w:spacing w:before="0" w:after="283"/>
              <w:jc w:val="left"/>
              <w:rPr>
                <w:sz w:val="4"/>
                <w:szCs w:val="4"/>
              </w:rPr>
            </w:pPr>
            <w:r>
              <w:rPr>
                <w:sz w:val="4"/>
                <w:szCs w:val="4"/>
              </w:rPr>
            </w:r>
          </w:p>
        </w:tc>
        <w:tc>
          <w:tcPr>
            <w:tcW w:w="123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405"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XIII</w:t>
            </w:r>
          </w:p>
        </w:tc>
        <w:tc>
          <w:tcPr>
            <w:tcW w:w="120" w:type="dxa"/>
            <w:tcBorders/>
            <w:vAlign w:val="bottom"/>
          </w:tcPr>
          <w:p>
            <w:pPr>
              <w:pStyle w:val="TableContents"/>
              <w:bidi w:val="0"/>
              <w:spacing w:before="0" w:after="283"/>
              <w:jc w:val="left"/>
              <w:rPr/>
            </w:pPr>
            <w:r>
              <w:rPr/>
              <w:t>  </w:t>
            </w:r>
          </w:p>
        </w:tc>
        <w:tc>
          <w:tcPr>
            <w:tcW w:w="12260" w:type="dxa"/>
            <w:tcBorders/>
            <w:vAlign w:val="bottom"/>
          </w:tcPr>
          <w:p>
            <w:pPr>
              <w:pStyle w:val="TableContents"/>
              <w:bidi w:val="0"/>
              <w:spacing w:before="0" w:after="283"/>
              <w:jc w:val="left"/>
              <w:rPr/>
            </w:pPr>
            <w:r>
              <w:rPr/>
              <w:t>AMENDMENTS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r>
      <w:tr>
        <w:trPr>
          <w:trHeight w:val="75" w:hRule="atLeast"/>
        </w:trPr>
        <w:tc>
          <w:tcPr>
            <w:tcW w:w="260" w:type="dxa"/>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23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left"/>
              <w:rPr/>
            </w:pPr>
            <w:r>
              <w:rPr/>
              <w:t>Section 46.</w:t>
            </w:r>
          </w:p>
        </w:tc>
        <w:tc>
          <w:tcPr>
            <w:tcW w:w="120" w:type="dxa"/>
            <w:tcBorders/>
            <w:vAlign w:val="bottom"/>
          </w:tcPr>
          <w:p>
            <w:pPr>
              <w:pStyle w:val="TableContents"/>
              <w:bidi w:val="0"/>
              <w:spacing w:before="0" w:after="283"/>
              <w:jc w:val="left"/>
              <w:rPr/>
            </w:pPr>
            <w:r>
              <w:rPr/>
              <w:t>  </w:t>
            </w:r>
          </w:p>
        </w:tc>
        <w:tc>
          <w:tcPr>
            <w:tcW w:w="12260" w:type="dxa"/>
            <w:tcBorders/>
            <w:vAlign w:val="bottom"/>
          </w:tcPr>
          <w:p>
            <w:pPr>
              <w:pStyle w:val="TableContents"/>
              <w:bidi w:val="0"/>
              <w:spacing w:before="0" w:after="283"/>
              <w:jc w:val="left"/>
              <w:rPr/>
            </w:pPr>
            <w:r>
              <w:rPr/>
              <w:t>Amendments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r>
      <w:tr>
        <w:trPr>
          <w:trHeight w:val="75" w:hRule="atLeast"/>
        </w:trPr>
        <w:tc>
          <w:tcPr>
            <w:tcW w:w="1405" w:type="dxa"/>
            <w:gridSpan w:val="3"/>
            <w:tcBorders/>
            <w:vAlign w:val="center"/>
          </w:tcPr>
          <w:p>
            <w:pPr>
              <w:pStyle w:val="TableContents"/>
              <w:bidi w:val="0"/>
              <w:spacing w:before="0" w:after="283"/>
              <w:jc w:val="left"/>
              <w:rPr>
                <w:sz w:val="4"/>
                <w:szCs w:val="4"/>
              </w:rPr>
            </w:pPr>
            <w:r>
              <w:rPr>
                <w:sz w:val="4"/>
                <w:szCs w:val="4"/>
              </w:rPr>
            </w:r>
          </w:p>
        </w:tc>
        <w:tc>
          <w:tcPr>
            <w:tcW w:w="123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405"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XIV</w:t>
            </w:r>
          </w:p>
        </w:tc>
        <w:tc>
          <w:tcPr>
            <w:tcW w:w="120" w:type="dxa"/>
            <w:tcBorders/>
            <w:vAlign w:val="bottom"/>
          </w:tcPr>
          <w:p>
            <w:pPr>
              <w:pStyle w:val="TableContents"/>
              <w:bidi w:val="0"/>
              <w:spacing w:before="0" w:after="283"/>
              <w:jc w:val="left"/>
              <w:rPr/>
            </w:pPr>
            <w:r>
              <w:rPr/>
              <w:t>  </w:t>
            </w:r>
          </w:p>
        </w:tc>
        <w:tc>
          <w:tcPr>
            <w:tcW w:w="12260" w:type="dxa"/>
            <w:tcBorders/>
            <w:vAlign w:val="bottom"/>
          </w:tcPr>
          <w:p>
            <w:pPr>
              <w:pStyle w:val="TableContents"/>
              <w:bidi w:val="0"/>
              <w:spacing w:before="0" w:after="283"/>
              <w:jc w:val="left"/>
              <w:rPr/>
            </w:pPr>
            <w:r>
              <w:rPr/>
              <w:t>LOANS TO OFFICERS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r>
      <w:tr>
        <w:trPr>
          <w:trHeight w:val="75" w:hRule="atLeast"/>
        </w:trPr>
        <w:tc>
          <w:tcPr>
            <w:tcW w:w="260" w:type="dxa"/>
            <w:tcBorders/>
            <w:vAlign w:val="center"/>
          </w:tcPr>
          <w:p>
            <w:pPr>
              <w:pStyle w:val="TableContents"/>
              <w:bidi w:val="0"/>
              <w:spacing w:before="0" w:after="283"/>
              <w:jc w:val="left"/>
              <w:rPr>
                <w:sz w:val="4"/>
                <w:szCs w:val="4"/>
              </w:rPr>
            </w:pPr>
            <w:r>
              <w:rPr>
                <w:sz w:val="4"/>
                <w:szCs w:val="4"/>
              </w:rPr>
            </w:r>
          </w:p>
        </w:tc>
        <w:tc>
          <w:tcPr>
            <w:tcW w:w="1145" w:type="dxa"/>
            <w:gridSpan w:val="2"/>
            <w:tcBorders/>
            <w:vAlign w:val="center"/>
          </w:tcPr>
          <w:p>
            <w:pPr>
              <w:pStyle w:val="TableContents"/>
              <w:bidi w:val="0"/>
              <w:spacing w:before="0" w:after="283"/>
              <w:jc w:val="left"/>
              <w:rPr>
                <w:sz w:val="4"/>
                <w:szCs w:val="4"/>
              </w:rPr>
            </w:pPr>
            <w:r>
              <w:rPr>
                <w:sz w:val="4"/>
                <w:szCs w:val="4"/>
              </w:rPr>
            </w:r>
          </w:p>
        </w:tc>
        <w:tc>
          <w:tcPr>
            <w:tcW w:w="1238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85" w:type="dxa"/>
            <w:tcBorders/>
            <w:vAlign w:val="bottom"/>
          </w:tcPr>
          <w:p>
            <w:pPr>
              <w:pStyle w:val="TableContents"/>
              <w:bidi w:val="0"/>
              <w:spacing w:before="0" w:after="283"/>
              <w:jc w:val="left"/>
              <w:rPr/>
            </w:pPr>
            <w:r>
              <w:rPr/>
              <w:t>Section 47.</w:t>
            </w:r>
          </w:p>
        </w:tc>
        <w:tc>
          <w:tcPr>
            <w:tcW w:w="120" w:type="dxa"/>
            <w:tcBorders/>
            <w:vAlign w:val="bottom"/>
          </w:tcPr>
          <w:p>
            <w:pPr>
              <w:pStyle w:val="TableContents"/>
              <w:bidi w:val="0"/>
              <w:spacing w:before="0" w:after="283"/>
              <w:jc w:val="left"/>
              <w:rPr/>
            </w:pPr>
            <w:r>
              <w:rPr/>
              <w:t>  </w:t>
            </w:r>
          </w:p>
        </w:tc>
        <w:tc>
          <w:tcPr>
            <w:tcW w:w="12260" w:type="dxa"/>
            <w:tcBorders/>
            <w:vAlign w:val="bottom"/>
          </w:tcPr>
          <w:p>
            <w:pPr>
              <w:pStyle w:val="TableContents"/>
              <w:bidi w:val="0"/>
              <w:spacing w:before="0" w:after="283"/>
              <w:jc w:val="left"/>
              <w:rPr/>
            </w:pPr>
            <w:r>
              <w:rPr/>
              <w:t>Loans to Officers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20</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BYLAWS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CYTEK BIOSCIENCES,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(A DELAWARE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120" w:after="0"/>
        <w:jc w:val="center"/>
        <w:rPr>
          <w:rFonts w:ascii="Times New Roman" w:hAnsi="Times New Roman"/>
          <w:b/>
          <w:sz w:val="20"/>
        </w:rPr>
      </w:pPr>
      <w:r>
        <w:rPr>
          <w:rFonts w:ascii="Times New Roman" w:hAnsi="Times New Roman"/>
          <w:b/>
          <w:sz w:val="20"/>
        </w:rPr>
        <w:t xml:space="preserve">OFFICES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 Registered Office</w:t>
      </w:r>
      <w:r>
        <w:rPr>
          <w:rFonts w:ascii="Times New Roman" w:hAnsi="Times New Roman"/>
          <w:sz w:val="20"/>
        </w:rPr>
        <w:t xml:space="preserve">. The registered office of the corporation in the State of Delaware shall be in the City of Dover, County of Kent.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 Other Offices</w:t>
      </w:r>
      <w:r>
        <w:rPr>
          <w:rFonts w:ascii="Times New Roman" w:hAnsi="Times New Roman"/>
          <w:sz w:val="20"/>
        </w:rPr>
        <w:t xml:space="preserve">. The corporation may also have and maintain an office or principal place of business at such place as may be fixed by the Board of Directors, and may also have offices at such other places, both within and without the State of Delaware as the Board of Directors may from time to time determine or the business of the corporation may require.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120" w:after="0"/>
        <w:jc w:val="center"/>
        <w:rPr>
          <w:rFonts w:ascii="Times New Roman" w:hAnsi="Times New Roman"/>
          <w:b/>
          <w:sz w:val="20"/>
        </w:rPr>
      </w:pPr>
      <w:r>
        <w:rPr>
          <w:rFonts w:ascii="Times New Roman" w:hAnsi="Times New Roman"/>
          <w:b/>
          <w:sz w:val="20"/>
        </w:rPr>
        <w:t xml:space="preserve">CORPORATE SEAL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 Corporate Seal</w:t>
      </w:r>
      <w:r>
        <w:rPr>
          <w:rFonts w:ascii="Times New Roman" w:hAnsi="Times New Roman"/>
          <w:sz w:val="20"/>
        </w:rPr>
        <w:t>. The Board of Directors may adopt a corporate seal. If adopted, the corporate seal shall consist of a die bearing the name of the corporation and the inscription, “</w:t>
      </w:r>
      <w:r>
        <w:rPr>
          <w:rFonts w:ascii="Times New Roman" w:hAnsi="Times New Roman"/>
          <w:b/>
          <w:i/>
          <w:sz w:val="20"/>
        </w:rPr>
        <w:t>Corporate Seal-Delaware.</w:t>
      </w:r>
      <w:r>
        <w:rPr>
          <w:rFonts w:ascii="Times New Roman" w:hAnsi="Times New Roman"/>
          <w:sz w:val="20"/>
        </w:rPr>
        <w:t xml:space="preserve">” Said seal may be used by causing it or a facsimile thereof to be impressed or affixed or reproduced or otherwise.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120" w:after="0"/>
        <w:jc w:val="center"/>
        <w:rPr>
          <w:rFonts w:ascii="Times New Roman" w:hAnsi="Times New Roman"/>
          <w:b/>
          <w:sz w:val="20"/>
        </w:rPr>
      </w:pPr>
      <w:r>
        <w:rPr>
          <w:rFonts w:ascii="Times New Roman" w:hAnsi="Times New Roman"/>
          <w:b/>
          <w:sz w:val="20"/>
        </w:rPr>
        <w:t xml:space="preserve">STOCKHOLDERS’ MEETINGS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 Place of Meetings</w:t>
      </w:r>
      <w:r>
        <w:rPr>
          <w:rFonts w:ascii="Times New Roman" w:hAnsi="Times New Roman"/>
          <w:sz w:val="20"/>
        </w:rPr>
        <w:t>. Meetings of the stockholders of the corporation may be held at such place, either within or without the State of 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w:t>
      </w:r>
      <w:r>
        <w:rPr>
          <w:rFonts w:ascii="Times New Roman" w:hAnsi="Times New Roman"/>
          <w:b/>
          <w:i/>
          <w:sz w:val="20"/>
        </w:rPr>
        <w:t>DGCL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 Annual Meetings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The annual meeting of the stockholders of the corporation, for the purpose of election of directors and for such other business as may properly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(with respect to business other than nominations); (ii) brought specifically by or at the direction of the Board of Directors; or (iii) by any stockholder of the corporation who was a stockholder of record at the time of giving the stockholder’s notice provided for in Section 5(b) below, who is entitled to vote at the meeting and who complied with the notice procedures set forth in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w:t>
      </w:r>
      <w:r>
        <w:rPr>
          <w:rFonts w:ascii="Times New Roman" w:hAnsi="Times New Roman"/>
          <w:b/>
          <w:i/>
          <w:sz w:val="20"/>
        </w:rPr>
        <w:t>1934 Act</w:t>
      </w:r>
      <w:r>
        <w:rPr>
          <w:rFonts w:ascii="Times New Roman" w:hAnsi="Times New Roman"/>
          <w:sz w:val="20"/>
        </w:rPr>
        <w:t xml:space="preserve">”)) before an annual meeting of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At an annual meeting of the stockholders, only such business shall be conducted as is a proper matter for stockholder action under Delaware law and as shall have been properly brought before the meeting. </w:t>
      </w:r>
    </w:p>
    <w:p>
      <w:pPr>
        <w:pStyle w:val="TextBody"/>
        <w:bidi w:val="0"/>
        <w:spacing w:before="240" w:after="0"/>
        <w:jc w:val="left"/>
        <w:rPr>
          <w:rFonts w:ascii="Times New Roman" w:hAnsi="Times New Roman"/>
          <w:sz w:val="20"/>
        </w:rPr>
      </w:pPr>
      <w:r>
        <w:rPr>
          <w:rFonts w:ascii="Times New Roman" w:hAnsi="Times New Roman"/>
          <w:b/>
          <w:sz w:val="20"/>
        </w:rPr>
        <w:t xml:space="preserve">(i) </w:t>
      </w:r>
      <w:r>
        <w:rPr>
          <w:rFonts w:ascii="Times New Roman" w:hAnsi="Times New Roman"/>
          <w:sz w:val="20"/>
        </w:rPr>
        <w:t xml:space="preserve">For nominations for the election to the Board of Directors to be properly brought before an annual meeting by a stockholder pursuant to clause (iii) of Section 5(a) of these Bylaws,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and number of shares of each class of capital stock of the corporation which are owned of record and beneficially by such nominee, (4) the date or dates on which such shares were acquired and the investment intent of such acquisition, (5) such other information concerning such nominee as would be required to be disclosed in a proxy statement soliciting proxies for the election of such nominee as a director in an election contest (even if an election contest is not involved), or that is otherwise required to be disclosed pursuant to Section 14 of the 1934 Act and the rules and regulations promulgated thereunder (including such person’s written consent to being named as a nominee and to serving as a director if elected); and (B) the information required by Section 5(b)(iv). 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proposed nominee. </w:t>
      </w:r>
    </w:p>
    <w:p>
      <w:pPr>
        <w:pStyle w:val="TextBody"/>
        <w:bidi w:val="0"/>
        <w:spacing w:before="240" w:after="0"/>
        <w:jc w:val="left"/>
        <w:rPr>
          <w:rFonts w:ascii="Times New Roman" w:hAnsi="Times New Roman"/>
          <w:sz w:val="20"/>
        </w:rPr>
      </w:pPr>
      <w:r>
        <w:rPr>
          <w:rFonts w:ascii="Times New Roman" w:hAnsi="Times New Roman"/>
          <w:b/>
          <w:sz w:val="20"/>
        </w:rPr>
        <w:t xml:space="preserve">(ii) </w:t>
      </w:r>
      <w:r>
        <w:rPr>
          <w:rFonts w:ascii="Times New Roman" w:hAnsi="Times New Roman"/>
          <w:sz w:val="20"/>
        </w:rPr>
        <w:t xml:space="preserve">For business other than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the information required by Section 5(b)(iv). </w:t>
      </w:r>
    </w:p>
    <w:p>
      <w:pPr>
        <w:pStyle w:val="TextBody"/>
        <w:bidi w:val="0"/>
        <w:spacing w:before="240" w:after="0"/>
        <w:jc w:val="left"/>
        <w:rPr>
          <w:rFonts w:ascii="Times New Roman" w:hAnsi="Times New Roman"/>
          <w:sz w:val="20"/>
        </w:rPr>
      </w:pPr>
      <w:r>
        <w:rPr>
          <w:rFonts w:ascii="Times New Roman" w:hAnsi="Times New Roman"/>
          <w:b/>
          <w:sz w:val="20"/>
        </w:rPr>
        <w:t xml:space="preserve">(iii) </w:t>
      </w:r>
      <w:r>
        <w:rPr>
          <w:rFonts w:ascii="Times New Roman" w:hAnsi="Times New Roman"/>
          <w:sz w:val="20"/>
        </w:rPr>
        <w:t xml:space="preserve">To be timely, the written notice required by Section 5(b)(i) or 5(b)(ii) must be received by the Secretary at the principal executive offices of the corporation not later than the close of business on the ninetieth (90th) day nor earlier than the close of business on the one hundred twentieth (120th) day prior to the first anniversary of the preceding year’s annual meeting; provided, however, that, subject to the last sentence of this Section 5(b)(iii), in the event that the date of the annual meeting is advanced more than thirty (30) days prior to or delayed by more than thirty (30) days after the anniversary of the preceding year’s annual meeting, notice by the stockholder to be timely must be so received not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 In no event shall an adjournment or a postponement of an annual meeting for which notice has been given, or the public announcement thereof has been made, commence a new time period for the giving of a stockholder’s notice as described above. </w:t>
      </w:r>
    </w:p>
    <w:p>
      <w:pPr>
        <w:pStyle w:val="TextBody"/>
        <w:bidi w:val="0"/>
        <w:spacing w:before="240" w:after="0"/>
        <w:jc w:val="left"/>
        <w:rPr>
          <w:rFonts w:ascii="Times New Roman" w:hAnsi="Times New Roman"/>
          <w:sz w:val="20"/>
        </w:rPr>
      </w:pPr>
      <w:r>
        <w:rPr>
          <w:rFonts w:ascii="Times New Roman" w:hAnsi="Times New Roman"/>
          <w:b/>
          <w:sz w:val="20"/>
        </w:rPr>
        <w:t xml:space="preserve">(iv) </w:t>
      </w:r>
      <w:r>
        <w:rPr>
          <w:rFonts w:ascii="Times New Roman" w:hAnsi="Times New Roman"/>
          <w:sz w:val="20"/>
        </w:rPr>
        <w:t>The written notice required by Section 5(b)(i) or 5(b)(ii) shall also set forth, as of the date of the notice and as to the stockholder giving the notice and the beneficial owner, if any, on whose behalf the nomination or proposal is made (each, a “</w:t>
      </w:r>
      <w:r>
        <w:rPr>
          <w:rFonts w:ascii="Times New Roman" w:hAnsi="Times New Roman"/>
          <w:b/>
          <w:i/>
          <w:sz w:val="20"/>
        </w:rPr>
        <w:t>Proponent</w:t>
      </w:r>
      <w:r>
        <w:rPr>
          <w:rFonts w:ascii="Times New Roman" w:hAnsi="Times New Roman"/>
          <w:sz w:val="20"/>
        </w:rPr>
        <w:t>” and collectively, the “</w:t>
      </w:r>
      <w:r>
        <w:rPr>
          <w:rFonts w:ascii="Times New Roman" w:hAnsi="Times New Roman"/>
          <w:b/>
          <w:i/>
          <w:sz w:val="20"/>
        </w:rPr>
        <w:t>Proponents</w:t>
      </w:r>
      <w:r>
        <w:rPr>
          <w:rFonts w:ascii="Times New Roman" w:hAnsi="Times New Roman"/>
          <w:sz w:val="20"/>
        </w:rPr>
        <w:t xml:space="preserve">”): (A) the name and address of each Proponent, as they appear on the corporation’s books; (B) the class, series and number of shares of the corporation that are owned beneficially and of record by each Proponent; (C) a description of any agreement, arrangement or understanding (whether oral or in writing) with respect to such nomination or proposal between or among any Proponent and any of its affiliates or associates,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any others (including their names) acting in concert, or otherwise under the agreement, arrangement or understanding, with any of the foregoing; (D) a representation that the Proponents will maintain its, his or her record or beneficial ownership of shares of the corporation through the record date for the meeting and through the date of the meeting (and any adjournment or postponement thereof) and intend to appear in person or by proxy at the meeting to nominate the person or persons specified in the notice (with respect to a notice under Section 5(b)(i)) or to propose the business that is specified in the notice (with respect to a notice under Section 5(b)(ii)); (E) a representation that the Proponent or any other participant (as defined in Item 4 of Schedule 14A under the 1934 Act) will engage in a solicitation with respect to such nomination or proposal and, if so, the name of each participant in such solicitation and the amount of the cost of solicitation that has been or will be borne, directly or indirectly, by each participant in such solicitation, and a representation as to whether the Proponents intend or are part of a group that intends to (x) deliver, or make available, a proxy statement and/or form of proxy to holders of a sufficient number of holders of the corporation’s voting shares to elect such nominee or nominees (with respect to a notice under Section 5(b)(i)) or to carry such proposal (with respect to a notice under Section 5(b)(ii)), (y) otherwise solicit proxies or votes from stockholders in support of such proposal or nomination, and/or (z) solicit proxies in support of any proposed nominee or nominees in accordance with Rule 14a-19 promulgated under the 1934 Act; (F) to the extent known by any Proponent, the name and address of any other stockholder supporting the proposal on the date of such stockholder’s notice; and (G) a description of all Derivative Transactions (as defined below) by each Proponent during the previous twelve (12) month period, including the date of the transactions and the class, series and number of securities involved in, and the material economic terms of, such Derivative Transactions. </w:t>
      </w:r>
    </w:p>
    <w:p>
      <w:pPr>
        <w:pStyle w:val="TextBody"/>
        <w:bidi w:val="0"/>
        <w:spacing w:before="240" w:after="0"/>
        <w:jc w:val="left"/>
        <w:rPr>
          <w:rFonts w:ascii="Times New Roman" w:hAnsi="Times New Roman"/>
          <w:sz w:val="20"/>
        </w:rPr>
      </w:pPr>
      <w:r>
        <w:rPr>
          <w:rFonts w:ascii="Times New Roman" w:hAnsi="Times New Roman"/>
          <w:sz w:val="20"/>
        </w:rPr>
        <w:t>For purposes of Sections 5 and 6, a “</w:t>
      </w:r>
      <w:r>
        <w:rPr>
          <w:rFonts w:ascii="Times New Roman" w:hAnsi="Times New Roman"/>
          <w:b/>
          <w:i/>
          <w:sz w:val="20"/>
        </w:rPr>
        <w:t>Derivative Transaction</w:t>
      </w:r>
      <w:r>
        <w:rPr>
          <w:rFonts w:ascii="Times New Roman" w:hAnsi="Times New Roman"/>
          <w:sz w:val="20"/>
        </w:rPr>
        <w:t xml:space="preserve">” means any agreement, arrangement, interest or understanding entered into by, or on behalf or for the benefit of, any Proponent or any of its affiliates or associates, whether record or beneficial: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which is derived in whole or in part from the value of any class or series of shares or other securities of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(x)</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otherwise provides any direct or indirect opportunity to gain or share in any gain derived from a change in the value of securities of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(y)</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or intent of which is to mitigate loss, manage risk or benefit of security value or price changes,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(z)</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provides the right to vote or increase or decrease the voting power of, such Proponent, or any of its affiliates or associates, with respect to any securities of the corporation, 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 </w:t>
            </w:r>
          </w:p>
        </w:tc>
      </w:tr>
    </w:tbl>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A stockholder providing written notice required by Section 5(b)(i) or (ii) shall update and supplement such notice in writing, if necessary, so that the information provided or required to be provided in such notice is true and correct in all material respects as of (i) the record date for the meeting and (ii) the date that is five (5) business days prior to the meeting and, in the event of any adjournment or postponement thereof, five (5) business days prior to such adjourned or postponed meeting. In the case of an update and supplement pursuant to clause (i) of this Section 5(c), such update and supplement shall be received by the Secretary at the principal executive offices of the corporation not later than five (5) business days after the record date for the meeting. In the case of an update and supplement pursuant to clause (ii) of this Section 5(c), such update and supplement shall be received by the Secretary at the principal executive offices of the corporation not later than two (2) business days prior to the date for the meeting, and, in the event of any adjournment or postponement thereof, two (2) business days prior to such adjourned or postponed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Notwithstanding anything in Section 5(b)(iii) to the contrary, in the event that the number of directors in an Expiring Class (as defined below) is increased and there is no public announcement of the appointment of a director to such class, or, if no appointment was made, of the vacancy in such class, made by the corporation at least ten (10) days before the last day a stockholder may deliver a notice of nomination in accordance with Section 5(b)(iii), a stockholder’s notice required by this Section 5 and which complies with the requirements in Section 5(b)(i), other than the timing requirements in Section 5(b)(iii), shall also be considered timely, but only with respect to nominees for any new positions in such Expiring Class created by such increase, if it shall be received by the Secretary at the principal executive offices of the corporation not later than the close of business on the tenth (10th) day following the day on which such public announcement is first made by the corporation. For purposes of this section, an “</w:t>
      </w:r>
      <w:r>
        <w:rPr>
          <w:rFonts w:ascii="Times New Roman" w:hAnsi="Times New Roman"/>
          <w:b/>
          <w:i/>
          <w:sz w:val="20"/>
        </w:rPr>
        <w:t>Expiring Class</w:t>
      </w:r>
      <w:r>
        <w:rPr>
          <w:rFonts w:ascii="Times New Roman" w:hAnsi="Times New Roman"/>
          <w:sz w:val="20"/>
        </w:rPr>
        <w:t xml:space="preserve">” shall mean a class of directors whose term shall expire at the next annual meeting of stockholders. </w:t>
      </w:r>
    </w:p>
    <w:p>
      <w:pPr>
        <w:pStyle w:val="TextBody"/>
        <w:bidi w:val="0"/>
        <w:spacing w:before="240" w:after="0"/>
        <w:jc w:val="left"/>
        <w:rPr>
          <w:rFonts w:ascii="Times New Roman" w:hAnsi="Times New Roman"/>
          <w:sz w:val="20"/>
        </w:rPr>
      </w:pPr>
      <w:r>
        <w:rPr>
          <w:rFonts w:ascii="Times New Roman" w:hAnsi="Times New Roman"/>
          <w:b/>
          <w:sz w:val="20"/>
        </w:rPr>
        <w:t xml:space="preserve">(e) </w:t>
      </w:r>
      <w:r>
        <w:rPr>
          <w:rFonts w:ascii="Times New Roman" w:hAnsi="Times New Roman"/>
          <w:sz w:val="20"/>
        </w:rPr>
        <w:t xml:space="preserve">A person shall not be eligible for election or re-election as a director, unless the person is nominated in accordance with either clause (ii) or (iii) of Section 5(a). Except as otherwise required by law, the chairperson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(including, without limitation, compliance with Rule 14a-19 under the 1934 Act), or the Proponent does not act in accordance with the representations in Sections 5(b)(iv)(D) and 5(b)(iv)(E), to declare that such proposal or nomination shall not be presented for stockholder action at the meeting and shall be disregarded, notwithstanding that proxies in respect of such nominations or such business may have been solicited or received. </w:t>
      </w:r>
    </w:p>
    <w:p>
      <w:pPr>
        <w:pStyle w:val="TextBody"/>
        <w:bidi w:val="0"/>
        <w:spacing w:before="240" w:after="0"/>
        <w:jc w:val="left"/>
        <w:rPr>
          <w:rFonts w:ascii="Times New Roman" w:hAnsi="Times New Roman"/>
          <w:sz w:val="20"/>
        </w:rPr>
      </w:pPr>
      <w:r>
        <w:rPr>
          <w:rFonts w:ascii="Times New Roman" w:hAnsi="Times New Roman"/>
          <w:b/>
          <w:sz w:val="20"/>
        </w:rPr>
        <w:t xml:space="preserve">(f) </w:t>
      </w:r>
      <w:r>
        <w:rPr>
          <w:rFonts w:ascii="Times New Roman" w:hAnsi="Times New Roman"/>
          <w:sz w:val="20"/>
        </w:rPr>
        <w:t xml:space="preserve">Notwithstanding anything to the contrary in these Bylaws, unless otherwise required by applicable law, in the event that any Proponent (i) provides notice pursuant to Rule 14a-19(b) promulgated under the 1934 Act with respect to one or more proposed nominees and (ii) subsequently fails to (x) comply with the requirements of Rule 14a-19 promulgated under the 1934 Act (or fails to timely provide reasonable evidence sufficient to satisfy the corporation that such Proponent has met the requirements of Rule 14a-19(a)(3) promulgated under the 1934 Act in accordance with the next sentence), or (y) inform the corporation that they no longer plan to solicit proxies in accordance with the requirements of Rule 14a-19 under the 1934 Act by delivering a written notice to the Secretary at the principal executive offices of the corporation within two (2) business days after the occurrence of such change, then the nomination of such proposed nominee shall be disregarded (and such nominee disqualified from standing for election or re-election), notwithstanding that the nominee is included (as applicable) as a nominee in the corporation’s proxy statement, notice of meeting or other proxy materials for any stockholder meeting (or any supplement thereto) and notwithstanding that proxies or votes in respect of the election of such proposed nominees may have been received by the corporation (which proxies and votes shall be disregarded). </w:t>
      </w:r>
    </w:p>
    <w:p>
      <w:pPr>
        <w:pStyle w:val="TextBody"/>
        <w:bidi w:val="0"/>
        <w:spacing w:before="240" w:after="0"/>
        <w:jc w:val="left"/>
        <w:rPr>
          <w:rFonts w:ascii="Times New Roman" w:hAnsi="Times New Roman"/>
          <w:sz w:val="20"/>
        </w:rPr>
      </w:pPr>
      <w:r>
        <w:rPr>
          <w:rFonts w:ascii="Times New Roman" w:hAnsi="Times New Roman"/>
          <w:sz w:val="20"/>
        </w:rPr>
        <w:t xml:space="preserve">If any Proponent provides notice pursuant to Rule 14a-19(b) promulgated under the 1934 Act, such Proponent shall deliver to the corporation, no later than five (5) business days prior to the applicable meeting, reasonable evidence sufficient to demonstrate that it has met the requirements of Rule 14a-19(a)(3) promulgated under the 1934 Act.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set forth herein, and for the avoidance of doubt, the nomination of any person whose name is included (as applicable) as a nominee in the corporation’s proxy statement, notice of meeting or other proxy materials for any stockholder meeting (or any supplement thereto) as a result of any notice provided by any Proponent pursuant to Rule 14a-19(b) promulgated under the 1934 Act with respect to such proposed nominee and whose nomination is not made by or at the direction of the Board of Directors or any authorized committee thereof shall not be deemed (for purposes of clause (i) of Section 5(a) or otherwise) to have been made pursuant to the corporation’s notice of meeting (or any supplement thereto) and any such nominee may only be nominated by a Proponent pursuant to clause (iii) of Section 5(a) and, in the case of a special meeting of stockholders, pursuant to and to the extent permitted under Section 6(c).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(g) </w:t>
      </w:r>
      <w:r>
        <w:rPr>
          <w:rFonts w:ascii="Times New Roman" w:hAnsi="Times New Roman"/>
          <w:sz w:val="20"/>
        </w:rPr>
        <w:t xml:space="preserve">Notwithstanding the foregoing provisions of this Section 5, in order to include information with respect to a stockholder proposal in the proxy statement and form of proxy for a stockholders’ meeting, a stockholder must also comply with all applicable requirements of the 1934 Act and the rules and regulations thereunder. Nothing in these Bylaws shall be deemed to affect any rights of stockholders to request inclusion of proposals in the corporation’s proxy statement pursuant to Rule 14a-8 under the 1934 Act; provided, however, that any references in these Bylaws to the 1934 Act or the rules and regulations thereunder are not intended to and shall not limit the requirements applicable to proposals and/or nominations to be considered pursuant to Section 5(a)(iii) of these Bylaws. </w:t>
      </w:r>
    </w:p>
    <w:p>
      <w:pPr>
        <w:pStyle w:val="TextBody"/>
        <w:bidi w:val="0"/>
        <w:spacing w:before="240" w:after="0"/>
        <w:jc w:val="left"/>
        <w:rPr>
          <w:rFonts w:ascii="Times New Roman" w:hAnsi="Times New Roman"/>
          <w:sz w:val="20"/>
        </w:rPr>
      </w:pPr>
      <w:r>
        <w:rPr>
          <w:rFonts w:ascii="Times New Roman" w:hAnsi="Times New Roman"/>
          <w:b/>
          <w:sz w:val="20"/>
        </w:rPr>
        <w:t xml:space="preserve">(h) </w:t>
      </w:r>
      <w:r>
        <w:rPr>
          <w:rFonts w:ascii="Times New Roman" w:hAnsi="Times New Roman"/>
          <w:sz w:val="20"/>
        </w:rPr>
        <w:t xml:space="preserve">For purposes of Sections 5 and 6, </w:t>
      </w:r>
    </w:p>
    <w:p>
      <w:pPr>
        <w:pStyle w:val="TextBody"/>
        <w:bidi w:val="0"/>
        <w:spacing w:before="240" w:after="0"/>
        <w:jc w:val="left"/>
        <w:rPr>
          <w:rFonts w:ascii="Times New Roman" w:hAnsi="Times New Roman"/>
          <w:sz w:val="20"/>
        </w:rPr>
      </w:pPr>
      <w:r>
        <w:rPr>
          <w:rFonts w:ascii="Times New Roman" w:hAnsi="Times New Roman"/>
          <w:b/>
          <w:sz w:val="20"/>
        </w:rPr>
        <w:t xml:space="preserve">(i) </w:t>
      </w:r>
      <w:r>
        <w:rPr>
          <w:rFonts w:ascii="Times New Roman" w:hAnsi="Times New Roman"/>
          <w:sz w:val="20"/>
        </w:rPr>
        <w:t>“</w:t>
      </w:r>
      <w:r>
        <w:rPr>
          <w:rFonts w:ascii="Times New Roman" w:hAnsi="Times New Roman"/>
          <w:b/>
          <w:i/>
          <w:sz w:val="20"/>
        </w:rPr>
        <w:t>public announcement</w:t>
      </w:r>
      <w:r>
        <w:rPr>
          <w:rFonts w:ascii="Times New Roman" w:hAnsi="Times New Roman"/>
          <w:sz w:val="20"/>
        </w:rPr>
        <w:t xml:space="preserve">” shall mean disclosure in a press release reported by the Dow Jones News Service, Associated Press or comparable national news service or in a document publicly filed by the corporation with the Securities and Exchange Commission pursuant to Section 13, 14 or 15(d) of the 1934 Act; and </w:t>
      </w:r>
    </w:p>
    <w:p>
      <w:pPr>
        <w:pStyle w:val="TextBody"/>
        <w:bidi w:val="0"/>
        <w:spacing w:before="240" w:after="0"/>
        <w:jc w:val="left"/>
        <w:rPr>
          <w:rFonts w:ascii="Times New Roman" w:hAnsi="Times New Roman"/>
          <w:sz w:val="20"/>
        </w:rPr>
      </w:pPr>
      <w:r>
        <w:rPr>
          <w:rFonts w:ascii="Times New Roman" w:hAnsi="Times New Roman"/>
          <w:b/>
          <w:sz w:val="20"/>
        </w:rPr>
        <w:t xml:space="preserve">(ii) </w:t>
      </w:r>
      <w:r>
        <w:rPr>
          <w:rFonts w:ascii="Times New Roman" w:hAnsi="Times New Roman"/>
          <w:sz w:val="20"/>
        </w:rPr>
        <w:t>“</w:t>
      </w:r>
      <w:r>
        <w:rPr>
          <w:rFonts w:ascii="Times New Roman" w:hAnsi="Times New Roman"/>
          <w:b/>
          <w:i/>
          <w:sz w:val="20"/>
        </w:rPr>
        <w:t>affiliates</w:t>
      </w:r>
      <w:r>
        <w:rPr>
          <w:rFonts w:ascii="Times New Roman" w:hAnsi="Times New Roman"/>
          <w:sz w:val="20"/>
        </w:rPr>
        <w:t>” and “</w:t>
      </w:r>
      <w:r>
        <w:rPr>
          <w:rFonts w:ascii="Times New Roman" w:hAnsi="Times New Roman"/>
          <w:b/>
          <w:i/>
          <w:sz w:val="20"/>
        </w:rPr>
        <w:t>associates</w:t>
      </w:r>
      <w:r>
        <w:rPr>
          <w:rFonts w:ascii="Times New Roman" w:hAnsi="Times New Roman"/>
          <w:sz w:val="20"/>
        </w:rPr>
        <w:t>” shall have the meanings set forth in Rule 405 under the Securities Act of 1933, as amended (the “</w:t>
      </w:r>
      <w:r>
        <w:rPr>
          <w:rFonts w:ascii="Times New Roman" w:hAnsi="Times New Roman"/>
          <w:b/>
          <w:i/>
          <w:sz w:val="20"/>
        </w:rPr>
        <w:t>1933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 Special Meetings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Special meetings of the stockholders of the corporation may be called, for any purpose as is a proper matter for stockholder action under Delaware law, by (i) the Chairperson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The Board of Directors shall determine the time and place, if any, of such special meeting. Upon determination of the time and place, if any, of the meeting, the Secretary shall cause a notice of meeting to be given to the stockholders entitled to vote, in accordance with the provisions of Section 7. No business may be transacted at such special meeting otherwise than specified in the notice of meeting. </w:t>
      </w:r>
    </w:p>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Nominations of persons for election to the Board of Directors may be made at a special meeting of stockholders at which directors are to be elected (i) by or at the direction of the Board of Directors or (ii) by any stockholder of the corporation who is a stockholder of record at the time of giving notice provided for in this paragraph, who shall be entitled to vote at the meeting and who delivers written notice to the Secretary of the corporation setting forth the information required by Section 5(b)(i).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 5(b)(i) of these Bylaws shall be received by the Secretary at the principal executive offices of the corporation not later than the close of business on the later of the ninetieth (90th) day prior to such meeting or the tenth (10th) day following the day on which public announcement is first made of the date of the special meeting and of the nominees proposed by the Board of Directors to be elected at such meeting. The stockholder shall also update and supplement such information as required under Section 5(c). In no event shall an adjournment or a postponement of a special meeting for which notice has been given, or the public announcement thereof has been made, commence a new time period for the giving of a stockholder’s notice as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 xml:space="preserve">Notwithstanding the foregoing provisions of this Section 6, a stockholder must also comply with all applicable requirements of the 1934 Act and the rules and regulations thereunder with respect to matters set forth in this Section 6. Nothing in these Bylaws shall be deemed to affect any rights of stockholders to request inclusion of proposals in the corporation’s proxy statement pursuant to Rule 14a-8 under the 1934 Act; provided, however, that any references in these Bylaws to the 1934 Act or the rules and regulations thereunder are not intended to and shall not limit the requirements applicable to nominations for the election to the Board of Directors to be considered pursuant to Section 6(c) of these Bylaws. </w:t>
      </w:r>
    </w:p>
    <w:p>
      <w:pPr>
        <w:pStyle w:val="TextBody"/>
        <w:bidi w:val="0"/>
        <w:spacing w:before="240" w:after="0"/>
        <w:jc w:val="left"/>
        <w:rPr>
          <w:rFonts w:ascii="Times New Roman" w:hAnsi="Times New Roman"/>
          <w:sz w:val="20"/>
        </w:rPr>
      </w:pPr>
      <w:r>
        <w:rPr>
          <w:rFonts w:ascii="Times New Roman" w:hAnsi="Times New Roman"/>
          <w:b/>
          <w:sz w:val="20"/>
        </w:rPr>
        <w:t xml:space="preserve">(e) </w:t>
      </w:r>
      <w:r>
        <w:rPr>
          <w:rFonts w:ascii="Times New Roman" w:hAnsi="Times New Roman"/>
          <w:sz w:val="20"/>
        </w:rPr>
        <w:t xml:space="preserve">A person shall not be eligible for election or re-election as a director at a special meeting of stockholders, unless the person is nominated in accordance with Section 6(c). Except as otherwise required by law, the chairperson of the meeting shall have the power and duty to determine whether a nomination proposed to be brought before the meeting was made in accordance with the procedures set forth in these Bylaws and, if any proposed nomination is not in compliance with these Bylaws (including, without limitation, compliance with Rule 14a-19 under the 1934 Act), or the Proponent does not act in accordance with the representations in Sections 5(b)(iv)(D) and 5(b)(iv)(E), to declare that such nomination shall not be presented for stockholder action at the meeting and shall be disregarded, notwithstanding that proxies in respect of such nomination may have been solicited or received.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 Notice of Meetings</w:t>
      </w:r>
      <w:r>
        <w:rPr>
          <w:rFonts w:ascii="Times New Roman" w:hAnsi="Times New Roman"/>
          <w:sz w:val="20"/>
        </w:rPr>
        <w:t xml:space="preserve">. Except as otherwise provided by law, notice, given in writing or by electronic transmission, of each meeting of stockholders shall be given not less than ten (10) nor more than sixty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 holders may be deemed to be present in person and vote at any such meeting. If mailed, notice is given when deposited in the United States mail, postage prepaid, directed to the stockholder at such stockholder’s address as it appears on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 Quorum</w:t>
      </w:r>
      <w:r>
        <w:rPr>
          <w:rFonts w:ascii="Times New Roman" w:hAnsi="Times New Roman"/>
          <w:sz w:val="20"/>
        </w:rPr>
        <w:t xml:space="preserve">. At all meetings of stockholders, except where otherwise provided by statute or by the Certificate of Incorporation, or by these Bylaws, the presence, in person, by remote communication, if applicable, or by proxy duly authorized, of the holders of a majority of the outstanding shares of stock entitled to vote shall constitute a quorum for the transaction of business. In the absence of a quorum, any meeting of stockholders may be adjourned, from time to time, either by the chairperson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applicable stock exchange rules, or by the Certificate of Incorporation or these Bylaws, in all matters other than the election of directors, the affirmative vote of the majority of shares present in person, by remote communication, if applicable, or represented by proxy at the meeting and entitled to vote generally on the subject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at the meeting and entitled to vote generally on the election of directors. Where a separate vote by a class or classes or series is required, except where otherwise provided by the statute or by the Certificate of Incorporation or these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 Adjournment and Notice of Adjourned Meetings</w:t>
      </w:r>
      <w:r>
        <w:rPr>
          <w:rFonts w:ascii="Times New Roman" w:hAnsi="Times New Roman"/>
          <w:sz w:val="20"/>
        </w:rPr>
        <w:t xml:space="preserve">. Any meeting of stockholders, whether annual or special, may be adjourned from time to time either by the chairperson of the meeting or by the vote of a majority of the shares present in person, by remote communication, if applicable, or represented by proxy at the meeting. When a meeting is adjourned to another time or place, if any (including an adjournment taken to address a technical failure to convene or continue a meeting using remote communication), notice need not be given of the adjourned meeting if the time and place, if any, thereof and the means of remote communication, if any, by which stockholders and proxy holders may be deemed present in person and may vote at such meeting are announced at the meeting at which the adjournment is taken or are (i) displayed, during the time scheduled for the meeting, on the same electronic network used to enable stockholders and proxy holders to participate in the meeting by means of remote communication or (ii) set forth in the notice of meeting given in accordance with Section 7. At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 Voting Rights</w:t>
      </w:r>
      <w:r>
        <w:rPr>
          <w:rFonts w:ascii="Times New Roman" w:hAnsi="Times New Roman"/>
          <w:sz w:val="20"/>
        </w:rPr>
        <w:t xml:space="preserve">. For the purpose of determining those stockholders entitled to vote at any meeting of the stockholders, except as otherwise provided by law, only persons in whose names shares stand on the stock records of the corporation on the record date, as provided in Section 38 of these Bylaws, shall be entitled to vote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 No proxy shall be voted after three (3) years from its date of creation unless the proxy provides for a longer period.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 Joint Owners of Stock</w:t>
      </w:r>
      <w:r>
        <w:rPr>
          <w:rFonts w:ascii="Times New Roman" w:hAnsi="Times New Roman"/>
          <w:sz w:val="20"/>
        </w:rPr>
        <w:t xml:space="preserve">. If shares or other securities having voting power stand of record in the names of two (2) or more persons, whether fiduciaries, members of a partnership, joint tenants, tenants in common, tenants by the entirety, or otherwise, or if two (2)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(1) votes, his or her act binds all; (b) if more than one (1) votes, the act of the majority so voting binds all; (c) if more than one (1)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shall be a majority or even-split in interest.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 List of Stockholders</w:t>
      </w:r>
      <w:r>
        <w:rPr>
          <w:rFonts w:ascii="Times New Roman" w:hAnsi="Times New Roman"/>
          <w:sz w:val="20"/>
        </w:rPr>
        <w:t xml:space="preserve">. The Secretary shall prepare and make, no later than the tenth (10th) day before each meeting of stockholders, a complete list of the stockholders entitled to vote at said meeting, arranged in alphabetical order, showing the address of each stockholder and the number of shares registered in the name of each stockholder; provided, however, if the record date for determining the stockholders entitled to vote is less than ten (10) days before the meeting date, the list shall reflect all of the stockholders entitled to vote as of the tenth (10th) day before the meeting date. Nothing in this </w:t>
      </w:r>
      <w:r>
        <w:rPr>
          <w:rFonts w:ascii="Times New Roman" w:hAnsi="Times New Roman"/>
          <w:sz w:val="20"/>
          <w:u w:val="single"/>
        </w:rPr>
        <w:t>Section 12</w:t>
      </w:r>
      <w:r>
        <w:rPr>
          <w:rFonts w:ascii="Times New Roman" w:hAnsi="Times New Roman"/>
          <w:sz w:val="20"/>
        </w:rPr>
        <w:t xml:space="preserve"> shall require the corporation to include electronic mail addresses or other electronic contact information on such list. Such list shall be open to the examination of any stockholder, for any purpose germane to the meeting, for a period of ten (10) days ending on the day before the meeting date,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 Action Without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action shall be taken by the stockholders except at an annual or special meeting of stockholders called in accordance with these Bylaws, and no action shall be taken by the stockholders by written consent or by electronic transmission.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 Organization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At every meeting of stockholders, the Chairperson of the Board of Directors, or, if a Chairperson has not been appointed or is absent, the President, or, if the President is absent, a chairperson of the meeting chosen by a majority in interest of the stockholders entitled to vote, present in person or by proxy, shall act as chairperson. The Secretary, or, in his or her absence, an Assistant Secretary directed to do so by the President, shall act as secretary of the meeting.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The Board of Directors of the corporation shall be entitled to make such rules or regulations for the conduct of meetings of stockholders as it shall deem necessary, appropriate or convenient. Subject to such rules and regulations of the Board of Directors, if any, the chairperson of the meeting shall have the right and authority to prescribe such rules, regulations and procedures and to do all such acts as, in the judgment of such chairperson, are necessary, appropriate or convenient for the proper conduct of the meeting, including, without limitation, establishing an agenda or order of business for the meeting, with consultation by the Lead Independent Director (as defined below), rules and procedures for maintaining order at the meeting and the safety of those present, limitations on participation in such meeting to stockholders of 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chairperson of the meeting, meetings of stockholders shall not be required to be held in accordance with rules of parliamentary procedure.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120" w:after="0"/>
        <w:jc w:val="center"/>
        <w:rPr>
          <w:rFonts w:ascii="Times New Roman" w:hAnsi="Times New Roman"/>
          <w:b/>
          <w:sz w:val="20"/>
        </w:rPr>
      </w:pPr>
      <w:r>
        <w:rPr>
          <w:rFonts w:ascii="Times New Roman" w:hAnsi="Times New Roman"/>
          <w:b/>
          <w:sz w:val="20"/>
        </w:rPr>
        <w:t xml:space="preserve">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 Number and Term of Office</w:t>
      </w:r>
      <w:r>
        <w:rPr>
          <w:rFonts w:ascii="Times New Roman" w:hAnsi="Times New Roman"/>
          <w:sz w:val="20"/>
        </w:rPr>
        <w:t xml:space="preserve">. The authorized number of directors of the corporation shall be fixed in accordance with the Certificate of Incorporation. Directors need not be stockholders unless so required by the Certificate of Incorporation. If for any cause, the directors shall not have been elected at an annual meeting, they may be elected as soon thereafter as convenient at a special meeting of the stockholders called for that purpose in the manner provided in these Bylaws. Each director shall serve until his or her successor is duly elected and qualified or until his or her earlier death, resignation or removal. No decrease in the number of directors constituting the Board of Directors shall shorten the term of any incumbent director.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16. Powers</w:t>
      </w:r>
      <w:r>
        <w:rPr>
          <w:rFonts w:ascii="Times New Roman" w:hAnsi="Times New Roman"/>
          <w:sz w:val="20"/>
        </w:rPr>
        <w:t xml:space="preserve">. The business and affairs of the corporation shall be managed by or under the direction of the Board of Directors, except as may be otherwise provided by statute or by the Certificate of Incorporation.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17. Classes of Directors</w:t>
      </w:r>
      <w:r>
        <w:rPr>
          <w:rFonts w:ascii="Times New Roman" w:hAnsi="Times New Roman"/>
          <w:sz w:val="20"/>
        </w:rPr>
        <w:t xml:space="preserve">. Subject to the rights of the holders of any series of Preferred Stock to elect additional directors under specified circumstances,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the initial classification of the Board of Directors, the term of office of the Class I directors shall expire and Class I directors shall be elected for a full term of three years. At the second annual meeting of stockholders following such initial classification, the term of office of the Class II directors shall expire and Class II directors shall be elected for a full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three years. At the third annual meeting of stockholders following such initial classification,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provisions of this Section 17, each director shall serve until his or her successor is duly elected and qualified or until his or her earlier death, resignation or removal. No decrease in the number of directors constituting the Board of Directors shall shorten the term of any incumbent director.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18. Vacancies</w:t>
      </w:r>
      <w:r>
        <w:rPr>
          <w:rFonts w:ascii="Times New Roman" w:hAnsi="Times New Roman"/>
          <w:sz w:val="20"/>
        </w:rPr>
        <w:t xml:space="preserve">. Unless otherwise provided in the Certificate of Incorporation,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and not by the stockholders, provided, however, that whenever the holders of any class or classes of stock or series thereof are entitled to elect one or more directors by the provisions of the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19. Resignation</w:t>
      </w:r>
      <w:r>
        <w:rPr>
          <w:rFonts w:ascii="Times New Roman" w:hAnsi="Times New Roman"/>
          <w:sz w:val="20"/>
        </w:rPr>
        <w:t xml:space="preserve">. Any director may resign at any time by delivering his or her notice in writing or by electronic transmission to the Secretary, such resignation to specify whether it will be effective at a particular time. If no such specification is made, it shall be deemed effective at the time of delivery to the Secretary.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20. Removal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Subject to the rights of holders of any series of Preferred Stock to elect additional directors under specified circumstances, neither the Board of Directors nor any individual director may be removed without cause.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Subject to any limitation imposed by applicable law, any individual director or directors may be removed with cause by the affirmative vote of the holders of at least sixty-six and two-thirds percent (66 2/3%) of the voting power of all then-outstanding shares of capital stock of the corporation entitled to vote generally at an election of 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 Meetings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Regular Meetings. Unless otherwise restricted by the Certificate of Incorporation, regular meetings of the Board of Directors may be held at any time or date and at any place within or without the State of Delaware which has been designated by the Board of Directors and publicized among all directors, either orally or in writing, by telephone, including a voice-messaging system or other system designed to record and communicate messages, facsimile, telegraph or telex, or by electronic mail or other electronic means. No further notice shall be required for regular meetings of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Special Meetings. Unless otherwise restricted by the Certificate of Incorporation, special meetings of the Board of Directors may be held at any time and place within or without the State of Delaware whenever called by the Chairperson of the Board, the Chief Executive Officer or a majority of the authorized number of directors. </w:t>
      </w:r>
    </w:p>
    <w:p>
      <w:pPr>
        <w:pStyle w:val="TextBody"/>
        <w:bidi w:val="0"/>
        <w:spacing w:before="240" w:after="0"/>
        <w:jc w:val="left"/>
        <w:rPr>
          <w:rFonts w:ascii="Times New Roman" w:hAnsi="Times New Roman"/>
          <w:sz w:val="20"/>
        </w:rPr>
      </w:pPr>
      <w:r>
        <w:rPr>
          <w:rFonts w:ascii="Times New Roman" w:hAnsi="Times New Roman"/>
          <w:b/>
          <w:sz w:val="20"/>
        </w:rPr>
        <w:t xml:space="preserve">(c) </w:t>
      </w:r>
      <w:r>
        <w:rPr>
          <w:rFonts w:ascii="Times New Roman" w:hAnsi="Times New Roman"/>
          <w:sz w:val="20"/>
        </w:rPr>
        <w:t xml:space="preserve">Meetings by Electronic Communications Equipment. Any member of the Board of Directors, or of any committee thereof, may participate in a meeting by means of conference telephone or other communications equipment by means of which all persons participating in the meeting can hear each other, and participation in a meeting by such means shall constitute presence in person at such meeting. </w:t>
      </w:r>
    </w:p>
    <w:p>
      <w:pPr>
        <w:pStyle w:val="TextBody"/>
        <w:bidi w:val="0"/>
        <w:spacing w:before="24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 xml:space="preserve">Notice of Special Meetings. Notice of the time and place of all special meetings of the Board of Directors shall be orally or in writing, by telephone, including a voice messaging system or other system or technology designed to record and communicate messages, facsimile, telegraph or telex, or by electronic mail or other electronic means, during normal business hours, at least twenty-four (24) hours before the date and time of the meeting. If notice is sent by US mail, it shall be sent by first class mail, charges prepaid, at least three (3)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 </w:t>
      </w:r>
    </w:p>
    <w:p>
      <w:pPr>
        <w:pStyle w:val="TextBody"/>
        <w:bidi w:val="0"/>
        <w:spacing w:before="240" w:after="0"/>
        <w:jc w:val="left"/>
        <w:rPr>
          <w:rFonts w:ascii="Times New Roman" w:hAnsi="Times New Roman"/>
          <w:sz w:val="20"/>
        </w:rPr>
      </w:pPr>
      <w:r>
        <w:rPr>
          <w:rFonts w:ascii="Times New Roman" w:hAnsi="Times New Roman"/>
          <w:b/>
          <w:sz w:val="20"/>
        </w:rPr>
        <w:t xml:space="preserve">(e) </w:t>
      </w:r>
      <w:r>
        <w:rPr>
          <w:rFonts w:ascii="Times New Roman" w:hAnsi="Times New Roman"/>
          <w:sz w:val="20"/>
        </w:rPr>
        <w:t xml:space="preserve">Waiver of Notice. The transaction of all business at any meeting of the Board of Directors, or any committee thereof, however called 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 Quorum and Voting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Unless the Certificate of Incorporation requires a greater number, and except with respect to questions related to indemnification arising under Section 44 for which a quorum shall be one-third of the exact number of directors fixed from time to time, a quorum of the Board of Directors shall consist of a majority of the exact number of directors fixed from time to time by the Board of Directors in accordance with the Certificate of Incorporation; provided, however, at any meeting whether a quorum be present or otherwise, a majority of the directors present may adjourn from time to time until the time fixed for the next regular meeting of the Board of Directors, without notice other than by announcement at the meeting.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At each meeting of the Board of Directors at which a quorum is present, all questions and business shall be determined by the affirmative vote of a majority of the directors present, unless a different vote be required by law, the Certificate of Incorporation or these Bylaws.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23. Action Without Meeting</w:t>
      </w:r>
      <w:r>
        <w:rPr>
          <w:rFonts w:ascii="Times New Roman" w:hAnsi="Times New Roman"/>
          <w:sz w:val="20"/>
        </w:rPr>
        <w:t xml:space="preserve">.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24. Fees and Compensation</w:t>
      </w:r>
      <w:r>
        <w:rPr>
          <w:rFonts w:ascii="Times New Roman" w:hAnsi="Times New Roman"/>
          <w:sz w:val="20"/>
        </w:rPr>
        <w:t xml:space="preserve">. Directors shall be entitled to such compensation for their services as may be approved by the Board of 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25. Committees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 Executive Committee</w:t>
      </w:r>
      <w:r>
        <w:rPr>
          <w:rFonts w:ascii="Times New Roman" w:hAnsi="Times New Roman"/>
          <w:sz w:val="20"/>
        </w:rPr>
        <w:t xml:space="preserve">. The Board of Directors may appoint an Executive Committee to consist of one (1) or more members of the 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(other than the election or removal of directors) expressly required by the DGCL to be submitted to stockholders for approval, or (ii) adopting, amending or repealing any Bylaw of the corporation. </w:t>
      </w:r>
    </w:p>
    <w:p>
      <w:pPr>
        <w:pStyle w:val="TextBody"/>
        <w:bidi w:val="0"/>
        <w:spacing w:before="240" w:after="0"/>
        <w:jc w:val="left"/>
        <w:rPr>
          <w:rFonts w:ascii="Times New Roman" w:hAnsi="Times New Roman"/>
          <w:sz w:val="20"/>
        </w:rPr>
      </w:pPr>
      <w:r>
        <w:rPr>
          <w:rFonts w:ascii="Times New Roman" w:hAnsi="Times New Roman"/>
          <w:b/>
          <w:sz w:val="20"/>
        </w:rPr>
        <w:t>(b) Other Committees</w:t>
      </w:r>
      <w:r>
        <w:rPr>
          <w:rFonts w:ascii="Times New Roman" w:hAnsi="Times New Roman"/>
          <w:sz w:val="20"/>
        </w:rPr>
        <w:t xml:space="preserve">. The Board of Directors may, from time to time, appoint such other committees as may be permitted by law. Such other committees appointed by the Board of Directors shall consist of one (1) or more members of the Board of Directors and shall have such powers and perform such duties as may be prescribed by the resolution or resolutions creating such committees, but in no event shall any such committee have the powers denied to the Executive Committee in these Bylaws. </w:t>
      </w:r>
    </w:p>
    <w:p>
      <w:pPr>
        <w:pStyle w:val="TextBody"/>
        <w:bidi w:val="0"/>
        <w:spacing w:before="240" w:after="0"/>
        <w:jc w:val="left"/>
        <w:rPr>
          <w:rFonts w:ascii="Times New Roman" w:hAnsi="Times New Roman"/>
          <w:sz w:val="20"/>
        </w:rPr>
      </w:pPr>
      <w:r>
        <w:rPr>
          <w:rFonts w:ascii="Times New Roman" w:hAnsi="Times New Roman"/>
          <w:b/>
          <w:sz w:val="20"/>
        </w:rPr>
        <w:t>(c) Term</w:t>
      </w:r>
      <w:r>
        <w:rPr>
          <w:rFonts w:ascii="Times New Roman" w:hAnsi="Times New Roman"/>
          <w:sz w:val="20"/>
        </w:rPr>
        <w:t xml:space="preserve">. The Board of Directors, subject to any requirements of any outstanding series of Preferred Stock and the provisions of subsections (a) or (b) of this Section 25,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w:t>
      </w:r>
    </w:p>
    <w:p>
      <w:pPr>
        <w:pStyle w:val="TextBody"/>
        <w:bidi w:val="0"/>
        <w:spacing w:before="240" w:after="0"/>
        <w:jc w:val="left"/>
        <w:rPr>
          <w:rFonts w:ascii="Times New Roman" w:hAnsi="Times New Roman"/>
          <w:sz w:val="20"/>
        </w:rPr>
      </w:pPr>
      <w:r>
        <w:rPr>
          <w:rFonts w:ascii="Times New Roman" w:hAnsi="Times New Roman"/>
          <w:b/>
          <w:sz w:val="20"/>
        </w:rPr>
        <w:t>(d) Meetings</w:t>
      </w:r>
      <w:r>
        <w:rPr>
          <w:rFonts w:ascii="Times New Roman" w:hAnsi="Times New Roman"/>
          <w:sz w:val="20"/>
        </w:rPr>
        <w:t xml:space="preserve">. Unless the Board of Directors shall otherwise provide, regular meetings of the Executive Committee or any other committee 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or by electronic transmission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26. Lead Independent Director</w:t>
      </w:r>
      <w:r>
        <w:rPr>
          <w:rFonts w:ascii="Times New Roman" w:hAnsi="Times New Roman"/>
          <w:sz w:val="20"/>
        </w:rPr>
        <w:t>. The Chairperson of the Board of Directors, or if the Chairperson is not an independent director, one of the independent directors, may be designated by the Board of Directors as lead independent director to serve until replaced by the Board of Directors (“</w:t>
      </w:r>
      <w:r>
        <w:rPr>
          <w:rFonts w:ascii="Times New Roman" w:hAnsi="Times New Roman"/>
          <w:b/>
          <w:i/>
          <w:sz w:val="20"/>
        </w:rPr>
        <w:t>Lead Independent Director</w:t>
      </w:r>
      <w:r>
        <w:rPr>
          <w:rFonts w:ascii="Times New Roman" w:hAnsi="Times New Roman"/>
          <w:sz w:val="20"/>
        </w:rPr>
        <w:t xml:space="preserve">”). The Lead Independent Director will: serve as chairperson of Board of Directors meetings in the absence of the Chairperson of the Board of Directors; establish the agenda for meetings of the independent directors; coordinate with the committee chairs regarding meeting agendas and informational requirements; preside over meetings of the independent directors; preside over any portions of meetings of the Board of Directors at which the evaluation or compensation of the Chief Executive Officer is presented or discussed; preside over any portions of meetings of the Board of Directors at which the performance of the Board of Directors is presented or discussed; and coordinate the activities of the other independent directors and perform such other duties as may be established or delegated by the Chairperson of the Board of 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27. Organization</w:t>
      </w:r>
      <w:r>
        <w:rPr>
          <w:rFonts w:ascii="Times New Roman" w:hAnsi="Times New Roman"/>
          <w:sz w:val="20"/>
        </w:rPr>
        <w:t xml:space="preserve">. At every meeting of the directors, the Chairperson of the Board of Directors, or, if a Chairperson has not been appointed or is absent, the Lead Independent Director, or if the Lead Independent Director is absent, the Chief Executive Officer (if a director), or, if a Chief Executive Officer is absent, the President (if a director), or if the President is absent, the most senior Vice President (if a director), or, in the absence of any such person, a chairperson of the meeting chosen by a majority of the directors present, shall preside over the meeting. The Secretary, or in his or her absence, any Assistant Secretary or other officer or director or other person directed to do so by the Chairperson of the Board, the Lead Independent Director or the President, shall act as secretary of the meeting.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120" w:after="0"/>
        <w:jc w:val="center"/>
        <w:rPr>
          <w:rFonts w:ascii="Times New Roman" w:hAnsi="Times New Roman"/>
          <w:b/>
          <w:sz w:val="20"/>
        </w:rPr>
      </w:pPr>
      <w:r>
        <w:rPr>
          <w:rFonts w:ascii="Times New Roman" w:hAnsi="Times New Roman"/>
          <w:b/>
          <w:sz w:val="20"/>
        </w:rPr>
        <w:t xml:space="preserve">OFFICERS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28. Officers Designated</w:t>
      </w:r>
      <w:r>
        <w:rPr>
          <w:rFonts w:ascii="Times New Roman" w:hAnsi="Times New Roman"/>
          <w:sz w:val="20"/>
        </w:rPr>
        <w:t xml:space="preserve">. The officers of the corporation shall include, if and when designated by the Board of Directors, the Chief 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 salaries and other compensation of the officers of the corporation shall be fixed by or in the manner designated by the Board of Directors.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29. Tenure and Duties of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 General</w:t>
      </w:r>
      <w:r>
        <w:rPr>
          <w:rFonts w:ascii="Times New Roman" w:hAnsi="Times New Roman"/>
          <w:sz w:val="20"/>
        </w:rPr>
        <w:t xml:space="preserve">. All officers shall hold office at the pleasure of the Board of Directors and until their successors shall have been duly elected and qualified, unless sooner removed. Any officer elected or appointed by the Board of Directors may be removed at any time by the Board of Directors. If the office of any officer becomes vacant for any reason, the vacancy may be filled by the Board of Directors. </w:t>
      </w:r>
    </w:p>
    <w:p>
      <w:pPr>
        <w:pStyle w:val="TextBody"/>
        <w:bidi w:val="0"/>
        <w:spacing w:before="240" w:after="0"/>
        <w:jc w:val="left"/>
        <w:rPr>
          <w:rFonts w:ascii="Times New Roman" w:hAnsi="Times New Roman"/>
          <w:sz w:val="20"/>
        </w:rPr>
      </w:pPr>
      <w:r>
        <w:rPr>
          <w:rFonts w:ascii="Times New Roman" w:hAnsi="Times New Roman"/>
          <w:b/>
          <w:sz w:val="20"/>
        </w:rPr>
        <w:t>(b) Duties of Chief Executive Officer</w:t>
      </w:r>
      <w:r>
        <w:rPr>
          <w:rFonts w:ascii="Times New Roman" w:hAnsi="Times New Roman"/>
          <w:sz w:val="20"/>
        </w:rPr>
        <w:t xml:space="preserve">. The Chief Executive Officer shall preside at all meetings of the stockholders (subject to Section 14) and at all meetings of the Board of Directors, unless the Chairperson of the Board of Directors or the Lead Independent Director has been appointed and is present. Unless an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To the extent that a Chief Executive Officer has been appointed and no President has been appointed, all references in these Bylaws to the President shall be deemed references to the Chief Executive Officer. The Chief Executive Officer shall perform other duties commonly incident to the office and shall also perform such other duties and have such other powers, as the Board of Directors shall designate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 Duties of President</w:t>
      </w:r>
      <w:r>
        <w:rPr>
          <w:rFonts w:ascii="Times New Roman" w:hAnsi="Times New Roman"/>
          <w:sz w:val="20"/>
        </w:rPr>
        <w:t xml:space="preserve">. The President shall preside at all meetings of the stockholders (subject to Section 14) and at all meetings of the Board of Directors, unless the Chairperson of the Board of Directors, the Lead Independent Director, or the Chief Executive Officer has been appointed and is present. Unless another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 </w:t>
      </w:r>
    </w:p>
    <w:p>
      <w:pPr>
        <w:pStyle w:val="TextBody"/>
        <w:bidi w:val="0"/>
        <w:spacing w:before="240" w:after="0"/>
        <w:jc w:val="left"/>
        <w:rPr>
          <w:rFonts w:ascii="Times New Roman" w:hAnsi="Times New Roman"/>
          <w:sz w:val="20"/>
        </w:rPr>
      </w:pPr>
      <w:r>
        <w:rPr>
          <w:rFonts w:ascii="Times New Roman" w:hAnsi="Times New Roman"/>
          <w:b/>
          <w:sz w:val="20"/>
        </w:rPr>
        <w:t>(d) Duties of Vice Presidents</w:t>
      </w:r>
      <w:r>
        <w:rPr>
          <w:rFonts w:ascii="Times New Roman" w:hAnsi="Times New Roman"/>
          <w:sz w:val="20"/>
        </w:rPr>
        <w:t xml:space="preserve">. The Vice Presidents may assume and perform the duties of the President in the absence or disability of the President or whenever the office of President is vacant. The Vice Presidents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 </w:t>
      </w:r>
    </w:p>
    <w:p>
      <w:pPr>
        <w:pStyle w:val="TextBody"/>
        <w:bidi w:val="0"/>
        <w:spacing w:before="240" w:after="0"/>
        <w:jc w:val="left"/>
        <w:rPr>
          <w:rFonts w:ascii="Times New Roman" w:hAnsi="Times New Roman"/>
          <w:sz w:val="20"/>
        </w:rPr>
      </w:pPr>
      <w:r>
        <w:rPr>
          <w:rFonts w:ascii="Times New Roman" w:hAnsi="Times New Roman"/>
          <w:b/>
          <w:sz w:val="20"/>
        </w:rPr>
        <w:t>(e) Duties of Secretary</w:t>
      </w:r>
      <w:r>
        <w:rPr>
          <w:rFonts w:ascii="Times New Roman" w:hAnsi="Times New Roman"/>
          <w:sz w:val="20"/>
        </w:rPr>
        <w:t xml:space="preserve">. The Secretary shall attend all meetings of the stockholders and of the Board of Directors and shall record all acts and proceedings thereof in the minute book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commonly incident to the office and shall also perform such other duties and have such other powers, as the Board of Directors shall designate from time to time. The President may direct any Assistant Secretary or other officer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President shall designate from time to time. </w:t>
      </w:r>
    </w:p>
    <w:p>
      <w:pPr>
        <w:pStyle w:val="TextBody"/>
        <w:bidi w:val="0"/>
        <w:spacing w:before="240" w:after="0"/>
        <w:jc w:val="left"/>
        <w:rPr>
          <w:rFonts w:ascii="Times New Roman" w:hAnsi="Times New Roman"/>
          <w:sz w:val="20"/>
        </w:rPr>
      </w:pPr>
      <w:r>
        <w:rPr>
          <w:rFonts w:ascii="Times New Roman" w:hAnsi="Times New Roman"/>
          <w:b/>
          <w:sz w:val="20"/>
        </w:rPr>
        <w:t>(f) Duties of Chief Financial Officer</w:t>
      </w:r>
      <w:r>
        <w:rPr>
          <w:rFonts w:ascii="Times New Roman" w:hAnsi="Times New Roman"/>
          <w:sz w:val="20"/>
        </w:rPr>
        <w:t xml:space="preserve">. The Chief Financial Officer shall keep or cause to be kept the books of account of the corporation in a 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or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President shall designate from time to time. </w:t>
      </w:r>
    </w:p>
    <w:p>
      <w:pPr>
        <w:pStyle w:val="TextBody"/>
        <w:bidi w:val="0"/>
        <w:spacing w:before="240" w:after="0"/>
        <w:jc w:val="left"/>
        <w:rPr>
          <w:rFonts w:ascii="Times New Roman" w:hAnsi="Times New Roman"/>
          <w:sz w:val="20"/>
        </w:rPr>
      </w:pPr>
      <w:r>
        <w:rPr>
          <w:rFonts w:ascii="Times New Roman" w:hAnsi="Times New Roman"/>
          <w:b/>
          <w:sz w:val="20"/>
        </w:rPr>
        <w:t>(g) Duties of Treasurer</w:t>
      </w:r>
      <w:r>
        <w:rPr>
          <w:rFonts w:ascii="Times New Roman" w:hAnsi="Times New Roman"/>
          <w:sz w:val="20"/>
        </w:rPr>
        <w:t xml:space="preserve">. Unless another officer has been appointed Chief Financial Officer of the corporation, the Treasurer shall be the Chief Financial Officer of the corporation and shall keep or cause to be kept the books of account of the corporation in a thorough and proper manner and shall render statements of the financial affairs of the corporation in such form and as often as required by the Board of Directors or the President, and, subject to the order of the Board of Directors, shall have the custody of all funds and securities of the corporation. The Treasurer shall perform other duties commonly incident to the office and shall also perform such other duties and have such other powers as the Board of Directors or the President shall designate from time to time.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30. Delegation of Authority</w:t>
      </w:r>
      <w:r>
        <w:rPr>
          <w:rFonts w:ascii="Times New Roman" w:hAnsi="Times New Roman"/>
          <w:sz w:val="20"/>
        </w:rPr>
        <w:t xml:space="preserve">. The Board of Directors may from time to time delegate the powers or duties of any officer to any other officer or agent, notwithstanding any provision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 Resignations</w:t>
      </w:r>
      <w:r>
        <w:rPr>
          <w:rFonts w:ascii="Times New Roman" w:hAnsi="Times New Roman"/>
          <w:sz w:val="20"/>
        </w:rPr>
        <w:t xml:space="preserve">. Any officer may resign at any time by giving notice in writing or by electronic transmission to the Board of Directors 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 Removal</w:t>
      </w:r>
      <w:r>
        <w:rPr>
          <w:rFonts w:ascii="Times New Roman" w:hAnsi="Times New Roman"/>
          <w:sz w:val="20"/>
        </w:rPr>
        <w:t xml:space="preserve">. Any officer may be removed from office at any time, either with or without cause, by the affirmative vote of a majority of the directors in office at the time, or by the unanimous written consent of the directors in office at the time, or by any committee or by the Chief Executive Officer or by other superior officers upon whom such power of removal may have been conferred by the Board of Directors.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120" w:after="0"/>
        <w:jc w:val="center"/>
        <w:rPr>
          <w:rFonts w:ascii="Times New Roman" w:hAnsi="Times New Roman"/>
          <w:b/>
          <w:sz w:val="20"/>
        </w:rPr>
      </w:pPr>
      <w:r>
        <w:rPr>
          <w:rFonts w:ascii="Times New Roman" w:hAnsi="Times New Roman"/>
          <w:b/>
          <w:sz w:val="20"/>
        </w:rPr>
        <w:t xml:space="preserve">EXECUTION OF CORPORATE INSTRUMENTS AND VOTING OF SECURITIES OWNED BY THE 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33. Execution of Corporate Instruments</w:t>
      </w:r>
      <w:r>
        <w:rPr>
          <w:rFonts w:ascii="Times New Roman" w:hAnsi="Times New Roman"/>
          <w:sz w:val="20"/>
        </w:rPr>
        <w:t xml:space="preserve">. The Board of Directors may, in its discretion, determine the method and designate the 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All checks and drafts drawn on banks or other depositaries on funds to the credit of the corporation or in special accounts of the corporation shall be signed by such person or persons as the Board of Directors shall authorize so to do. </w:t>
      </w:r>
    </w:p>
    <w:p>
      <w:pPr>
        <w:pStyle w:val="TextBody"/>
        <w:bidi w:val="0"/>
        <w:spacing w:before="240" w:after="0"/>
        <w:jc w:val="left"/>
        <w:rPr>
          <w:rFonts w:ascii="Times New Roman" w:hAnsi="Times New Roman"/>
          <w:sz w:val="20"/>
        </w:rPr>
      </w:pPr>
      <w:r>
        <w:rPr>
          <w:rFonts w:ascii="Times New Roman" w:hAnsi="Times New Roman"/>
          <w:sz w:val="20"/>
        </w:rPr>
        <w:t xml:space="preserve">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34. Voting of Securities Owned By The Corporation</w:t>
      </w:r>
      <w:r>
        <w:rPr>
          <w:rFonts w:ascii="Times New Roman" w:hAnsi="Times New Roman"/>
          <w:sz w:val="20"/>
        </w:rPr>
        <w:t xml:space="preserve">. All stock and other securities of other corporations owned or held by the corporation for itself, or for other parties in any capacity, shall be voted, and all proxies with respect thereto shall be executed, by the person authorized so to do by resolution of the Board of Directors, or, in the absence of such authorization, by the Chairperson of the Board of Directors, the Chief Executive Officer, the President, or any Vice President.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120" w:after="0"/>
        <w:jc w:val="center"/>
        <w:rPr>
          <w:rFonts w:ascii="Times New Roman" w:hAnsi="Times New Roman"/>
          <w:b/>
          <w:sz w:val="20"/>
        </w:rPr>
      </w:pPr>
      <w:r>
        <w:rPr>
          <w:rFonts w:ascii="Times New Roman" w:hAnsi="Times New Roman"/>
          <w:b/>
          <w:sz w:val="20"/>
        </w:rPr>
        <w:t xml:space="preserve">SHARES OF STOCK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35. Form and Execution of Certificates</w:t>
      </w:r>
      <w:r>
        <w:rPr>
          <w:rFonts w:ascii="Times New Roman" w:hAnsi="Times New Roman"/>
          <w:sz w:val="20"/>
        </w:rPr>
        <w:t xml:space="preserve">. The shares of the corporation shall be represented by certificates or shall be uncertificated. Certificates for the shares of stock, if any, of the corporation shall be in such form as is consistent with the Certificate of Incorporation and applicable law. Every holder of stock represented by certificate in the corporation shall be entitled to have a certificate signed by or in the name of the corporation by the Chairperson of the Board of Directors, or the President or any Vice President and by the Treasurer or Assistant Treasurer or the Secretary or Assistant Secretary,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36. Lost Certificates</w:t>
      </w:r>
      <w:r>
        <w:rPr>
          <w:rFonts w:ascii="Times New Roman" w:hAnsi="Times New Roman"/>
          <w:sz w:val="20"/>
        </w:rPr>
        <w:t xml:space="preserve">. A new certificate or certificates shall be issued in place of any certificate or certificates theretofore issued by the 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37. Transfers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38. Fixing Record 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(a) </w:t>
      </w:r>
      <w:r>
        <w:rPr>
          <w:rFonts w:ascii="Times New Roman" w:hAnsi="Times New Roman"/>
          <w:sz w:val="20"/>
        </w:rPr>
        <w:t xml:space="preserve">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 </w:t>
      </w:r>
    </w:p>
    <w:p>
      <w:pPr>
        <w:pStyle w:val="TextBody"/>
        <w:bidi w:val="0"/>
        <w:spacing w:before="240" w:after="0"/>
        <w:jc w:val="left"/>
        <w:rPr>
          <w:rFonts w:ascii="Times New Roman" w:hAnsi="Times New Roman"/>
          <w:sz w:val="20"/>
        </w:rPr>
      </w:pPr>
      <w:r>
        <w:rPr>
          <w:rFonts w:ascii="Times New Roman" w:hAnsi="Times New Roman"/>
          <w:b/>
          <w:sz w:val="20"/>
        </w:rPr>
        <w:t xml:space="preserve">(b) </w:t>
      </w:r>
      <w:r>
        <w:rPr>
          <w:rFonts w:ascii="Times New Roman" w:hAnsi="Times New Roman"/>
          <w:sz w:val="20"/>
        </w:rPr>
        <w:t xml:space="preserve">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39. Registered Stockholders</w:t>
      </w:r>
      <w:r>
        <w:rPr>
          <w:rFonts w:ascii="Times New Roman" w:hAnsi="Times New Roman"/>
          <w:sz w:val="20"/>
        </w:rPr>
        <w:t xml:space="preserve">.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120" w:after="0"/>
        <w:jc w:val="center"/>
        <w:rPr>
          <w:rFonts w:ascii="Times New Roman" w:hAnsi="Times New Roman"/>
          <w:b/>
          <w:sz w:val="20"/>
        </w:rPr>
      </w:pPr>
      <w:r>
        <w:rPr>
          <w:rFonts w:ascii="Times New Roman" w:hAnsi="Times New Roman"/>
          <w:b/>
          <w:sz w:val="20"/>
        </w:rPr>
        <w:t xml:space="preserve">OTHER SECURITIES OF THE CORPORATION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40. Execution of Other Securities</w:t>
      </w:r>
      <w:r>
        <w:rPr>
          <w:rFonts w:ascii="Times New Roman" w:hAnsi="Times New Roman"/>
          <w:sz w:val="20"/>
        </w:rPr>
        <w:t xml:space="preserve">. All bonds, debentures and other corporate securities of the corporation, other than stock certificates (covered in Section 35), may be signed by the Chairperson of the Board of Directors,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provided, however,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120" w:after="0"/>
        <w:jc w:val="center"/>
        <w:rPr>
          <w:rFonts w:ascii="Times New Roman" w:hAnsi="Times New Roman"/>
          <w:b/>
          <w:sz w:val="20"/>
        </w:rPr>
      </w:pPr>
      <w:r>
        <w:rPr>
          <w:rFonts w:ascii="Times New Roman" w:hAnsi="Times New Roman"/>
          <w:b/>
          <w:sz w:val="20"/>
        </w:rPr>
        <w:t xml:space="preserve">DIVIDENDS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 Declaration of Dividends</w:t>
      </w:r>
      <w:r>
        <w:rPr>
          <w:rFonts w:ascii="Times New Roman" w:hAnsi="Times New Roman"/>
          <w:sz w:val="20"/>
        </w:rPr>
        <w:t xml:space="preserve">. Dividends upon the capital stock of the corporation, subject to the provisions of the Certificate of 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 Dividend Reserve</w:t>
      </w:r>
      <w:r>
        <w:rPr>
          <w:rFonts w:ascii="Times New Roman" w:hAnsi="Times New Roman"/>
          <w:sz w:val="20"/>
        </w:rPr>
        <w:t xml:space="preserve">. Before payment of any dividend, there may be set aside out of any funds of the corporation available for dividends 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120" w:after="0"/>
        <w:jc w:val="center"/>
        <w:rPr>
          <w:rFonts w:ascii="Times New Roman" w:hAnsi="Times New Roman"/>
          <w:b/>
          <w:sz w:val="20"/>
        </w:rPr>
      </w:pPr>
      <w:r>
        <w:rPr>
          <w:rFonts w:ascii="Times New Roman" w:hAnsi="Times New Roman"/>
          <w:b/>
          <w:sz w:val="20"/>
        </w:rPr>
        <w:t xml:space="preserve">FISCAL YEAR </w:t>
      </w:r>
    </w:p>
    <w:p>
      <w:pPr>
        <w:pStyle w:val="TextBody"/>
        <w:bidi w:val="0"/>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43. Fiscal Year</w:t>
      </w:r>
      <w:r>
        <w:rPr>
          <w:rFonts w:ascii="Times New Roman" w:hAnsi="Times New Roman"/>
          <w:sz w:val="20"/>
        </w:rPr>
        <w:t xml:space="preserve">. The fiscal year of the corporation shall be fixed by resolution of the Board of Directors.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120" w:after="0"/>
        <w:jc w:val="center"/>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44. Indemnification of Directors, Executive Officers, Other Officers, Employees and Other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 Directors and Executive Officers</w:t>
      </w:r>
      <w:r>
        <w:rPr>
          <w:rFonts w:ascii="Times New Roman" w:hAnsi="Times New Roman"/>
          <w:sz w:val="20"/>
        </w:rPr>
        <w:t>. The corporation shall indemnify its directors and executive officers (for the purposes of this Article XI, “</w:t>
      </w:r>
      <w:r>
        <w:rPr>
          <w:rFonts w:ascii="Times New Roman" w:hAnsi="Times New Roman"/>
          <w:b/>
          <w:i/>
          <w:sz w:val="20"/>
        </w:rPr>
        <w:t>executive officers</w:t>
      </w:r>
      <w:r>
        <w:rPr>
          <w:rFonts w:ascii="Times New Roman" w:hAnsi="Times New Roman"/>
          <w:sz w:val="20"/>
        </w:rPr>
        <w:t xml:space="preserve">” shall have the meaning defined in Rule 3b-7 promulgated under the 1934 Act) to the extent not prohibited by the DGCL or any other applicable law; provided, however, that the corporation may modify the extent of such indemnification by individual contracts with its directors and executive officers; and, provided, further, that the corporation shall not be required to indemnify any director or executive officer in connection with any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 (d). </w:t>
      </w:r>
    </w:p>
    <w:p>
      <w:pPr>
        <w:pStyle w:val="TextBody"/>
        <w:bidi w:val="0"/>
        <w:spacing w:before="240" w:after="0"/>
        <w:jc w:val="left"/>
        <w:rPr>
          <w:rFonts w:ascii="Times New Roman" w:hAnsi="Times New Roman"/>
          <w:sz w:val="20"/>
        </w:rPr>
      </w:pPr>
      <w:r>
        <w:rPr>
          <w:rFonts w:ascii="Times New Roman" w:hAnsi="Times New Roman"/>
          <w:b/>
          <w:sz w:val="20"/>
        </w:rPr>
        <w:t>(b) Other Officers, Employees and Other Agents</w:t>
      </w:r>
      <w:r>
        <w:rPr>
          <w:rFonts w:ascii="Times New Roman" w:hAnsi="Times New Roman"/>
          <w:sz w:val="20"/>
        </w:rPr>
        <w:t xml:space="preserve">. The corporation shall have power to indemnify its other officers, employees and other agents as set forth in the DGCL or any other applicable law. The Board of Directors shall have the power to delegate the determination of whether indemnification shall be given to any such person to such officers or other persons as the Board of Directors shall determine. </w:t>
      </w:r>
    </w:p>
    <w:p>
      <w:pPr>
        <w:pStyle w:val="TextBody"/>
        <w:bidi w:val="0"/>
        <w:spacing w:before="240" w:after="0"/>
        <w:jc w:val="left"/>
        <w:rPr>
          <w:rFonts w:ascii="Times New Roman" w:hAnsi="Times New Roman"/>
          <w:sz w:val="20"/>
        </w:rPr>
      </w:pPr>
      <w:r>
        <w:rPr>
          <w:rFonts w:ascii="Times New Roman" w:hAnsi="Times New Roman"/>
          <w:b/>
          <w:sz w:val="20"/>
        </w:rPr>
        <w:t>(c) Expenses</w:t>
      </w:r>
      <w:r>
        <w:rPr>
          <w:rFonts w:ascii="Times New Roman" w:hAnsi="Times New Roman"/>
          <w:sz w:val="20"/>
        </w:rPr>
        <w:t>. The corporation shall advance to any person who was or is a party or is threatened to be made a party to any threatened, pending or completed action, suit or proceeding, whether civil, criminal, administrative or investigative, by reason of the fact that he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provided, however, that if the DGCL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w:t>
      </w:r>
      <w:r>
        <w:rPr>
          <w:rFonts w:ascii="Times New Roman" w:hAnsi="Times New Roman"/>
          <w:b/>
          <w:i/>
          <w:sz w:val="20"/>
        </w:rPr>
        <w:t>undertaking</w:t>
      </w:r>
      <w:r>
        <w:rPr>
          <w:rFonts w:ascii="Times New Roman" w:hAnsi="Times New Roman"/>
          <w:sz w:val="20"/>
        </w:rPr>
        <w:t>”), by or on behalf of such indemnitee, to repay all amounts so advanced if it shall ultimately be determined by final judicial decision from which there is no further right to appeal (hereinafter a “</w:t>
      </w:r>
      <w:r>
        <w:rPr>
          <w:rFonts w:ascii="Times New Roman" w:hAnsi="Times New Roman"/>
          <w:b/>
          <w:i/>
          <w:sz w:val="20"/>
        </w:rPr>
        <w:t>final adjudication</w:t>
      </w:r>
      <w:r>
        <w:rPr>
          <w:rFonts w:ascii="Times New Roman" w:hAnsi="Times New Roman"/>
          <w:sz w:val="20"/>
        </w:rPr>
        <w:t xml:space="preserve">”) that such indemnitee is not entitled to be indemnified for such expenses under this section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unless otherwise determined pursuant to paragraph (e) of this section, no advance shall be made by the corporation to an executive officer of the corporation (except by reason of the fact that such executive officer is or was a director of the corporation in which event this paragraph shall not apply) in any action, suit or proceeding, whether civil, criminal, administrative or investigative, if a determination is reasonably and promptly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 </w:t>
      </w:r>
    </w:p>
    <w:p>
      <w:pPr>
        <w:pStyle w:val="TextBody"/>
        <w:bidi w:val="0"/>
        <w:spacing w:before="240" w:after="0"/>
        <w:jc w:val="left"/>
        <w:rPr>
          <w:rFonts w:ascii="Times New Roman" w:hAnsi="Times New Roman"/>
          <w:sz w:val="20"/>
        </w:rPr>
      </w:pPr>
      <w:r>
        <w:rPr>
          <w:rFonts w:ascii="Times New Roman" w:hAnsi="Times New Roman"/>
          <w:b/>
          <w:sz w:val="20"/>
        </w:rPr>
        <w:t>(d) Enforcement</w:t>
      </w:r>
      <w:r>
        <w:rPr>
          <w:rFonts w:ascii="Times New Roman" w:hAnsi="Times New Roman"/>
          <w:sz w:val="20"/>
        </w:rPr>
        <w:t xml:space="preserve">. Without the necessity of entering into an express contract, all rights to indemnification and advances to directors and executive officers under this Bylaw shall be deemed to be contractual rights and be effective to the same extent and as if provided for in a contract between the corporation and the director or executive officer. Any right to indemnification or advances granted by this section to a director or executive officer shall be enforceable by or on behalf of the person holding such right in any court of competent jurisdiction if (i) the claim for indemnification or advances is denied, in whole or in part, or (ii) no disposition of such claim is made within ninety (90) days of request therefor. To the 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(e) Non-Exclusivity of Rights</w:t>
      </w:r>
      <w:r>
        <w:rPr>
          <w:rFonts w:ascii="Times New Roman" w:hAnsi="Times New Roman"/>
          <w:sz w:val="20"/>
        </w:rPr>
        <w:t xml:space="preserve">. The rights conferred on any person by this Bylaw shall not be exclusive of any other right which such 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 </w:t>
      </w:r>
    </w:p>
    <w:p>
      <w:pPr>
        <w:pStyle w:val="TextBody"/>
        <w:bidi w:val="0"/>
        <w:spacing w:before="240" w:after="0"/>
        <w:jc w:val="left"/>
        <w:rPr>
          <w:rFonts w:ascii="Times New Roman" w:hAnsi="Times New Roman"/>
          <w:sz w:val="20"/>
        </w:rPr>
      </w:pPr>
      <w:r>
        <w:rPr>
          <w:rFonts w:ascii="Times New Roman" w:hAnsi="Times New Roman"/>
          <w:b/>
          <w:sz w:val="20"/>
        </w:rPr>
        <w:t>(f) Survival of Rights</w:t>
      </w:r>
      <w:r>
        <w:rPr>
          <w:rFonts w:ascii="Times New Roman" w:hAnsi="Times New Roman"/>
          <w:sz w:val="20"/>
        </w:rPr>
        <w:t xml:space="preserve">. The rights conferred on any person by this Bylaw shall continue as to a person who has ceased to be a director or executive officer and shall inure to the benefit of the heirs, executors and administrators of such a person. </w:t>
      </w:r>
    </w:p>
    <w:p>
      <w:pPr>
        <w:pStyle w:val="TextBody"/>
        <w:bidi w:val="0"/>
        <w:spacing w:before="240" w:after="0"/>
        <w:jc w:val="left"/>
        <w:rPr>
          <w:rFonts w:ascii="Times New Roman" w:hAnsi="Times New Roman"/>
          <w:sz w:val="20"/>
        </w:rPr>
      </w:pPr>
      <w:r>
        <w:rPr>
          <w:rFonts w:ascii="Times New Roman" w:hAnsi="Times New Roman"/>
          <w:b/>
          <w:sz w:val="20"/>
        </w:rPr>
        <w:t>(g) Insurance</w:t>
      </w:r>
      <w:r>
        <w:rPr>
          <w:rFonts w:ascii="Times New Roman" w:hAnsi="Times New Roman"/>
          <w:sz w:val="20"/>
        </w:rPr>
        <w:t xml:space="preserve">. To the fullest extent permitted by the DGCL or any other applicable law, the corporation, upon approval by the Board of Directors, may purchase insurance on behalf of any person required or permitted to be indemnified pursuant to this section. </w:t>
      </w:r>
    </w:p>
    <w:p>
      <w:pPr>
        <w:pStyle w:val="TextBody"/>
        <w:bidi w:val="0"/>
        <w:spacing w:before="240" w:after="0"/>
        <w:jc w:val="left"/>
        <w:rPr>
          <w:rFonts w:ascii="Times New Roman" w:hAnsi="Times New Roman"/>
          <w:sz w:val="20"/>
        </w:rPr>
      </w:pPr>
      <w:r>
        <w:rPr>
          <w:rFonts w:ascii="Times New Roman" w:hAnsi="Times New Roman"/>
          <w:b/>
          <w:sz w:val="20"/>
        </w:rPr>
        <w:t>(h) Amendments</w:t>
      </w:r>
      <w:r>
        <w:rPr>
          <w:rFonts w:ascii="Times New Roman" w:hAnsi="Times New Roman"/>
          <w:sz w:val="20"/>
        </w:rPr>
        <w:t xml:space="preserve">. Any repeal or modification of this section shall only be prospective and shall not affect the rights under this Bylaw in effect at the time of the alleged occurrence of any action or omission to act that is the cause of any proceeding against any agent of the corporation. </w:t>
      </w:r>
    </w:p>
    <w:p>
      <w:pPr>
        <w:pStyle w:val="TextBody"/>
        <w:bidi w:val="0"/>
        <w:spacing w:before="240" w:after="0"/>
        <w:jc w:val="left"/>
        <w:rPr>
          <w:rFonts w:ascii="Times New Roman" w:hAnsi="Times New Roman"/>
          <w:sz w:val="20"/>
        </w:rPr>
      </w:pPr>
      <w:r>
        <w:rPr>
          <w:rFonts w:ascii="Times New Roman" w:hAnsi="Times New Roman"/>
          <w:b/>
          <w:sz w:val="20"/>
        </w:rPr>
        <w:t>(i) Saving Clause</w:t>
      </w:r>
      <w:r>
        <w:rPr>
          <w:rFonts w:ascii="Times New Roman" w:hAnsi="Times New Roman"/>
          <w:sz w:val="20"/>
        </w:rPr>
        <w:t xml:space="preserve">. If this Bylaw or any portion hereof shall be invalidated on any ground by any court of competent jurisdiction, then the corporation shall nevertheless indemnify each director and executive officer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and executive officer to the full extent under any other applicable law. </w:t>
      </w:r>
    </w:p>
    <w:p>
      <w:pPr>
        <w:pStyle w:val="TextBody"/>
        <w:bidi w:val="0"/>
        <w:spacing w:before="240" w:after="0"/>
        <w:jc w:val="left"/>
        <w:rPr>
          <w:rFonts w:ascii="Times New Roman" w:hAnsi="Times New Roman"/>
          <w:sz w:val="20"/>
        </w:rPr>
      </w:pPr>
      <w:r>
        <w:rPr>
          <w:rFonts w:ascii="Times New Roman" w:hAnsi="Times New Roman"/>
          <w:b/>
          <w:sz w:val="20"/>
        </w:rPr>
        <w:t>(j) Certain Definitions</w:t>
      </w:r>
      <w:r>
        <w:rPr>
          <w:rFonts w:ascii="Times New Roman" w:hAnsi="Times New Roman"/>
          <w:sz w:val="20"/>
        </w:rPr>
        <w:t xml:space="preserve">. For the purposes of this Bylaw, the following definitions shall apply: </w:t>
      </w:r>
    </w:p>
    <w:p>
      <w:pPr>
        <w:pStyle w:val="TextBody"/>
        <w:bidi w:val="0"/>
        <w:spacing w:before="120" w:after="0"/>
        <w:jc w:val="left"/>
        <w:rPr>
          <w:rFonts w:ascii="Times New Roman" w:hAnsi="Times New Roman"/>
          <w:sz w:val="20"/>
        </w:rPr>
      </w:pPr>
      <w:r>
        <w:rPr>
          <w:rFonts w:ascii="Times New Roman" w:hAnsi="Times New Roman"/>
          <w:b/>
          <w:sz w:val="20"/>
        </w:rPr>
        <w:t xml:space="preserve">(i) </w:t>
      </w:r>
      <w:r>
        <w:rPr>
          <w:rFonts w:ascii="Times New Roman" w:hAnsi="Times New Roman"/>
          <w:sz w:val="20"/>
        </w:rPr>
        <w:t>The term “</w:t>
      </w:r>
      <w:r>
        <w:rPr>
          <w:rFonts w:ascii="Times New Roman" w:hAnsi="Times New Roman"/>
          <w:b/>
          <w:i/>
          <w:sz w:val="20"/>
        </w:rPr>
        <w:t>proceeding</w:t>
      </w:r>
      <w:r>
        <w:rPr>
          <w:rFonts w:ascii="Times New Roman" w:hAnsi="Times New Roman"/>
          <w:sz w:val="20"/>
        </w:rPr>
        <w:t xml:space="preserve">”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 </w:t>
      </w:r>
    </w:p>
    <w:p>
      <w:pPr>
        <w:pStyle w:val="TextBody"/>
        <w:bidi w:val="0"/>
        <w:spacing w:before="240" w:after="0"/>
        <w:jc w:val="left"/>
        <w:rPr>
          <w:rFonts w:ascii="Times New Roman" w:hAnsi="Times New Roman"/>
          <w:sz w:val="20"/>
        </w:rPr>
      </w:pPr>
      <w:r>
        <w:rPr>
          <w:rFonts w:ascii="Times New Roman" w:hAnsi="Times New Roman"/>
          <w:b/>
          <w:sz w:val="20"/>
        </w:rPr>
        <w:t xml:space="preserve">(ii) </w:t>
      </w:r>
      <w:r>
        <w:rPr>
          <w:rFonts w:ascii="Times New Roman" w:hAnsi="Times New Roman"/>
          <w:sz w:val="20"/>
        </w:rPr>
        <w:t>The term “</w:t>
      </w:r>
      <w:r>
        <w:rPr>
          <w:rFonts w:ascii="Times New Roman" w:hAnsi="Times New Roman"/>
          <w:b/>
          <w:i/>
          <w:sz w:val="20"/>
        </w:rPr>
        <w:t>expenses</w:t>
      </w:r>
      <w:r>
        <w:rPr>
          <w:rFonts w:ascii="Times New Roman" w:hAnsi="Times New Roman"/>
          <w:sz w:val="20"/>
        </w:rPr>
        <w:t xml:space="preserve">” shall be broadly construed and shall include, without limitation, court costs, attorneys’ fees, witness fees, fines, amounts paid in settlement or judgment and any other costs and expenses of any nature or kind incurred in connection with any proceeding. </w:t>
      </w:r>
    </w:p>
    <w:p>
      <w:pPr>
        <w:pStyle w:val="TextBody"/>
        <w:bidi w:val="0"/>
        <w:spacing w:before="240" w:after="0"/>
        <w:jc w:val="left"/>
        <w:rPr>
          <w:rFonts w:ascii="Times New Roman" w:hAnsi="Times New Roman"/>
          <w:sz w:val="20"/>
        </w:rPr>
      </w:pPr>
      <w:r>
        <w:rPr>
          <w:rFonts w:ascii="Times New Roman" w:hAnsi="Times New Roman"/>
          <w:b/>
          <w:sz w:val="20"/>
        </w:rPr>
        <w:t xml:space="preserve">(iii) </w:t>
      </w:r>
      <w:r>
        <w:rPr>
          <w:rFonts w:ascii="Times New Roman" w:hAnsi="Times New Roman"/>
          <w:sz w:val="20"/>
        </w:rPr>
        <w:t>The term the “</w:t>
      </w:r>
      <w:r>
        <w:rPr>
          <w:rFonts w:ascii="Times New Roman" w:hAnsi="Times New Roman"/>
          <w:b/>
          <w:i/>
          <w:sz w:val="20"/>
        </w:rPr>
        <w:t>corporation</w:t>
      </w:r>
      <w:r>
        <w:rPr>
          <w:rFonts w:ascii="Times New Roman" w:hAnsi="Times New Roman"/>
          <w:sz w:val="20"/>
        </w:rPr>
        <w:t xml:space="preserve">”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 </w:t>
      </w:r>
    </w:p>
    <w:p>
      <w:pPr>
        <w:pStyle w:val="TextBody"/>
        <w:bidi w:val="0"/>
        <w:spacing w:before="240" w:after="0"/>
        <w:jc w:val="left"/>
        <w:rPr>
          <w:rFonts w:ascii="Times New Roman" w:hAnsi="Times New Roman"/>
          <w:sz w:val="20"/>
        </w:rPr>
      </w:pPr>
      <w:r>
        <w:rPr>
          <w:rFonts w:ascii="Times New Roman" w:hAnsi="Times New Roman"/>
          <w:b/>
          <w:sz w:val="20"/>
        </w:rPr>
        <w:t xml:space="preserve">(iv) </w:t>
      </w:r>
      <w:r>
        <w:rPr>
          <w:rFonts w:ascii="Times New Roman" w:hAnsi="Times New Roman"/>
          <w:sz w:val="20"/>
        </w:rPr>
        <w:t>References to a “</w:t>
      </w:r>
      <w:r>
        <w:rPr>
          <w:rFonts w:ascii="Times New Roman" w:hAnsi="Times New Roman"/>
          <w:b/>
          <w:i/>
          <w:sz w:val="20"/>
        </w:rPr>
        <w:t>director,</w:t>
      </w:r>
      <w:r>
        <w:rPr>
          <w:rFonts w:ascii="Times New Roman" w:hAnsi="Times New Roman"/>
          <w:sz w:val="20"/>
        </w:rPr>
        <w:t>” “</w:t>
      </w:r>
      <w:r>
        <w:rPr>
          <w:rFonts w:ascii="Times New Roman" w:hAnsi="Times New Roman"/>
          <w:b/>
          <w:i/>
          <w:sz w:val="20"/>
        </w:rPr>
        <w:t>executive officer,</w:t>
      </w:r>
      <w:r>
        <w:rPr>
          <w:rFonts w:ascii="Times New Roman" w:hAnsi="Times New Roman"/>
          <w:sz w:val="20"/>
        </w:rPr>
        <w:t>” “</w:t>
      </w:r>
      <w:r>
        <w:rPr>
          <w:rFonts w:ascii="Times New Roman" w:hAnsi="Times New Roman"/>
          <w:b/>
          <w:i/>
          <w:sz w:val="20"/>
        </w:rPr>
        <w:t>officer,</w:t>
      </w:r>
      <w:r>
        <w:rPr>
          <w:rFonts w:ascii="Times New Roman" w:hAnsi="Times New Roman"/>
          <w:sz w:val="20"/>
        </w:rPr>
        <w:t>” “</w:t>
      </w:r>
      <w:r>
        <w:rPr>
          <w:rFonts w:ascii="Times New Roman" w:hAnsi="Times New Roman"/>
          <w:b/>
          <w:i/>
          <w:sz w:val="20"/>
        </w:rPr>
        <w:t>employee,</w:t>
      </w:r>
      <w:r>
        <w:rPr>
          <w:rFonts w:ascii="Times New Roman" w:hAnsi="Times New Roman"/>
          <w:sz w:val="20"/>
        </w:rPr>
        <w:t>” or “</w:t>
      </w:r>
      <w:r>
        <w:rPr>
          <w:rFonts w:ascii="Times New Roman" w:hAnsi="Times New Roman"/>
          <w:b/>
          <w:i/>
          <w:sz w:val="20"/>
        </w:rPr>
        <w:t>agent</w:t>
      </w:r>
      <w:r>
        <w:rPr>
          <w:rFonts w:ascii="Times New Roman" w:hAnsi="Times New Roman"/>
          <w:sz w:val="20"/>
        </w:rPr>
        <w:t xml:space="preserve">”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(v) </w:t>
      </w:r>
      <w:r>
        <w:rPr>
          <w:rFonts w:ascii="Times New Roman" w:hAnsi="Times New Roman"/>
          <w:sz w:val="20"/>
        </w:rPr>
        <w:t>References to “</w:t>
      </w:r>
      <w:r>
        <w:rPr>
          <w:rFonts w:ascii="Times New Roman" w:hAnsi="Times New Roman"/>
          <w:b/>
          <w:i/>
          <w:sz w:val="20"/>
        </w:rPr>
        <w:t>other enterprises</w:t>
      </w:r>
      <w:r>
        <w:rPr>
          <w:rFonts w:ascii="Times New Roman" w:hAnsi="Times New Roman"/>
          <w:sz w:val="20"/>
        </w:rPr>
        <w:t>” shall include employee benefit plans; references to “</w:t>
      </w:r>
      <w:r>
        <w:rPr>
          <w:rFonts w:ascii="Times New Roman" w:hAnsi="Times New Roman"/>
          <w:b/>
          <w:i/>
          <w:sz w:val="20"/>
        </w:rPr>
        <w:t>fines</w:t>
      </w:r>
      <w:r>
        <w:rPr>
          <w:rFonts w:ascii="Times New Roman" w:hAnsi="Times New Roman"/>
          <w:sz w:val="20"/>
        </w:rPr>
        <w:t>” shall include any excise taxes assessed on a person with respect to an employee benefit plan; and references to “</w:t>
      </w:r>
      <w:r>
        <w:rPr>
          <w:rFonts w:ascii="Times New Roman" w:hAnsi="Times New Roman"/>
          <w:b/>
          <w:i/>
          <w:sz w:val="20"/>
        </w:rPr>
        <w:t>serving at the request of the corporation</w:t>
      </w:r>
      <w:r>
        <w:rPr>
          <w:rFonts w:ascii="Times New Roman" w:hAnsi="Times New Roman"/>
          <w:sz w:val="20"/>
        </w:rPr>
        <w:t>”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w:t>
      </w:r>
      <w:r>
        <w:rPr>
          <w:rFonts w:ascii="Times New Roman" w:hAnsi="Times New Roman"/>
          <w:b/>
          <w:i/>
          <w:sz w:val="20"/>
        </w:rPr>
        <w:t>not opposed to the best interests of the corporation</w:t>
      </w:r>
      <w:r>
        <w:rPr>
          <w:rFonts w:ascii="Times New Roman" w:hAnsi="Times New Roman"/>
          <w:sz w:val="20"/>
        </w:rPr>
        <w:t xml:space="preserve">” as referred to in this section.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120" w:after="0"/>
        <w:jc w:val="center"/>
        <w:rPr>
          <w:rFonts w:ascii="Times New Roman" w:hAnsi="Times New Roman"/>
          <w:b/>
          <w:sz w:val="20"/>
        </w:rPr>
      </w:pPr>
      <w:r>
        <w:rPr>
          <w:rFonts w:ascii="Times New Roman" w:hAnsi="Times New Roman"/>
          <w:b/>
          <w:sz w:val="20"/>
        </w:rPr>
        <w:t xml:space="preserve">NOTICES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45. 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 Notice to Stockholders</w:t>
      </w:r>
      <w:r>
        <w:rPr>
          <w:rFonts w:ascii="Times New Roman" w:hAnsi="Times New Roman"/>
          <w:sz w:val="20"/>
        </w:rPr>
        <w:t xml:space="preserve">. Written notice to stockholders of stockholder meetings shall be given as provided in Section 7 herein. Without limiting the manner by which notice may otherwise be given effectively to stockholders under any agreement or contract with such stockholder, and except as otherwise required by law, written notice to stockholders for purposes other than stockholder meetings may be sent by US mail or nationally recognized overnight courier, or by facsimile, telegraph or telex or by electronic mail or other electronic means. </w:t>
      </w:r>
    </w:p>
    <w:p>
      <w:pPr>
        <w:pStyle w:val="TextBody"/>
        <w:bidi w:val="0"/>
        <w:spacing w:before="240" w:after="0"/>
        <w:jc w:val="left"/>
        <w:rPr>
          <w:rFonts w:ascii="Times New Roman" w:hAnsi="Times New Roman"/>
          <w:sz w:val="20"/>
        </w:rPr>
      </w:pPr>
      <w:r>
        <w:rPr>
          <w:rFonts w:ascii="Times New Roman" w:hAnsi="Times New Roman"/>
          <w:b/>
          <w:sz w:val="20"/>
        </w:rPr>
        <w:t>(b) Notice to Directors</w:t>
      </w:r>
      <w:r>
        <w:rPr>
          <w:rFonts w:ascii="Times New Roman" w:hAnsi="Times New Roman"/>
          <w:sz w:val="20"/>
        </w:rPr>
        <w:t xml:space="preserve">. Any notice required to be given to any director may be given by the method stated in subsection (a), as otherwise provided in these Bylaws, or by overnight delivery service, facsimile, telex or telegram, except that such notice other than one which is delivered personally shall be sent to such address as such director shall have filed in writing with the Secretary, or, in the absence of such filing, to the last known post office address of such director. </w:t>
      </w:r>
    </w:p>
    <w:p>
      <w:pPr>
        <w:pStyle w:val="TextBody"/>
        <w:bidi w:val="0"/>
        <w:spacing w:before="240" w:after="0"/>
        <w:jc w:val="left"/>
        <w:rPr>
          <w:rFonts w:ascii="Times New Roman" w:hAnsi="Times New Roman"/>
          <w:sz w:val="20"/>
        </w:rPr>
      </w:pPr>
      <w:r>
        <w:rPr>
          <w:rFonts w:ascii="Times New Roman" w:hAnsi="Times New Roman"/>
          <w:b/>
          <w:sz w:val="20"/>
        </w:rPr>
        <w:t>(c) Affidavit of Mailing</w:t>
      </w:r>
      <w:r>
        <w:rPr>
          <w:rFonts w:ascii="Times New Roman" w:hAnsi="Times New Roman"/>
          <w:sz w:val="20"/>
        </w:rPr>
        <w:t xml:space="preserve">. An affidavit of mailing, executed by a duly authorized and competent employee of the corporation or its 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 </w:t>
      </w:r>
    </w:p>
    <w:p>
      <w:pPr>
        <w:pStyle w:val="TextBody"/>
        <w:bidi w:val="0"/>
        <w:spacing w:before="240" w:after="0"/>
        <w:jc w:val="left"/>
        <w:rPr>
          <w:rFonts w:ascii="Times New Roman" w:hAnsi="Times New Roman"/>
          <w:sz w:val="20"/>
        </w:rPr>
      </w:pPr>
      <w:r>
        <w:rPr>
          <w:rFonts w:ascii="Times New Roman" w:hAnsi="Times New Roman"/>
          <w:b/>
          <w:sz w:val="20"/>
        </w:rPr>
        <w:t>(d) Methods of Notice</w:t>
      </w:r>
      <w:r>
        <w:rPr>
          <w:rFonts w:ascii="Times New Roman" w:hAnsi="Times New Roman"/>
          <w:sz w:val="20"/>
        </w:rPr>
        <w:t xml:space="preserve">. It shall not be necessary that the same method of giving notice be employed in respect of all recipients of notice, but one permissible method may be employed in respect of any one or more, and any other permissible method or methods may be employed in respect of any other or others. </w:t>
      </w:r>
    </w:p>
    <w:p>
      <w:pPr>
        <w:pStyle w:val="TextBody"/>
        <w:bidi w:val="0"/>
        <w:spacing w:before="240" w:after="0"/>
        <w:jc w:val="left"/>
        <w:rPr>
          <w:rFonts w:ascii="Times New Roman" w:hAnsi="Times New Roman"/>
          <w:sz w:val="20"/>
        </w:rPr>
      </w:pPr>
      <w:r>
        <w:rPr>
          <w:rFonts w:ascii="Times New Roman" w:hAnsi="Times New Roman"/>
          <w:b/>
          <w:sz w:val="20"/>
        </w:rPr>
        <w:t>(e) Notice to Person with Whom Communication is Unlawful</w:t>
      </w:r>
      <w:r>
        <w:rPr>
          <w:rFonts w:ascii="Times New Roman" w:hAnsi="Times New Roman"/>
          <w:sz w:val="20"/>
        </w:rPr>
        <w:t xml:space="preserve">. Whenever notice is required to be given, under any provision of law or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(f) Notice to Stockholders Sharing an Address</w:t>
      </w:r>
      <w:r>
        <w:rPr>
          <w:rFonts w:ascii="Times New Roman" w:hAnsi="Times New Roman"/>
          <w:sz w:val="20"/>
        </w:rPr>
        <w:t xml:space="preserve">. Except as otherwise prohibited under the DGCL, any notice given under the provisions of the 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sixty (60) days of having been given notice by the corporation of its intention to send the single notice. Any consent shall be revocable by the stockholder by written notice to the 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XIII </w:t>
      </w:r>
    </w:p>
    <w:p>
      <w:pPr>
        <w:pStyle w:val="TextBody"/>
        <w:bidi w:val="0"/>
        <w:spacing w:before="12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46. Amendments</w:t>
      </w:r>
      <w:r>
        <w:rPr>
          <w:rFonts w:ascii="Times New Roman" w:hAnsi="Times New Roman"/>
          <w:sz w:val="20"/>
        </w:rPr>
        <w:t xml:space="preserve">. Subject to the limitations set forth in Section 44(h) of these Bylaws or the provisions of the Certificate of Incorporation, the Board of Directors is expressly empowered to adopt, amend or repeal the Bylaws of the corporation. The stockholders also shall have power to adopt, amend or repeal the Bylaws of the corporation; provided, however, that, in addition to any vote of the holders of any class or series of stock of the corporation required by law or by the Certificate of Incorporation, such action by stockholders shall require the affirmative vote of the holders of at least sixty-six and two-thirds percent (66 2/3%) of the voting power of all of the then-outstanding shares of the capital stock of the corporation entitled to vote generally in the election of directors, voting together as a single class.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XIV </w:t>
      </w:r>
    </w:p>
    <w:p>
      <w:pPr>
        <w:pStyle w:val="TextBody"/>
        <w:bidi w:val="0"/>
        <w:spacing w:before="120" w:after="0"/>
        <w:jc w:val="center"/>
        <w:rPr>
          <w:rFonts w:ascii="Times New Roman" w:hAnsi="Times New Roman"/>
          <w:b/>
          <w:sz w:val="20"/>
        </w:rPr>
      </w:pPr>
      <w:r>
        <w:rPr>
          <w:rFonts w:ascii="Times New Roman" w:hAnsi="Times New Roman"/>
          <w:b/>
          <w:sz w:val="20"/>
        </w:rPr>
        <w:t xml:space="preserve">LOANS TO OFFICERS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47. Loans to Officers</w:t>
      </w:r>
      <w:r>
        <w:rPr>
          <w:rFonts w:ascii="Times New Roman" w:hAnsi="Times New Roman"/>
          <w:sz w:val="20"/>
        </w:rPr>
        <w:t xml:space="preserve">. Except as otherwise prohibited by applicable law, 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CYTEK BIOSCIENCES, INC.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OF SECRETARY </w:t>
      </w:r>
    </w:p>
    <w:p>
      <w:pPr>
        <w:pStyle w:val="TextBody"/>
        <w:bidi w:val="0"/>
        <w:spacing w:before="240" w:after="0"/>
        <w:jc w:val="left"/>
        <w:rPr>
          <w:rFonts w:ascii="Times New Roman" w:hAnsi="Times New Roman"/>
          <w:sz w:val="20"/>
        </w:rPr>
      </w:pPr>
      <w:r>
        <w:rPr>
          <w:rFonts w:ascii="Times New Roman" w:hAnsi="Times New Roman"/>
          <w:sz w:val="20"/>
        </w:rPr>
        <w:t xml:space="preserve">I hereby certify that: </w:t>
      </w:r>
    </w:p>
    <w:p>
      <w:pPr>
        <w:pStyle w:val="TextBody"/>
        <w:bidi w:val="0"/>
        <w:spacing w:before="120" w:after="0"/>
        <w:jc w:val="left"/>
        <w:rPr>
          <w:rFonts w:ascii="Times New Roman" w:hAnsi="Times New Roman"/>
          <w:sz w:val="20"/>
        </w:rPr>
      </w:pPr>
      <w:r>
        <w:rPr>
          <w:rFonts w:ascii="Times New Roman" w:hAnsi="Times New Roman"/>
          <w:sz w:val="20"/>
        </w:rPr>
        <w:t>I am the duly elected and acting Secretary of Cytek Biosciences, Inc., a Delaware corporation (the “</w:t>
      </w:r>
      <w:r>
        <w:rPr>
          <w:rFonts w:ascii="Times New Roman" w:hAnsi="Times New Roman"/>
          <w:b/>
          <w:i/>
          <w:sz w:val="20"/>
        </w:rPr>
        <w:t>Company</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Attached hereto is a complete and accurate copy of the Amended and Restated Bylaws (the “</w:t>
      </w:r>
      <w:r>
        <w:rPr>
          <w:rFonts w:ascii="Times New Roman" w:hAnsi="Times New Roman"/>
          <w:b/>
          <w:i/>
          <w:sz w:val="20"/>
        </w:rPr>
        <w:t>Bylaws</w:t>
      </w:r>
      <w:r>
        <w:rPr>
          <w:rFonts w:ascii="Times New Roman" w:hAnsi="Times New Roman"/>
          <w:sz w:val="20"/>
        </w:rPr>
        <w:t xml:space="preserve">”) of the Company as duly adopted by the Board of Directors of the Company at a meeting of the Board of Directors held on September 23, 2026 and said Bylaws are presently in effect. </w:t>
      </w:r>
    </w:p>
    <w:p>
      <w:pPr>
        <w:pStyle w:val="TextBody"/>
        <w:bidi w:val="0"/>
        <w:spacing w:before="240" w:after="0"/>
        <w:jc w:val="left"/>
        <w:rPr>
          <w:rFonts w:ascii="Times New Roman" w:hAnsi="Times New Roman"/>
          <w:sz w:val="20"/>
        </w:rPr>
      </w:pPr>
      <w:r>
        <w:rPr>
          <w:rFonts w:ascii="Times New Roman" w:hAnsi="Times New Roman"/>
          <w:sz w:val="20"/>
        </w:rPr>
        <w:t xml:space="preserve">This Certificate of Secretary may be executed via facsimile, electronic mail (including pdf or any electronic signature complying with the U.S. federal ESIGN Act of 2000, Uniform Electronic Transactions Act or other applicable law) or other transmission method and will be deemed to have been duly and validly delivered and be valid and effective for all purposes. Signed on September 28,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855"/>
        <w:gridCol w:w="396"/>
        <w:gridCol w:w="1831"/>
      </w:tblGrid>
      <w:tr>
        <w:trPr/>
        <w:tc>
          <w:tcPr>
            <w:tcW w:w="1855" w:type="dxa"/>
            <w:tcBorders/>
            <w:vAlign w:val="center"/>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/s/ Ilan Feuchtwang</w:t>
            </w:r>
          </w:p>
        </w:tc>
      </w:tr>
      <w:tr>
        <w:trPr/>
        <w:tc>
          <w:tcPr>
            <w:tcW w:w="4082" w:type="dxa"/>
            <w:gridSpan w:val="3"/>
            <w:tcBorders/>
          </w:tcPr>
          <w:p>
            <w:pPr>
              <w:pStyle w:val="TableContents"/>
              <w:bidi w:val="0"/>
              <w:spacing w:before="0" w:after="283"/>
              <w:jc w:val="left"/>
              <w:rPr/>
            </w:pPr>
            <w:r>
              <w:rPr/>
              <w:t>Ilan Feuchtwang</w:t>
            </w:r>
          </w:p>
        </w:tc>
      </w:tr>
      <w:tr>
        <w:trPr/>
        <w:tc>
          <w:tcPr>
            <w:tcW w:w="4082" w:type="dxa"/>
            <w:gridSpan w:val="3"/>
            <w:tcBorders/>
          </w:tcPr>
          <w:p>
            <w:pPr>
              <w:pStyle w:val="TableContents"/>
              <w:bidi w:val="0"/>
              <w:spacing w:before="0" w:after="283"/>
              <w:jc w:val="left"/>
              <w:rPr/>
            </w:pPr>
            <w:r>
              <w:rPr/>
              <w:t>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27</Pages>
  <Words>15518</Words>
  <Characters>78533</Characters>
  <CharactersWithSpaces>94339</CharactersWithSpaces>
  <Paragraphs>884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EX-3.1</dc:title>
</cp:coreProperties>
</file>